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2FAAA" w14:textId="77777777" w:rsidR="00DB4835" w:rsidRPr="009B1A6D" w:rsidRDefault="00DB4835" w:rsidP="009B1A6D">
      <w:pPr>
        <w:pStyle w:val="Heading1"/>
        <w:rPr>
          <w:rFonts w:ascii="Arial" w:hAnsi="Arial" w:cs="Arial"/>
          <w:b/>
          <w:bCs/>
          <w:color w:val="auto"/>
          <w:sz w:val="48"/>
          <w:szCs w:val="48"/>
        </w:rPr>
      </w:pPr>
      <w:r w:rsidRPr="009B1A6D">
        <w:rPr>
          <w:rFonts w:ascii="Arial" w:hAnsi="Arial" w:cs="Arial"/>
          <w:b/>
          <w:bCs/>
          <w:color w:val="auto"/>
          <w:sz w:val="48"/>
          <w:szCs w:val="48"/>
        </w:rPr>
        <w:t>How Ontario’s Gambling Market Is Responding to Alberta’s New Regulated iGaming Competition</w:t>
      </w:r>
    </w:p>
    <w:p w14:paraId="2D675567" w14:textId="77777777" w:rsidR="00DB4835" w:rsidRPr="00DB4835" w:rsidRDefault="00DB4835" w:rsidP="00DB4835">
      <w:pPr>
        <w:pStyle w:val="NormalWeb"/>
        <w:spacing w:before="0" w:beforeAutospacing="0" w:after="160" w:afterAutospacing="0"/>
      </w:pPr>
      <w:r w:rsidRPr="00DB4835">
        <w:rPr>
          <w:color w:val="000000"/>
        </w:rPr>
        <w:t>The launch of Alberta’s regulated, multi-operator iGaming market introduces a new dynamic of competition within Canada’s gambling industry. On July 13, 2026, Alberta became only the second Canadian province - after Ontario - to open its online gambling market to private operators. More than a month into the launch, the province already has major international brands entering the market, while Ontario remains the country’s largest and most established regulated market. For Ontario, Alberta is not just another provincial market. It is a new competitor drawing attention from the industry, suppliers, investors, and consumers.</w:t>
      </w:r>
    </w:p>
    <w:p w14:paraId="70441DD1" w14:textId="77777777" w:rsidR="00DB4835" w:rsidRPr="009B1A6D" w:rsidRDefault="00DB4835" w:rsidP="009B1A6D">
      <w:pPr>
        <w:pStyle w:val="Heading2"/>
        <w:rPr>
          <w:rFonts w:ascii="Arial" w:hAnsi="Arial" w:cs="Arial"/>
          <w:b/>
          <w:bCs/>
          <w:color w:val="auto"/>
          <w:sz w:val="36"/>
          <w:szCs w:val="36"/>
        </w:rPr>
      </w:pPr>
      <w:r w:rsidRPr="009B1A6D">
        <w:rPr>
          <w:rFonts w:ascii="Arial" w:hAnsi="Arial" w:cs="Arial"/>
          <w:b/>
          <w:bCs/>
          <w:color w:val="auto"/>
          <w:sz w:val="36"/>
          <w:szCs w:val="36"/>
        </w:rPr>
        <w:t>Ontario Enters the Alberta Competition From a Position of Strength</w:t>
      </w:r>
    </w:p>
    <w:p w14:paraId="0038CD1F" w14:textId="77777777" w:rsidR="00DB4835" w:rsidRPr="00DB4835" w:rsidRDefault="00DB4835" w:rsidP="00DB4835">
      <w:pPr>
        <w:pStyle w:val="NormalWeb"/>
        <w:spacing w:before="0" w:beforeAutospacing="0" w:after="160" w:afterAutospacing="0"/>
      </w:pPr>
      <w:r w:rsidRPr="00DB4835">
        <w:rPr>
          <w:color w:val="000000"/>
        </w:rPr>
        <w:t>Ontario has had well over four years of developing its competitive iGaming model since April 2022. The province currently lists 48 regulated operators and 83 gaming websites - figures from iGaming Ontario data as of August 6, 2026.</w:t>
      </w:r>
    </w:p>
    <w:p w14:paraId="1E21CAD9" w14:textId="2D6D154C" w:rsidR="00DB4835" w:rsidRPr="00DB4835" w:rsidRDefault="00DB4835" w:rsidP="00DB4835">
      <w:pPr>
        <w:pStyle w:val="NormalWeb"/>
        <w:spacing w:before="0" w:beforeAutospacing="0" w:after="160" w:afterAutospacing="0"/>
      </w:pPr>
      <w:r w:rsidRPr="00DB4835">
        <w:rPr>
          <w:color w:val="000000"/>
        </w:rPr>
        <w:t>The size of this market is very significant. The province recorded $82.7 billion in wagers within the fiscal year 2024-25</w:t>
      </w:r>
      <w:r w:rsidR="00D912BA">
        <w:rPr>
          <w:color w:val="000000"/>
        </w:rPr>
        <w:t xml:space="preserve"> - </w:t>
      </w:r>
      <w:r w:rsidRPr="00DB4835">
        <w:rPr>
          <w:color w:val="000000"/>
        </w:rPr>
        <w:t xml:space="preserve">with revenue from gaming reaching approximately $3.2 billion.  </w:t>
      </w:r>
      <w:r w:rsidR="00D24617">
        <w:rPr>
          <w:color w:val="000000"/>
        </w:rPr>
        <w:t>O</w:t>
      </w:r>
      <w:r w:rsidRPr="00DB4835">
        <w:rPr>
          <w:color w:val="000000"/>
        </w:rPr>
        <w:t>nline casino games accounted for $69.6 billion in activity, compared to $11.4 billion in sports betting and $1.7 billion in online poker. This scale provides a distinct advantage as Alberta enters the competition - existing operators have well-established customers, technology, and marketing strategies within the province.</w:t>
      </w:r>
    </w:p>
    <w:p w14:paraId="116F9D3C" w14:textId="77777777" w:rsidR="00DB4835" w:rsidRPr="009B1A6D" w:rsidRDefault="00DB4835" w:rsidP="009B1A6D">
      <w:pPr>
        <w:pStyle w:val="Heading2"/>
        <w:rPr>
          <w:rFonts w:ascii="Arial" w:hAnsi="Arial" w:cs="Arial"/>
          <w:b/>
          <w:bCs/>
          <w:color w:val="auto"/>
          <w:sz w:val="36"/>
          <w:szCs w:val="36"/>
        </w:rPr>
      </w:pPr>
      <w:r w:rsidRPr="009B1A6D">
        <w:rPr>
          <w:rFonts w:ascii="Arial" w:hAnsi="Arial" w:cs="Arial"/>
          <w:b/>
          <w:bCs/>
          <w:color w:val="auto"/>
          <w:sz w:val="36"/>
          <w:szCs w:val="36"/>
        </w:rPr>
        <w:t>Alberta Gives Operators a New Market to Target</w:t>
      </w:r>
    </w:p>
    <w:p w14:paraId="01EFC3B8" w14:textId="77777777" w:rsidR="00DB4835" w:rsidRPr="00DB4835" w:rsidRDefault="00DB4835" w:rsidP="00DB4835">
      <w:pPr>
        <w:pStyle w:val="NormalWeb"/>
        <w:spacing w:before="0" w:beforeAutospacing="0" w:after="160" w:afterAutospacing="0"/>
      </w:pPr>
      <w:r w:rsidRPr="00DB4835">
        <w:rPr>
          <w:color w:val="000000"/>
        </w:rPr>
        <w:t>The introduction of a regulated market reshapes the competitive landscape within Canada, with access to another large province by private operators. The go-live cycle began with 22 operator websites live on day one - including major brands such as bet365, FanDuel, and DraftKings.</w:t>
      </w:r>
    </w:p>
    <w:p w14:paraId="663410CE" w14:textId="4A3AE9DD" w:rsidR="00DB4835" w:rsidRPr="00DB4835" w:rsidRDefault="00DB4835" w:rsidP="00DB4835">
      <w:pPr>
        <w:pStyle w:val="NormalWeb"/>
        <w:spacing w:before="0" w:beforeAutospacing="0" w:after="160" w:afterAutospacing="0"/>
      </w:pPr>
      <w:r w:rsidRPr="00DB4835">
        <w:rPr>
          <w:color w:val="000000"/>
        </w:rPr>
        <w:t xml:space="preserve">The province had previously confirmed 28 operators for the new </w:t>
      </w:r>
      <w:r w:rsidR="00F06EE7">
        <w:rPr>
          <w:color w:val="000000"/>
        </w:rPr>
        <w:t xml:space="preserve">market - </w:t>
      </w:r>
      <w:r w:rsidRPr="00DB4835">
        <w:rPr>
          <w:color w:val="000000"/>
        </w:rPr>
        <w:t>indicating strong industry interest prior to launch. These included major international names such as BetMGM, Caesars, BetRivers, Betway, FanDuel, and DraftKings.</w:t>
      </w:r>
    </w:p>
    <w:p w14:paraId="76759A0F" w14:textId="77777777" w:rsidR="00DB4835" w:rsidRPr="00DB4835" w:rsidRDefault="00DB4835" w:rsidP="00DB4835">
      <w:pPr>
        <w:pStyle w:val="NormalWeb"/>
        <w:spacing w:before="0" w:beforeAutospacing="0" w:after="160" w:afterAutospacing="0"/>
      </w:pPr>
      <w:r w:rsidRPr="00DB4835">
        <w:rPr>
          <w:color w:val="000000"/>
        </w:rPr>
        <w:t>The number of live sites grew by mid-August this year. Industry reporting shows that 28 iGaming sites were live in Alberta as of August 17, though both registered operators and active websites can continue to change as companies complete agreements and launch. For companies already active in Ontario, Alberta provides an opportunity to expand their Canadian customer base - without needing to enter an entirely new national market.</w:t>
      </w:r>
    </w:p>
    <w:p w14:paraId="18A41F86" w14:textId="77777777" w:rsidR="00DB4835" w:rsidRPr="009B1A6D" w:rsidRDefault="00DB4835" w:rsidP="009B1A6D">
      <w:pPr>
        <w:pStyle w:val="Heading2"/>
        <w:rPr>
          <w:rFonts w:ascii="Arial" w:hAnsi="Arial" w:cs="Arial"/>
          <w:b/>
          <w:bCs/>
          <w:color w:val="auto"/>
          <w:sz w:val="36"/>
          <w:szCs w:val="36"/>
        </w:rPr>
      </w:pPr>
      <w:r w:rsidRPr="009B1A6D">
        <w:rPr>
          <w:rFonts w:ascii="Arial" w:hAnsi="Arial" w:cs="Arial"/>
          <w:b/>
          <w:bCs/>
          <w:color w:val="auto"/>
          <w:sz w:val="36"/>
          <w:szCs w:val="36"/>
        </w:rPr>
        <w:lastRenderedPageBreak/>
        <w:t>Ontario Is Still Attracting New Operators</w:t>
      </w:r>
    </w:p>
    <w:p w14:paraId="6B5A04B6" w14:textId="77777777" w:rsidR="00DB4835" w:rsidRPr="00DB4835" w:rsidRDefault="00DB4835" w:rsidP="00DB4835">
      <w:pPr>
        <w:pStyle w:val="NormalWeb"/>
        <w:spacing w:before="0" w:beforeAutospacing="0" w:after="160" w:afterAutospacing="0"/>
      </w:pPr>
      <w:r w:rsidRPr="00DB4835">
        <w:rPr>
          <w:color w:val="000000"/>
        </w:rPr>
        <w:t>Alberta’s arrival hasn’t stopped companies from pursuing Ontario licenses. Ontario still attracts big brands despite having a crowded market. One of the most notable recent developments is that Fanatics Betting and Gaming received a license to operate in Ontario - clearing an essential regulatory hurdle as it prepares to offer sports betting and casino products in the province.</w:t>
      </w:r>
    </w:p>
    <w:p w14:paraId="77739A52" w14:textId="77777777" w:rsidR="00DB4835" w:rsidRPr="00DB4835" w:rsidRDefault="00DB4835" w:rsidP="00DB4835">
      <w:pPr>
        <w:pStyle w:val="NormalWeb"/>
        <w:spacing w:before="0" w:beforeAutospacing="0" w:after="160" w:afterAutospacing="0"/>
      </w:pPr>
      <w:r w:rsidRPr="00DB4835">
        <w:rPr>
          <w:color w:val="000000"/>
        </w:rPr>
        <w:t>DAZN Bet also illustrates how operators can pursue both markets. This company launched in Ontario on June 30 before entering Alberta, which opened its regulated market on July 13</w:t>
      </w:r>
      <w:r w:rsidRPr="00DB4835">
        <w:rPr>
          <w:color w:val="000000"/>
          <w:vertAlign w:val="superscript"/>
        </w:rPr>
        <w:t>th</w:t>
      </w:r>
      <w:r w:rsidRPr="00DB4835">
        <w:rPr>
          <w:color w:val="000000"/>
        </w:rPr>
        <w:t>, 2026. Its strategy combines sports media with online betting – giving it a different way to compete for customers in both companies. This indicates that Alberta continues to complement Ontario in terms of expansion plans, rather than replacing it.</w:t>
      </w:r>
    </w:p>
    <w:p w14:paraId="28F444AF" w14:textId="77777777" w:rsidR="00DB4835" w:rsidRPr="009B1A6D" w:rsidRDefault="00DB4835" w:rsidP="009B1A6D">
      <w:pPr>
        <w:pStyle w:val="Heading2"/>
        <w:rPr>
          <w:rFonts w:ascii="Arial" w:hAnsi="Arial" w:cs="Arial"/>
          <w:b/>
          <w:bCs/>
          <w:color w:val="auto"/>
          <w:sz w:val="36"/>
          <w:szCs w:val="36"/>
        </w:rPr>
      </w:pPr>
      <w:r w:rsidRPr="009B1A6D">
        <w:rPr>
          <w:rFonts w:ascii="Arial" w:hAnsi="Arial" w:cs="Arial"/>
          <w:b/>
          <w:bCs/>
          <w:color w:val="auto"/>
          <w:sz w:val="36"/>
          <w:szCs w:val="36"/>
        </w:rPr>
        <w:t>Competition Could Lead to More Product Innovation</w:t>
      </w:r>
    </w:p>
    <w:p w14:paraId="3DFBC205" w14:textId="77777777" w:rsidR="00DB4835" w:rsidRPr="00DB4835" w:rsidRDefault="00DB4835" w:rsidP="00DB4835">
      <w:pPr>
        <w:pStyle w:val="NormalWeb"/>
        <w:spacing w:before="0" w:beforeAutospacing="0" w:after="160" w:afterAutospacing="0"/>
      </w:pPr>
      <w:r w:rsidRPr="00DB4835">
        <w:rPr>
          <w:color w:val="000000"/>
        </w:rPr>
        <w:t>The growth of Alberta’s regulated iGaming market could encourage others across Canada to improve their products. Such companies now have stronger incentives to develop distinctive features across sportsbooks, casinos, mobile experiences, payments, and customer support.</w:t>
      </w:r>
    </w:p>
    <w:p w14:paraId="7E4F087D" w14:textId="77777777" w:rsidR="00DB4835" w:rsidRPr="00DB4835" w:rsidRDefault="00DB4835" w:rsidP="00DB4835">
      <w:pPr>
        <w:pStyle w:val="NormalWeb"/>
        <w:spacing w:before="0" w:beforeAutospacing="0" w:after="160" w:afterAutospacing="0"/>
      </w:pPr>
      <w:r w:rsidRPr="00DB4835">
        <w:rPr>
          <w:color w:val="000000"/>
        </w:rPr>
        <w:t>The competitive pressure may also play a role in marketing strategies - Ontario’s mature market already contains dozens of operators battling for a limited number of consumers, while Alberta offers newer opportunities for customer acquisition.</w:t>
      </w:r>
    </w:p>
    <w:p w14:paraId="390598F9" w14:textId="77777777" w:rsidR="00DB4835" w:rsidRPr="00DB4835" w:rsidRDefault="00DB4835" w:rsidP="00DB4835">
      <w:pPr>
        <w:pStyle w:val="NormalWeb"/>
        <w:spacing w:before="0" w:beforeAutospacing="0" w:after="160" w:afterAutospacing="0"/>
      </w:pPr>
      <w:r w:rsidRPr="00DB4835">
        <w:rPr>
          <w:color w:val="000000"/>
        </w:rPr>
        <w:t>PENN Entertainment, for instance, has invested $20 million in Alberta’s new betting market - indicating the scale of investment some companies are prepared to make as competition grows. For Ontario, this could mean operators increasingly look for ways to differentiate themselves rather than relying on broad promotional campaigns.</w:t>
      </w:r>
    </w:p>
    <w:p w14:paraId="26CA6226" w14:textId="77777777" w:rsidR="00DB4835" w:rsidRPr="009B1A6D" w:rsidRDefault="00DB4835" w:rsidP="009B1A6D">
      <w:pPr>
        <w:pStyle w:val="Heading2"/>
        <w:rPr>
          <w:rFonts w:ascii="Arial" w:hAnsi="Arial" w:cs="Arial"/>
          <w:b/>
          <w:bCs/>
          <w:color w:val="auto"/>
          <w:sz w:val="36"/>
          <w:szCs w:val="36"/>
        </w:rPr>
      </w:pPr>
      <w:r w:rsidRPr="009B1A6D">
        <w:rPr>
          <w:rFonts w:ascii="Arial" w:hAnsi="Arial" w:cs="Arial"/>
          <w:b/>
          <w:bCs/>
          <w:color w:val="auto"/>
          <w:sz w:val="36"/>
          <w:szCs w:val="36"/>
        </w:rPr>
        <w:t>Poker Could Connect Ontario and Alberta</w:t>
      </w:r>
    </w:p>
    <w:p w14:paraId="3D240F8A" w14:textId="77777777" w:rsidR="00DB4835" w:rsidRPr="00DB4835" w:rsidRDefault="00DB4835" w:rsidP="00DB4835">
      <w:pPr>
        <w:pStyle w:val="NormalWeb"/>
        <w:spacing w:before="0" w:beforeAutospacing="0" w:after="160" w:afterAutospacing="0"/>
      </w:pPr>
      <w:r w:rsidRPr="00DB4835">
        <w:rPr>
          <w:color w:val="000000"/>
        </w:rPr>
        <w:t>Online poker is another area in which competition between the provinces could develop into cooperation. GGPoker only recently received approval to offer online poker in Alberta; however, they still need to work out an operating agreement before they go live. The two provinces are discussing the introduction of shared online poker liquidity, which would give players from both provinces access to a larger pool of players.</w:t>
      </w:r>
    </w:p>
    <w:p w14:paraId="2B7502C4" w14:textId="77777777" w:rsidR="00DB4835" w:rsidRPr="00DB4835" w:rsidRDefault="00DB4835" w:rsidP="00DB4835">
      <w:pPr>
        <w:pStyle w:val="NormalWeb"/>
        <w:spacing w:before="0" w:beforeAutospacing="0" w:after="160" w:afterAutospacing="0"/>
      </w:pPr>
      <w:r w:rsidRPr="00DB4835">
        <w:rPr>
          <w:color w:val="000000"/>
        </w:rPr>
        <w:t>This is very significant for poker - liquidity is key. Such a shared pool could allow for more games and tournaments than two completely separate provincial markets.</w:t>
      </w:r>
    </w:p>
    <w:p w14:paraId="42F7E6AE" w14:textId="77777777" w:rsidR="00DB4835" w:rsidRPr="00DB4835" w:rsidRDefault="00DB4835" w:rsidP="00DB4835">
      <w:pPr>
        <w:pStyle w:val="NormalWeb"/>
        <w:spacing w:before="0" w:beforeAutospacing="0" w:after="160" w:afterAutospacing="0"/>
      </w:pPr>
      <w:r w:rsidRPr="00DB4835">
        <w:rPr>
          <w:color w:val="000000"/>
        </w:rPr>
        <w:t>This kind of development shows that the relationship between Ontario and Alberta may not be purely competitive. Regulatory cooperation could become a crucial part of Canada’s evolving iGaming framework.</w:t>
      </w:r>
    </w:p>
    <w:p w14:paraId="3B597402" w14:textId="77777777" w:rsidR="00DB4835" w:rsidRPr="009B1A6D" w:rsidRDefault="00DB4835" w:rsidP="009B1A6D">
      <w:pPr>
        <w:pStyle w:val="Heading2"/>
        <w:rPr>
          <w:rFonts w:ascii="Arial" w:hAnsi="Arial" w:cs="Arial"/>
          <w:b/>
          <w:bCs/>
          <w:color w:val="auto"/>
          <w:sz w:val="36"/>
          <w:szCs w:val="36"/>
        </w:rPr>
      </w:pPr>
      <w:r w:rsidRPr="009B1A6D">
        <w:rPr>
          <w:rFonts w:ascii="Arial" w:hAnsi="Arial" w:cs="Arial"/>
          <w:b/>
          <w:bCs/>
          <w:color w:val="auto"/>
          <w:sz w:val="36"/>
          <w:szCs w:val="36"/>
        </w:rPr>
        <w:t>What Alberta Means for Ontario Players and Operators</w:t>
      </w:r>
    </w:p>
    <w:p w14:paraId="71C43F8C" w14:textId="77777777" w:rsidR="00DB4835" w:rsidRPr="00DB4835" w:rsidRDefault="00DB4835" w:rsidP="00DB4835">
      <w:pPr>
        <w:pStyle w:val="NormalWeb"/>
        <w:spacing w:before="0" w:beforeAutospacing="0" w:after="160" w:afterAutospacing="0"/>
      </w:pPr>
      <w:r w:rsidRPr="00DB4835">
        <w:rPr>
          <w:color w:val="000000"/>
        </w:rPr>
        <w:t>For Ontario consumers, the Alberta market seems unlikely to change where they can legally gamble. After all, players have to be within the province if they want to use regulated Ontario iGaming websites at all.</w:t>
      </w:r>
    </w:p>
    <w:p w14:paraId="10C6E15D" w14:textId="77777777" w:rsidR="00DB4835" w:rsidRPr="00DB4835" w:rsidRDefault="00DB4835" w:rsidP="00DB4835">
      <w:pPr>
        <w:pStyle w:val="NormalWeb"/>
        <w:spacing w:before="0" w:beforeAutospacing="0" w:after="160" w:afterAutospacing="0"/>
      </w:pPr>
      <w:r w:rsidRPr="00DB4835">
        <w:rPr>
          <w:color w:val="000000"/>
        </w:rPr>
        <w:lastRenderedPageBreak/>
        <w:t>That said, the bigger impact is likely to be witnessed at the industry level. To put this into perspective, operators now have another major market to serve - Alberta. While at it, Ontario remains the country’s established benchmark for private-sector iGaming competition.</w:t>
      </w:r>
    </w:p>
    <w:p w14:paraId="38C057DF" w14:textId="77777777" w:rsidR="00DB4835" w:rsidRPr="00DB4835" w:rsidRDefault="00DB4835" w:rsidP="00DB4835">
      <w:pPr>
        <w:pStyle w:val="NormalWeb"/>
        <w:spacing w:before="0" w:beforeAutospacing="0" w:after="160" w:afterAutospacing="0"/>
      </w:pPr>
      <w:r w:rsidRPr="00DB4835">
        <w:rPr>
          <w:color w:val="000000"/>
        </w:rPr>
        <w:t>Alberta is also using a different commercial revenue structure, with the province committing 80% of net iGaming revenues to operators - 20% to the government. Prior to this allocation, 3% of gross gaming revenues went to First Nations programs and social-responsibility funding.</w:t>
      </w:r>
    </w:p>
    <w:p w14:paraId="45F7CA7F" w14:textId="77777777" w:rsidR="00DB4835" w:rsidRPr="009B1A6D" w:rsidRDefault="00DB4835" w:rsidP="009B1A6D">
      <w:pPr>
        <w:pStyle w:val="Heading2"/>
        <w:rPr>
          <w:rFonts w:ascii="Arial" w:hAnsi="Arial" w:cs="Arial"/>
          <w:b/>
          <w:bCs/>
          <w:color w:val="auto"/>
          <w:sz w:val="36"/>
          <w:szCs w:val="36"/>
        </w:rPr>
      </w:pPr>
      <w:r w:rsidRPr="009B1A6D">
        <w:rPr>
          <w:rFonts w:ascii="Arial" w:hAnsi="Arial" w:cs="Arial"/>
          <w:b/>
          <w:bCs/>
          <w:color w:val="auto"/>
          <w:sz w:val="36"/>
          <w:szCs w:val="36"/>
        </w:rPr>
        <w:t>Ontario and Alberta Could Shape Canada's Next iGaming Phase</w:t>
      </w:r>
    </w:p>
    <w:p w14:paraId="4E2044B9" w14:textId="77777777" w:rsidR="00DB4835" w:rsidRDefault="00DB4835" w:rsidP="00DB4835">
      <w:pPr>
        <w:pStyle w:val="NormalWeb"/>
        <w:spacing w:before="0" w:beforeAutospacing="0" w:after="160" w:afterAutospacing="0"/>
        <w:rPr>
          <w:color w:val="000000"/>
        </w:rPr>
      </w:pPr>
      <w:r w:rsidRPr="00DB4835">
        <w:rPr>
          <w:color w:val="000000"/>
        </w:rPr>
        <w:t>Alberta’s launch of its iGaming market represents a significant shift within Canada’s online gambling sector. Ontario remains both the larger and more established market - it boasts dozens of regulated operators and wagering activity. Alberta now features a genuinely new and competitive environment for gambling companies. The development of both provinces and their markets will impact the future of operator strategies, regulation, and technology - as well as offer valuable lessons for the growth of regulated online gambling across Canada.</w:t>
      </w:r>
    </w:p>
    <w:p w14:paraId="4C7D1200" w14:textId="77777777" w:rsidR="00655A20" w:rsidRPr="00DB4835" w:rsidRDefault="00655A20" w:rsidP="00DB4835">
      <w:pPr>
        <w:pStyle w:val="NormalWeb"/>
        <w:spacing w:before="0" w:beforeAutospacing="0" w:after="160" w:afterAutospacing="0"/>
      </w:pPr>
    </w:p>
    <w:p w14:paraId="7D14FBDB" w14:textId="07261853" w:rsidR="004952DD" w:rsidRPr="00DB4835" w:rsidRDefault="00655A20">
      <w:r>
        <w:rPr>
          <w:noProof/>
        </w:rPr>
        <w:drawing>
          <wp:inline distT="0" distB="0" distL="0" distR="0" wp14:anchorId="5B7FD362" wp14:editId="5F2D597E">
            <wp:extent cx="5943600" cy="3341370"/>
            <wp:effectExtent l="0" t="0" r="0" b="0"/>
            <wp:docPr id="1699661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61030" name=""/>
                    <pic:cNvPicPr/>
                  </pic:nvPicPr>
                  <pic:blipFill>
                    <a:blip r:embed="rId4"/>
                    <a:stretch>
                      <a:fillRect/>
                    </a:stretch>
                  </pic:blipFill>
                  <pic:spPr>
                    <a:xfrm>
                      <a:off x="0" y="0"/>
                      <a:ext cx="5943600" cy="3341370"/>
                    </a:xfrm>
                    <a:prstGeom prst="rect">
                      <a:avLst/>
                    </a:prstGeom>
                  </pic:spPr>
                </pic:pic>
              </a:graphicData>
            </a:graphic>
          </wp:inline>
        </w:drawing>
      </w:r>
    </w:p>
    <w:sectPr w:rsidR="004952DD" w:rsidRPr="00DB48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835"/>
    <w:rsid w:val="000225F8"/>
    <w:rsid w:val="001203B8"/>
    <w:rsid w:val="001D2DDD"/>
    <w:rsid w:val="002B7AD5"/>
    <w:rsid w:val="004952DD"/>
    <w:rsid w:val="004F3065"/>
    <w:rsid w:val="005A3721"/>
    <w:rsid w:val="00655A20"/>
    <w:rsid w:val="00680E43"/>
    <w:rsid w:val="00735718"/>
    <w:rsid w:val="007F65CE"/>
    <w:rsid w:val="008371D1"/>
    <w:rsid w:val="009B1A6D"/>
    <w:rsid w:val="00D24617"/>
    <w:rsid w:val="00D912BA"/>
    <w:rsid w:val="00DB4835"/>
    <w:rsid w:val="00F06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8FE53"/>
  <w15:chartTrackingRefBased/>
  <w15:docId w15:val="{3F958F8F-7A6F-41EB-81DA-F8DCD7780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8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B48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48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48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48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48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8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8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8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8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B48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48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48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48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48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8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8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835"/>
    <w:rPr>
      <w:rFonts w:eastAsiaTheme="majorEastAsia" w:cstheme="majorBidi"/>
      <w:color w:val="272727" w:themeColor="text1" w:themeTint="D8"/>
    </w:rPr>
  </w:style>
  <w:style w:type="paragraph" w:styleId="Title">
    <w:name w:val="Title"/>
    <w:basedOn w:val="Normal"/>
    <w:next w:val="Normal"/>
    <w:link w:val="TitleChar"/>
    <w:uiPriority w:val="10"/>
    <w:qFormat/>
    <w:rsid w:val="00DB48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8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8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8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835"/>
    <w:pPr>
      <w:spacing w:before="160"/>
      <w:jc w:val="center"/>
    </w:pPr>
    <w:rPr>
      <w:i/>
      <w:iCs/>
      <w:color w:val="404040" w:themeColor="text1" w:themeTint="BF"/>
    </w:rPr>
  </w:style>
  <w:style w:type="character" w:customStyle="1" w:styleId="QuoteChar">
    <w:name w:val="Quote Char"/>
    <w:basedOn w:val="DefaultParagraphFont"/>
    <w:link w:val="Quote"/>
    <w:uiPriority w:val="29"/>
    <w:rsid w:val="00DB4835"/>
    <w:rPr>
      <w:i/>
      <w:iCs/>
      <w:color w:val="404040" w:themeColor="text1" w:themeTint="BF"/>
    </w:rPr>
  </w:style>
  <w:style w:type="paragraph" w:styleId="ListParagraph">
    <w:name w:val="List Paragraph"/>
    <w:basedOn w:val="Normal"/>
    <w:uiPriority w:val="34"/>
    <w:qFormat/>
    <w:rsid w:val="00DB4835"/>
    <w:pPr>
      <w:ind w:left="720"/>
      <w:contextualSpacing/>
    </w:pPr>
  </w:style>
  <w:style w:type="character" w:styleId="IntenseEmphasis">
    <w:name w:val="Intense Emphasis"/>
    <w:basedOn w:val="DefaultParagraphFont"/>
    <w:uiPriority w:val="21"/>
    <w:qFormat/>
    <w:rsid w:val="00DB4835"/>
    <w:rPr>
      <w:i/>
      <w:iCs/>
      <w:color w:val="2F5496" w:themeColor="accent1" w:themeShade="BF"/>
    </w:rPr>
  </w:style>
  <w:style w:type="paragraph" w:styleId="IntenseQuote">
    <w:name w:val="Intense Quote"/>
    <w:basedOn w:val="Normal"/>
    <w:next w:val="Normal"/>
    <w:link w:val="IntenseQuoteChar"/>
    <w:uiPriority w:val="30"/>
    <w:qFormat/>
    <w:rsid w:val="00DB48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4835"/>
    <w:rPr>
      <w:i/>
      <w:iCs/>
      <w:color w:val="2F5496" w:themeColor="accent1" w:themeShade="BF"/>
    </w:rPr>
  </w:style>
  <w:style w:type="character" w:styleId="IntenseReference">
    <w:name w:val="Intense Reference"/>
    <w:basedOn w:val="DefaultParagraphFont"/>
    <w:uiPriority w:val="32"/>
    <w:qFormat/>
    <w:rsid w:val="00DB4835"/>
    <w:rPr>
      <w:b/>
      <w:bCs/>
      <w:smallCaps/>
      <w:color w:val="2F5496" w:themeColor="accent1" w:themeShade="BF"/>
      <w:spacing w:val="5"/>
    </w:rPr>
  </w:style>
  <w:style w:type="paragraph" w:styleId="NormalWeb">
    <w:name w:val="Normal (Web)"/>
    <w:basedOn w:val="Normal"/>
    <w:uiPriority w:val="99"/>
    <w:semiHidden/>
    <w:unhideWhenUsed/>
    <w:rsid w:val="00DB483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975</Words>
  <Characters>5560</Characters>
  <Application>Microsoft Office Word</Application>
  <DocSecurity>0</DocSecurity>
  <Lines>46</Lines>
  <Paragraphs>13</Paragraphs>
  <ScaleCrop>false</ScaleCrop>
  <Company/>
  <LinksUpToDate>false</LinksUpToDate>
  <CharactersWithSpaces>6522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LAWRENCE</dc:creator>
  <cp:keywords/>
  <dc:description/>
  <cp:lastModifiedBy>LAWRENCE</cp:lastModifiedBy>
  <cp:revision>24</cp:revision>
  <dcterms:created xsi:type="dcterms:W3CDTF">2026-08-20T19:00:00Z</dcterms:created>
  <dcterms:modified xsi:type="dcterms:W3CDTF">2026-08-21T12:42:00Z</dcterms:modified>
</cp:coreProperties>
</file>