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97F6" w14:textId="77777777" w:rsidR="00E413A3" w:rsidRPr="006A51E2" w:rsidRDefault="00E413A3" w:rsidP="006A51E2">
      <w:pPr>
        <w:pStyle w:val="Heading1"/>
        <w:rPr>
          <w:rFonts w:ascii="Arial" w:hAnsi="Arial" w:cs="Arial"/>
          <w:b/>
          <w:bCs/>
          <w:color w:val="auto"/>
          <w:sz w:val="48"/>
          <w:szCs w:val="48"/>
        </w:rPr>
      </w:pPr>
      <w:r w:rsidRPr="006A51E2">
        <w:rPr>
          <w:rFonts w:ascii="Arial" w:hAnsi="Arial" w:cs="Arial"/>
          <w:b/>
          <w:bCs/>
          <w:color w:val="auto"/>
          <w:sz w:val="48"/>
          <w:szCs w:val="48"/>
        </w:rPr>
        <w:t>Ontario Opens Niagara to New Casino Operators: What the End of Casino Exclusivity Means for Gambling in 2026</w:t>
      </w:r>
    </w:p>
    <w:p w14:paraId="65ACA5D6" w14:textId="77777777" w:rsidR="00E413A3" w:rsidRPr="00E413A3" w:rsidRDefault="00E413A3" w:rsidP="00E413A3">
      <w:pPr>
        <w:pStyle w:val="NormalWeb"/>
        <w:spacing w:before="0" w:beforeAutospacing="0" w:after="160" w:afterAutospacing="0"/>
      </w:pPr>
      <w:r w:rsidRPr="00E413A3">
        <w:rPr>
          <w:color w:val="000000"/>
        </w:rPr>
        <w:t>Ontario is opening the door for more casino operators within the Niagara Region following the formation of a new agreement with MGE Niagara Entertainment Inc. The company owns both the Fallsview Casino Resort and Casino Niagara - the same operator in Ontario involved in the casino rights deal earlier this year. That agreement was announced on August 13, 2026, and removes MGE’s exclusivity rights to land-based casino gaming in the Niagara area - allowing Ontario to begin looking at other operators. This could significantly impact one of Canada’s best-known casino destinations while adding further competition to Ontario’s land-based gambling market.</w:t>
      </w:r>
    </w:p>
    <w:p w14:paraId="2B62EB0B"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t>Why Ontario Is Ending Casino Exclusivity in Niagara</w:t>
      </w:r>
    </w:p>
    <w:p w14:paraId="0CDFD8D8" w14:textId="77777777" w:rsidR="00E413A3" w:rsidRPr="00E413A3" w:rsidRDefault="00E413A3" w:rsidP="00E413A3">
      <w:pPr>
        <w:pStyle w:val="NormalWeb"/>
        <w:spacing w:before="0" w:beforeAutospacing="0" w:after="160" w:afterAutospacing="0"/>
      </w:pPr>
      <w:r w:rsidRPr="00E413A3">
        <w:rPr>
          <w:color w:val="000000"/>
        </w:rPr>
        <w:t>For years, MGE has operated Niagara’s two major casinos under an agreement with the Ontario Lottery and Gaming Corporation (OLG). The new deal allows the organization to continue operating both properties - but gives up its exclusive rights to casino gaming in the region. OLG plans to start a procurement process later in 2026 to identify potential new gaming operators.</w:t>
      </w:r>
    </w:p>
    <w:p w14:paraId="028E93C4" w14:textId="77777777" w:rsidR="00E413A3" w:rsidRPr="00E413A3" w:rsidRDefault="00E413A3" w:rsidP="00E413A3">
      <w:pPr>
        <w:pStyle w:val="NormalWeb"/>
        <w:spacing w:before="0" w:beforeAutospacing="0" w:after="160" w:afterAutospacing="0"/>
      </w:pPr>
      <w:r w:rsidRPr="00E413A3">
        <w:rPr>
          <w:color w:val="000000"/>
        </w:rPr>
        <w:t>This does not mean new casinos will open immediately. Each interested company will have to go through the province’s procurement and regulatory processes. The number, location, and size of future developments all depend on those processes and proposals received. The change is significant in that it removes a major barrier to additional private-sector investment in Niagara’s casino industry.</w:t>
      </w:r>
    </w:p>
    <w:p w14:paraId="32C769A5"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t>Niagara Already Has a Major Casino Market</w:t>
      </w:r>
    </w:p>
    <w:p w14:paraId="611494E1" w14:textId="77777777" w:rsidR="004B7865" w:rsidRDefault="006E7CDD" w:rsidP="00E413A3">
      <w:pPr>
        <w:pStyle w:val="NormalWeb"/>
        <w:spacing w:before="0" w:beforeAutospacing="0" w:after="160" w:afterAutospacing="0"/>
        <w:rPr>
          <w:color w:val="000000"/>
        </w:rPr>
      </w:pPr>
      <w:r>
        <w:rPr>
          <w:color w:val="000000"/>
        </w:rPr>
        <w:t>As we speak,</w:t>
      </w:r>
      <w:r w:rsidR="00D97877">
        <w:rPr>
          <w:color w:val="000000"/>
        </w:rPr>
        <w:t xml:space="preserve"> </w:t>
      </w:r>
      <w:r w:rsidR="00E413A3" w:rsidRPr="00E413A3">
        <w:rPr>
          <w:color w:val="000000"/>
        </w:rPr>
        <w:t xml:space="preserve">Niagara is home to two very substantial casino properties. </w:t>
      </w:r>
      <w:r w:rsidR="004B7865">
        <w:rPr>
          <w:color w:val="000000"/>
        </w:rPr>
        <w:t>These include;</w:t>
      </w:r>
    </w:p>
    <w:p w14:paraId="1182727E" w14:textId="768A0E45" w:rsidR="004B7865" w:rsidRPr="004B7865" w:rsidRDefault="004B7865" w:rsidP="004B7865">
      <w:pPr>
        <w:pStyle w:val="ListParagraph"/>
        <w:numPr>
          <w:ilvl w:val="0"/>
          <w:numId w:val="5"/>
        </w:numPr>
        <w:rPr>
          <w:rFonts w:ascii="Times New Roman" w:hAnsi="Times New Roman" w:cs="Times New Roman"/>
        </w:rPr>
      </w:pPr>
      <w:r w:rsidRPr="004B7865">
        <w:rPr>
          <w:rFonts w:ascii="Times New Roman" w:hAnsi="Times New Roman" w:cs="Times New Roman"/>
        </w:rPr>
        <w:t>Fallsview Casino Resort</w:t>
      </w:r>
    </w:p>
    <w:p w14:paraId="0B0417A1" w14:textId="29A33DE4" w:rsidR="004B7865" w:rsidRPr="004B7865" w:rsidRDefault="004B7865" w:rsidP="004B7865">
      <w:pPr>
        <w:pStyle w:val="ListParagraph"/>
        <w:numPr>
          <w:ilvl w:val="0"/>
          <w:numId w:val="5"/>
        </w:numPr>
        <w:rPr>
          <w:rFonts w:ascii="Times New Roman" w:hAnsi="Times New Roman" w:cs="Times New Roman"/>
        </w:rPr>
      </w:pPr>
      <w:r w:rsidRPr="004B7865">
        <w:rPr>
          <w:rFonts w:ascii="Times New Roman" w:hAnsi="Times New Roman" w:cs="Times New Roman"/>
        </w:rPr>
        <w:t>Casino Niagara</w:t>
      </w:r>
    </w:p>
    <w:p w14:paraId="272CB590" w14:textId="30C1AFCF" w:rsidR="00E413A3" w:rsidRPr="000216C2" w:rsidRDefault="004B7865" w:rsidP="00E413A3">
      <w:pPr>
        <w:pStyle w:val="NormalWeb"/>
        <w:spacing w:before="0" w:beforeAutospacing="0" w:after="160" w:afterAutospacing="0"/>
        <w:rPr>
          <w:color w:val="000000"/>
        </w:rPr>
      </w:pPr>
      <w:r>
        <w:rPr>
          <w:color w:val="000000"/>
        </w:rPr>
        <w:t xml:space="preserve">To start with, </w:t>
      </w:r>
      <w:r w:rsidR="00E413A3" w:rsidRPr="00E413A3">
        <w:rPr>
          <w:color w:val="000000"/>
        </w:rPr>
        <w:t>Fallsview Casino Resort has more than 3,200 slot machines and 110 gaming tables</w:t>
      </w:r>
      <w:r w:rsidR="000216C2">
        <w:rPr>
          <w:color w:val="000000"/>
        </w:rPr>
        <w:t xml:space="preserve">. This is </w:t>
      </w:r>
      <w:r w:rsidR="00E413A3" w:rsidRPr="00E413A3">
        <w:rPr>
          <w:color w:val="000000"/>
        </w:rPr>
        <w:t>according to its current property information. That said, Casino Niagara has more than 1,300 slot machines and 30 gaming tables.</w:t>
      </w:r>
    </w:p>
    <w:p w14:paraId="793E1EE4" w14:textId="77777777" w:rsidR="00E413A3" w:rsidRPr="00E413A3" w:rsidRDefault="00E413A3" w:rsidP="00E413A3">
      <w:pPr>
        <w:pStyle w:val="NormalWeb"/>
        <w:spacing w:before="0" w:beforeAutospacing="0" w:after="160" w:afterAutospacing="0"/>
      </w:pPr>
      <w:r w:rsidRPr="00E413A3">
        <w:rPr>
          <w:color w:val="000000"/>
        </w:rPr>
        <w:t>These properties provide a large level of existing gaming to the area. Fallsview also features hotels, restaurants, entertainment facilities, and the 5,000-seat OLG Stage - expanding the destination well beyond casino gambling. The removal of exclusivity thus presents an opportunity to develop new casino resorts or gaming and entertainment projects without replacing the two existing properties.</w:t>
      </w:r>
    </w:p>
    <w:p w14:paraId="5F33F8E7"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lastRenderedPageBreak/>
        <w:t>Ontario Wants More Tourism and Investment</w:t>
      </w:r>
    </w:p>
    <w:p w14:paraId="67E09B4B" w14:textId="77777777" w:rsidR="00E413A3" w:rsidRPr="00E413A3" w:rsidRDefault="00E413A3" w:rsidP="00E413A3">
      <w:pPr>
        <w:pStyle w:val="NormalWeb"/>
        <w:spacing w:before="0" w:beforeAutospacing="0" w:after="160" w:afterAutospacing="0"/>
      </w:pPr>
      <w:r w:rsidRPr="00E413A3">
        <w:rPr>
          <w:color w:val="000000"/>
        </w:rPr>
        <w:t>The Niagara casino decision forms part of the province’s broader Destination Niagara Strategy - aimed at boosting tourism and investment in the region.</w:t>
      </w:r>
    </w:p>
    <w:p w14:paraId="1161595C" w14:textId="55A9432A" w:rsidR="00E413A3" w:rsidRPr="00E413A3" w:rsidRDefault="00E413A3" w:rsidP="00E413A3">
      <w:pPr>
        <w:pStyle w:val="NormalWeb"/>
        <w:spacing w:before="0" w:beforeAutospacing="0" w:after="160" w:afterAutospacing="0"/>
      </w:pPr>
      <w:r w:rsidRPr="00E413A3">
        <w:rPr>
          <w:color w:val="000000"/>
        </w:rPr>
        <w:t> Ontario says the strategy aims to attract 25 million visitors annually and generate $3 billion in annual GDP. It also focuses on the following:</w:t>
      </w:r>
    </w:p>
    <w:p w14:paraId="5EADD99D" w14:textId="132E4E4B" w:rsidR="00E413A3" w:rsidRPr="00E413A3" w:rsidRDefault="00E413A3" w:rsidP="00E413A3">
      <w:pPr>
        <w:pStyle w:val="ListParagraph"/>
        <w:numPr>
          <w:ilvl w:val="0"/>
          <w:numId w:val="1"/>
        </w:numPr>
        <w:rPr>
          <w:rFonts w:ascii="Times New Roman" w:hAnsi="Times New Roman" w:cs="Times New Roman"/>
        </w:rPr>
      </w:pPr>
      <w:r w:rsidRPr="00E413A3">
        <w:rPr>
          <w:rFonts w:ascii="Times New Roman" w:hAnsi="Times New Roman" w:cs="Times New Roman"/>
        </w:rPr>
        <w:t>New attractions</w:t>
      </w:r>
    </w:p>
    <w:p w14:paraId="4E8248E8" w14:textId="0A05C418" w:rsidR="00E413A3" w:rsidRPr="00E413A3" w:rsidRDefault="00E413A3" w:rsidP="00E413A3">
      <w:pPr>
        <w:pStyle w:val="ListParagraph"/>
        <w:numPr>
          <w:ilvl w:val="0"/>
          <w:numId w:val="1"/>
        </w:numPr>
        <w:rPr>
          <w:rFonts w:ascii="Times New Roman" w:hAnsi="Times New Roman" w:cs="Times New Roman"/>
        </w:rPr>
      </w:pPr>
      <w:r w:rsidRPr="00E413A3">
        <w:rPr>
          <w:rFonts w:ascii="Times New Roman" w:hAnsi="Times New Roman" w:cs="Times New Roman"/>
        </w:rPr>
        <w:t>Arts and culture</w:t>
      </w:r>
    </w:p>
    <w:p w14:paraId="7733C332" w14:textId="7D74D1A2" w:rsidR="00E413A3" w:rsidRPr="00E413A3" w:rsidRDefault="00E413A3" w:rsidP="00E413A3">
      <w:pPr>
        <w:pStyle w:val="ListParagraph"/>
        <w:numPr>
          <w:ilvl w:val="0"/>
          <w:numId w:val="1"/>
        </w:numPr>
        <w:rPr>
          <w:rFonts w:ascii="Times New Roman" w:hAnsi="Times New Roman" w:cs="Times New Roman"/>
        </w:rPr>
      </w:pPr>
      <w:r w:rsidRPr="00E413A3">
        <w:rPr>
          <w:rFonts w:ascii="Times New Roman" w:hAnsi="Times New Roman" w:cs="Times New Roman"/>
        </w:rPr>
        <w:t>Hospitality</w:t>
      </w:r>
    </w:p>
    <w:p w14:paraId="17D449FB" w14:textId="6AA52359" w:rsidR="00E413A3" w:rsidRPr="00E413A3" w:rsidRDefault="00E413A3" w:rsidP="00E413A3">
      <w:pPr>
        <w:pStyle w:val="ListParagraph"/>
        <w:numPr>
          <w:ilvl w:val="0"/>
          <w:numId w:val="1"/>
        </w:numPr>
        <w:rPr>
          <w:rFonts w:ascii="Times New Roman" w:hAnsi="Times New Roman" w:cs="Times New Roman"/>
        </w:rPr>
      </w:pPr>
      <w:r w:rsidRPr="00E413A3">
        <w:rPr>
          <w:rFonts w:ascii="Times New Roman" w:hAnsi="Times New Roman" w:cs="Times New Roman"/>
        </w:rPr>
        <w:t>Improvements to transportation infrastructure</w:t>
      </w:r>
    </w:p>
    <w:p w14:paraId="4626DC8D" w14:textId="77777777" w:rsidR="00E413A3" w:rsidRPr="00E413A3" w:rsidRDefault="00E413A3" w:rsidP="00E413A3">
      <w:pPr>
        <w:pStyle w:val="NormalWeb"/>
        <w:spacing w:before="0" w:beforeAutospacing="0" w:after="160" w:afterAutospacing="0"/>
      </w:pPr>
      <w:r w:rsidRPr="00E413A3">
        <w:rPr>
          <w:color w:val="000000"/>
        </w:rPr>
        <w:t>Additional casino operators would add further support to these goals - particularly where new projects include hotels, restaurants, entertainment venues and other attractions. Both government and local officials have said such developments could bring investment and employment opportunities to Niagara.</w:t>
      </w:r>
    </w:p>
    <w:p w14:paraId="5BE7FA2B"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t>What More Casino Competition Could Mean</w:t>
      </w:r>
    </w:p>
    <w:p w14:paraId="6D752181" w14:textId="77777777" w:rsidR="00E413A3" w:rsidRPr="00E413A3" w:rsidRDefault="00E413A3" w:rsidP="00E413A3">
      <w:pPr>
        <w:pStyle w:val="NormalWeb"/>
        <w:spacing w:before="0" w:beforeAutospacing="0" w:after="160" w:afterAutospacing="0"/>
      </w:pPr>
      <w:r w:rsidRPr="00E413A3">
        <w:rPr>
          <w:color w:val="000000"/>
        </w:rPr>
        <w:t>The arrival of additional casino operators will change how gambling companies compete in Niagara.</w:t>
      </w:r>
    </w:p>
    <w:p w14:paraId="4193428E" w14:textId="77777777" w:rsidR="00E413A3" w:rsidRPr="00E413A3" w:rsidRDefault="00E413A3" w:rsidP="00E413A3">
      <w:pPr>
        <w:pStyle w:val="NormalWeb"/>
        <w:spacing w:before="0" w:beforeAutospacing="0" w:after="160" w:afterAutospacing="0"/>
      </w:pPr>
      <w:r w:rsidRPr="00E413A3">
        <w:rPr>
          <w:color w:val="000000"/>
        </w:rPr>
        <w:t>Each existing operator would face competition from new properties seeking these same elements - visitors, casino customers, and entertainment spending. Each would drive investments in hotel rooms, restaurants, entertainment, gaming facilities, and customer experiences.</w:t>
      </w:r>
    </w:p>
    <w:p w14:paraId="496D229E" w14:textId="77777777" w:rsidR="00E413A3" w:rsidRPr="00E413A3" w:rsidRDefault="00E413A3" w:rsidP="00E413A3">
      <w:pPr>
        <w:pStyle w:val="NormalWeb"/>
        <w:spacing w:before="0" w:beforeAutospacing="0" w:after="160" w:afterAutospacing="0"/>
      </w:pPr>
      <w:r w:rsidRPr="00E413A3">
        <w:rPr>
          <w:color w:val="000000"/>
        </w:rPr>
        <w:t>While there will eventually be more choices for visitors, it’s too soon to see whether new casinos will offer lower prices, broader entertainment offerings, or other consumer benefits. The real impact will largely depend on which companies enter the market and what type of developments they propose.</w:t>
      </w:r>
    </w:p>
    <w:p w14:paraId="7AD5E9DA"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t>MGE Will Continue Operating Its Niagara Casinos</w:t>
      </w:r>
    </w:p>
    <w:p w14:paraId="7B7943F5" w14:textId="77777777" w:rsidR="00E413A3" w:rsidRPr="00E413A3" w:rsidRDefault="00E413A3" w:rsidP="00E413A3">
      <w:pPr>
        <w:pStyle w:val="NormalWeb"/>
        <w:spacing w:before="0" w:beforeAutospacing="0" w:after="160" w:afterAutospacing="0"/>
      </w:pPr>
      <w:r w:rsidRPr="00E413A3">
        <w:rPr>
          <w:color w:val="000000"/>
        </w:rPr>
        <w:t>The ending of exclusivity does not remove MGE from Niagara. The company will operate both Fallsview Casino Resort and Casino Niagara under a long-term revenue-sharing arrangement with OLG. This is intended to expand the market rather than replace the existing operator.</w:t>
      </w:r>
    </w:p>
    <w:p w14:paraId="76310044" w14:textId="77777777" w:rsidR="00E413A3" w:rsidRPr="00E413A3" w:rsidRDefault="00E413A3" w:rsidP="00E413A3">
      <w:pPr>
        <w:pStyle w:val="NormalWeb"/>
        <w:spacing w:before="0" w:beforeAutospacing="0" w:after="160" w:afterAutospacing="0"/>
      </w:pPr>
      <w:r w:rsidRPr="00E413A3">
        <w:rPr>
          <w:color w:val="000000"/>
        </w:rPr>
        <w:t>MGE has also continued to invest in Fallsview. The resort opened Fallsview Privé - a luxury gaming area targeting high-end customers - in June 2026. Such an investment could become increasingly important as competition develops. An established operator with major facilities and upgrades will now have to prepare for potential new entrants.</w:t>
      </w:r>
    </w:p>
    <w:p w14:paraId="50E4310E" w14:textId="77777777" w:rsidR="00E413A3" w:rsidRPr="006A51E2" w:rsidRDefault="00E413A3" w:rsidP="006A51E2">
      <w:pPr>
        <w:pStyle w:val="Heading2"/>
        <w:rPr>
          <w:rFonts w:ascii="Arial" w:hAnsi="Arial" w:cs="Arial"/>
          <w:b/>
          <w:bCs/>
          <w:color w:val="auto"/>
          <w:sz w:val="36"/>
          <w:szCs w:val="36"/>
        </w:rPr>
      </w:pPr>
      <w:r w:rsidRPr="006A51E2">
        <w:rPr>
          <w:rFonts w:ascii="Arial" w:hAnsi="Arial" w:cs="Arial"/>
          <w:b/>
          <w:bCs/>
          <w:color w:val="auto"/>
          <w:sz w:val="36"/>
          <w:szCs w:val="36"/>
        </w:rPr>
        <w:t>New Casino Operators Face Regulatory Oversight</w:t>
      </w:r>
    </w:p>
    <w:p w14:paraId="24F8BF32" w14:textId="4CB881F4" w:rsidR="00272725" w:rsidRPr="00272725" w:rsidRDefault="00E413A3" w:rsidP="00272725">
      <w:pPr>
        <w:pStyle w:val="NormalWeb"/>
        <w:rPr>
          <w:color w:val="000000"/>
        </w:rPr>
      </w:pPr>
      <w:r w:rsidRPr="00E413A3">
        <w:rPr>
          <w:color w:val="000000"/>
        </w:rPr>
        <w:t xml:space="preserve">Any new casino operator will still have to comply with Ontario’s gambling regulatory framework. </w:t>
      </w:r>
      <w:r w:rsidR="00272725" w:rsidRPr="00272725">
        <w:rPr>
          <w:color w:val="000000"/>
        </w:rPr>
        <w:t>OLG oversees commercial gaming within the province while private operators manage casino facilities under agreements with OLG.</w:t>
      </w:r>
    </w:p>
    <w:p w14:paraId="2CCE25E6" w14:textId="0DE6431C" w:rsidR="00272725" w:rsidRDefault="00272725" w:rsidP="006A51E2">
      <w:pPr>
        <w:pStyle w:val="NormalWeb"/>
        <w:rPr>
          <w:color w:val="000000"/>
        </w:rPr>
      </w:pPr>
      <w:r w:rsidRPr="00272725">
        <w:rPr>
          <w:color w:val="000000"/>
        </w:rPr>
        <w:lastRenderedPageBreak/>
        <w:t>The Alcohol and Gaming Commission of Ontario (AGCO) also has a key role to play in regulating gambling activities and ensuring operators conform to provincial standards.</w:t>
      </w:r>
      <w:r w:rsidR="006A51E2">
        <w:rPr>
          <w:color w:val="000000"/>
        </w:rPr>
        <w:t xml:space="preserve"> </w:t>
      </w:r>
      <w:r w:rsidRPr="00272725">
        <w:rPr>
          <w:color w:val="000000"/>
        </w:rPr>
        <w:t>This means that ending exclusivity does not mean removing oversight - new operators will have to meet all requirements relating to gaming integrity, responsible gambling and financial controls and other regulatory obligations.</w:t>
      </w:r>
    </w:p>
    <w:p w14:paraId="5BDB930B" w14:textId="77777777" w:rsidR="00E413A3" w:rsidRPr="006A51E2" w:rsidRDefault="00E413A3" w:rsidP="006A51E2">
      <w:pPr>
        <w:pStyle w:val="Heading2"/>
        <w:rPr>
          <w:rFonts w:ascii="Arial" w:hAnsi="Arial" w:cs="Arial"/>
          <w:b/>
          <w:bCs/>
          <w:sz w:val="36"/>
          <w:szCs w:val="36"/>
        </w:rPr>
      </w:pPr>
      <w:r w:rsidRPr="006A51E2">
        <w:rPr>
          <w:rFonts w:ascii="Arial" w:hAnsi="Arial" w:cs="Arial"/>
          <w:b/>
          <w:bCs/>
          <w:color w:val="auto"/>
          <w:sz w:val="36"/>
          <w:szCs w:val="36"/>
        </w:rPr>
        <w:t>What the End of Casino Exclusivity Means for Ontario Gambling</w:t>
      </w:r>
    </w:p>
    <w:p w14:paraId="11A4F8F9" w14:textId="77777777" w:rsidR="00E413A3" w:rsidRPr="00E413A3" w:rsidRDefault="00E413A3" w:rsidP="00E413A3">
      <w:pPr>
        <w:pStyle w:val="NormalWeb"/>
        <w:spacing w:before="0" w:beforeAutospacing="0" w:after="160" w:afterAutospacing="0"/>
      </w:pPr>
      <w:r w:rsidRPr="00E413A3">
        <w:rPr>
          <w:color w:val="000000"/>
        </w:rPr>
        <w:t>The move by Ontario to allow new casinos in Niagara may be one of the biggest land-based gambling developments in the province in 2026. There are already two big casinos in the area, and the expiration of MGE's exclusive rights opens the door to new investment and competition.</w:t>
      </w:r>
    </w:p>
    <w:p w14:paraId="00F0121F" w14:textId="77777777" w:rsidR="00E413A3" w:rsidRPr="00E413A3" w:rsidRDefault="00E413A3" w:rsidP="00E413A3">
      <w:pPr>
        <w:pStyle w:val="NormalWeb"/>
        <w:spacing w:before="0" w:beforeAutospacing="0" w:after="160" w:afterAutospacing="0"/>
      </w:pPr>
      <w:r w:rsidRPr="00E413A3">
        <w:rPr>
          <w:color w:val="000000"/>
        </w:rPr>
        <w:t>For the gambling industry, Niagara could become even more important as a casino destination. That said, for the province, the aim is to integrate gaming with tourism, hospitality, and entertainment.</w:t>
      </w:r>
    </w:p>
    <w:p w14:paraId="14F3E271" w14:textId="77777777" w:rsidR="00E413A3" w:rsidRDefault="00E413A3" w:rsidP="00E413A3">
      <w:pPr>
        <w:pStyle w:val="NormalWeb"/>
        <w:spacing w:before="0" w:beforeAutospacing="0" w:after="160" w:afterAutospacing="0"/>
        <w:rPr>
          <w:color w:val="000000"/>
        </w:rPr>
      </w:pPr>
      <w:r w:rsidRPr="00E413A3">
        <w:rPr>
          <w:color w:val="000000"/>
        </w:rPr>
        <w:t>The focus right now will fall on the OLG procurement process. Until operators are selected and projects approved, the exact nature of the market remains uncertain. What is clear, though, is that Ontario casino gambling is entering a new competitive phase in Niagara –  with implications for gaming and tourism across the region for years to come.</w:t>
      </w:r>
    </w:p>
    <w:p w14:paraId="54C87F2E" w14:textId="77777777" w:rsidR="00377BBB" w:rsidRPr="00E413A3" w:rsidRDefault="00377BBB" w:rsidP="00E413A3">
      <w:pPr>
        <w:pStyle w:val="NormalWeb"/>
        <w:spacing w:before="0" w:beforeAutospacing="0" w:after="160" w:afterAutospacing="0"/>
      </w:pPr>
    </w:p>
    <w:p w14:paraId="64669B35" w14:textId="2A830E34" w:rsidR="004952DD" w:rsidRPr="00E413A3" w:rsidRDefault="00377BBB">
      <w:pPr>
        <w:rPr>
          <w:rFonts w:ascii="Times New Roman" w:hAnsi="Times New Roman" w:cs="Times New Roman"/>
        </w:rPr>
      </w:pPr>
      <w:r>
        <w:rPr>
          <w:noProof/>
        </w:rPr>
        <w:drawing>
          <wp:inline distT="0" distB="0" distL="0" distR="0" wp14:anchorId="00C49A71" wp14:editId="36C36554">
            <wp:extent cx="5943600" cy="3341370"/>
            <wp:effectExtent l="0" t="0" r="0" b="0"/>
            <wp:docPr id="50783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3213" name=""/>
                    <pic:cNvPicPr/>
                  </pic:nvPicPr>
                  <pic:blipFill>
                    <a:blip r:embed="rId5"/>
                    <a:stretch>
                      <a:fillRect/>
                    </a:stretch>
                  </pic:blipFill>
                  <pic:spPr>
                    <a:xfrm>
                      <a:off x="0" y="0"/>
                      <a:ext cx="5943600" cy="3341370"/>
                    </a:xfrm>
                    <a:prstGeom prst="rect">
                      <a:avLst/>
                    </a:prstGeom>
                  </pic:spPr>
                </pic:pic>
              </a:graphicData>
            </a:graphic>
          </wp:inline>
        </w:drawing>
      </w:r>
    </w:p>
    <w:sectPr w:rsidR="004952DD" w:rsidRPr="00E4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462"/>
    <w:multiLevelType w:val="hybridMultilevel"/>
    <w:tmpl w:val="0150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229B8"/>
    <w:multiLevelType w:val="hybridMultilevel"/>
    <w:tmpl w:val="88686DE8"/>
    <w:lvl w:ilvl="0" w:tplc="04090001">
      <w:start w:val="1"/>
      <w:numFmt w:val="bullet"/>
      <w:lvlText w:val=""/>
      <w:lvlJc w:val="left"/>
      <w:pPr>
        <w:ind w:left="975" w:hanging="615"/>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9B41F4"/>
    <w:multiLevelType w:val="hybridMultilevel"/>
    <w:tmpl w:val="FD38DD04"/>
    <w:lvl w:ilvl="0" w:tplc="97F86AC2">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078C8"/>
    <w:multiLevelType w:val="hybridMultilevel"/>
    <w:tmpl w:val="18A034C2"/>
    <w:lvl w:ilvl="0" w:tplc="97F86AC2">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A7B3C"/>
    <w:multiLevelType w:val="hybridMultilevel"/>
    <w:tmpl w:val="02EC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649831">
    <w:abstractNumId w:val="0"/>
  </w:num>
  <w:num w:numId="2" w16cid:durableId="131169490">
    <w:abstractNumId w:val="3"/>
  </w:num>
  <w:num w:numId="3" w16cid:durableId="234362349">
    <w:abstractNumId w:val="2"/>
  </w:num>
  <w:num w:numId="4" w16cid:durableId="1165823374">
    <w:abstractNumId w:val="1"/>
  </w:num>
  <w:num w:numId="5" w16cid:durableId="210259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A3"/>
    <w:rsid w:val="000216C2"/>
    <w:rsid w:val="00102C3E"/>
    <w:rsid w:val="00141F3B"/>
    <w:rsid w:val="001D2DDD"/>
    <w:rsid w:val="00272725"/>
    <w:rsid w:val="002B7AD5"/>
    <w:rsid w:val="00377BBB"/>
    <w:rsid w:val="004952DD"/>
    <w:rsid w:val="004B7865"/>
    <w:rsid w:val="00504A55"/>
    <w:rsid w:val="00680E43"/>
    <w:rsid w:val="006A51E2"/>
    <w:rsid w:val="006E7CDD"/>
    <w:rsid w:val="00723330"/>
    <w:rsid w:val="00735718"/>
    <w:rsid w:val="00A12AE7"/>
    <w:rsid w:val="00D05A16"/>
    <w:rsid w:val="00D97877"/>
    <w:rsid w:val="00E413A3"/>
    <w:rsid w:val="00EC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4093"/>
  <w15:chartTrackingRefBased/>
  <w15:docId w15:val="{86A2A468-56CA-4749-B643-612211D7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1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1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3A3"/>
    <w:rPr>
      <w:rFonts w:eastAsiaTheme="majorEastAsia" w:cstheme="majorBidi"/>
      <w:color w:val="272727" w:themeColor="text1" w:themeTint="D8"/>
    </w:rPr>
  </w:style>
  <w:style w:type="paragraph" w:styleId="Title">
    <w:name w:val="Title"/>
    <w:basedOn w:val="Normal"/>
    <w:next w:val="Normal"/>
    <w:link w:val="TitleChar"/>
    <w:uiPriority w:val="10"/>
    <w:qFormat/>
    <w:rsid w:val="00E4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3A3"/>
    <w:pPr>
      <w:spacing w:before="160"/>
      <w:jc w:val="center"/>
    </w:pPr>
    <w:rPr>
      <w:i/>
      <w:iCs/>
      <w:color w:val="404040" w:themeColor="text1" w:themeTint="BF"/>
    </w:rPr>
  </w:style>
  <w:style w:type="character" w:customStyle="1" w:styleId="QuoteChar">
    <w:name w:val="Quote Char"/>
    <w:basedOn w:val="DefaultParagraphFont"/>
    <w:link w:val="Quote"/>
    <w:uiPriority w:val="29"/>
    <w:rsid w:val="00E413A3"/>
    <w:rPr>
      <w:i/>
      <w:iCs/>
      <w:color w:val="404040" w:themeColor="text1" w:themeTint="BF"/>
    </w:rPr>
  </w:style>
  <w:style w:type="paragraph" w:styleId="ListParagraph">
    <w:name w:val="List Paragraph"/>
    <w:basedOn w:val="Normal"/>
    <w:uiPriority w:val="34"/>
    <w:qFormat/>
    <w:rsid w:val="00E413A3"/>
    <w:pPr>
      <w:ind w:left="720"/>
      <w:contextualSpacing/>
    </w:pPr>
  </w:style>
  <w:style w:type="character" w:styleId="IntenseEmphasis">
    <w:name w:val="Intense Emphasis"/>
    <w:basedOn w:val="DefaultParagraphFont"/>
    <w:uiPriority w:val="21"/>
    <w:qFormat/>
    <w:rsid w:val="00E413A3"/>
    <w:rPr>
      <w:i/>
      <w:iCs/>
      <w:color w:val="2F5496" w:themeColor="accent1" w:themeShade="BF"/>
    </w:rPr>
  </w:style>
  <w:style w:type="paragraph" w:styleId="IntenseQuote">
    <w:name w:val="Intense Quote"/>
    <w:basedOn w:val="Normal"/>
    <w:next w:val="Normal"/>
    <w:link w:val="IntenseQuoteChar"/>
    <w:uiPriority w:val="30"/>
    <w:qFormat/>
    <w:rsid w:val="00E41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3A3"/>
    <w:rPr>
      <w:i/>
      <w:iCs/>
      <w:color w:val="2F5496" w:themeColor="accent1" w:themeShade="BF"/>
    </w:rPr>
  </w:style>
  <w:style w:type="character" w:styleId="IntenseReference">
    <w:name w:val="Intense Reference"/>
    <w:basedOn w:val="DefaultParagraphFont"/>
    <w:uiPriority w:val="32"/>
    <w:qFormat/>
    <w:rsid w:val="00E413A3"/>
    <w:rPr>
      <w:b/>
      <w:bCs/>
      <w:smallCaps/>
      <w:color w:val="2F5496" w:themeColor="accent1" w:themeShade="BF"/>
      <w:spacing w:val="5"/>
    </w:rPr>
  </w:style>
  <w:style w:type="paragraph" w:styleId="NormalWeb">
    <w:name w:val="Normal (Web)"/>
    <w:basedOn w:val="Normal"/>
    <w:uiPriority w:val="99"/>
    <w:semiHidden/>
    <w:unhideWhenUsed/>
    <w:rsid w:val="00E413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47</cp:revision>
  <dcterms:created xsi:type="dcterms:W3CDTF">2026-08-20T15:28:00Z</dcterms:created>
  <dcterms:modified xsi:type="dcterms:W3CDTF">2026-08-21T12:44:00Z</dcterms:modified>
</cp:coreProperties>
</file>