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AE7F" w14:textId="77777777" w:rsidR="00041293" w:rsidRPr="000651AC" w:rsidRDefault="00041293" w:rsidP="000651AC">
      <w:pPr>
        <w:pStyle w:val="Heading1"/>
        <w:rPr>
          <w:rFonts w:ascii="Arial" w:hAnsi="Arial" w:cs="Arial"/>
          <w:b/>
          <w:bCs/>
          <w:color w:val="auto"/>
          <w:sz w:val="48"/>
          <w:szCs w:val="48"/>
        </w:rPr>
      </w:pPr>
      <w:r w:rsidRPr="000651AC">
        <w:rPr>
          <w:rFonts w:ascii="Arial" w:hAnsi="Arial" w:cs="Arial"/>
          <w:b/>
          <w:bCs/>
          <w:color w:val="auto"/>
          <w:sz w:val="48"/>
          <w:szCs w:val="48"/>
        </w:rPr>
        <w:t>Ontario Sports Betting in 2026: Why Advertising Rules, Operator Competition and Player Protection Are Under the Spotlight</w:t>
      </w:r>
    </w:p>
    <w:p w14:paraId="75412A8E"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The sports betting market in Ontario appears to be entering yet another important stage in 2026 - with strong wagering activity, increasing competition among operators and regulators continuing to focus on advertising and player protection. The regulated iGaming market within the province recorded $9.46 billion in total cash wagers in June 2026 - a figure that represents a 30.3% increase compared to the same period last year. Sports betting contributed well over $1.03 billion in wagers that month – figures supported by the 2026 FIFA World Cup</w:t>
      </w:r>
    </w:p>
    <w:p w14:paraId="600A836B"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With more sports betting operators entering the market in Ontario, it is important to find a balance between the commercial interests of the sports betting operators and promoting responsible gambling in the province.</w:t>
      </w:r>
    </w:p>
    <w:p w14:paraId="0E608733" w14:textId="77777777" w:rsidR="00041293" w:rsidRPr="000651AC" w:rsidRDefault="00041293" w:rsidP="000651AC">
      <w:pPr>
        <w:pStyle w:val="Heading2"/>
        <w:rPr>
          <w:rFonts w:ascii="Arial" w:hAnsi="Arial" w:cs="Arial"/>
          <w:b/>
          <w:bCs/>
          <w:color w:val="auto"/>
          <w:sz w:val="36"/>
          <w:szCs w:val="36"/>
        </w:rPr>
      </w:pPr>
      <w:r w:rsidRPr="000651AC">
        <w:rPr>
          <w:rFonts w:ascii="Arial" w:hAnsi="Arial" w:cs="Arial"/>
          <w:b/>
          <w:bCs/>
          <w:color w:val="auto"/>
          <w:sz w:val="36"/>
          <w:szCs w:val="36"/>
        </w:rPr>
        <w:t>Ontario Sports Betting Continues to Grow</w:t>
      </w:r>
    </w:p>
    <w:p w14:paraId="282F7583"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The latest figures from iGaming Ontario indicate that online gambling remains a major part of the province’s entertainment economy. The total wagers in June reached $9.46 billion with operators taking in $400.6 million in non-adjusted gross gaming revenue - a figure reflecting a 30.6% year-over-year increase.</w:t>
      </w:r>
    </w:p>
    <w:p w14:paraId="3FBBEF18"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Sports betting featured roughly $1.03 billion of June’s wager total - one of the strongest performances in 2026 for such activity. The sports betting revenue took in $78.6 million during the month, more than 30% above the figure attained in June 2025. The FIFA World Cup, which began in June, further boosted activity in the industry as fans had a major international tournament to follow.</w:t>
      </w:r>
    </w:p>
    <w:p w14:paraId="27D030A8"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Sports betting remains smaller than online casino gaming activity within the province, though. Casino wagers accounted for about 88% of June’s total handle, while sports betting represented roughly 11%.</w:t>
      </w:r>
    </w:p>
    <w:p w14:paraId="78E754B3" w14:textId="77777777" w:rsidR="00041293" w:rsidRPr="000651AC" w:rsidRDefault="00041293" w:rsidP="000651AC">
      <w:pPr>
        <w:pStyle w:val="Heading2"/>
        <w:rPr>
          <w:rFonts w:ascii="Arial" w:hAnsi="Arial" w:cs="Arial"/>
          <w:b/>
          <w:bCs/>
          <w:color w:val="auto"/>
          <w:sz w:val="36"/>
          <w:szCs w:val="36"/>
        </w:rPr>
      </w:pPr>
      <w:r w:rsidRPr="000651AC">
        <w:rPr>
          <w:rFonts w:ascii="Arial" w:hAnsi="Arial" w:cs="Arial"/>
          <w:b/>
          <w:bCs/>
          <w:color w:val="auto"/>
          <w:sz w:val="36"/>
          <w:szCs w:val="36"/>
        </w:rPr>
        <w:t>More Operators Mean More Competition</w:t>
      </w:r>
    </w:p>
    <w:p w14:paraId="5DA955A8"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Competition is another major issue shaping  Ontario sports betting in 2026. The regulated market continues to expand - giving bettors even more choices within the available sportsbooks.</w:t>
      </w:r>
    </w:p>
    <w:p w14:paraId="4447E6F9"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lastRenderedPageBreak/>
        <w:t>By June, the province had 48 licensed operators running 82 active gaming websites - according to market data reported by iGaming Ontario. These figures do not include activity from the government-operated Ontario Lottery and Gaming platform.</w:t>
      </w:r>
    </w:p>
    <w:p w14:paraId="1574A93D"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New brands entering or expanding within Ontario have to contend against well-established sportsbooks and solid customer bases. Such an environment helps to foster improvements in markets, apps, payments, customer service and tools related to responsible gambling. It also creates pressure to stand out in a crowded market. Advertising thus becomes a crucial part of the competition. Thankfully, this is an area where Ontario has established strict rules.</w:t>
      </w:r>
    </w:p>
    <w:p w14:paraId="378D4747" w14:textId="77777777" w:rsidR="00041293" w:rsidRPr="000651AC" w:rsidRDefault="00041293" w:rsidP="000651AC">
      <w:pPr>
        <w:pStyle w:val="Heading2"/>
        <w:rPr>
          <w:rFonts w:ascii="Arial" w:hAnsi="Arial" w:cs="Arial"/>
          <w:b/>
          <w:bCs/>
          <w:color w:val="auto"/>
          <w:sz w:val="36"/>
          <w:szCs w:val="36"/>
        </w:rPr>
      </w:pPr>
      <w:r w:rsidRPr="000651AC">
        <w:rPr>
          <w:rFonts w:ascii="Arial" w:hAnsi="Arial" w:cs="Arial"/>
          <w:b/>
          <w:bCs/>
          <w:color w:val="auto"/>
          <w:sz w:val="36"/>
          <w:szCs w:val="36"/>
        </w:rPr>
        <w:t>Advertising Rules Remain Under the Spotlight</w:t>
      </w:r>
    </w:p>
    <w:p w14:paraId="41F43886"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Some of the most closely followed iGaming ads in Canada are in Ontario. The Alcohol and Gaming Commission of Ontario (AGCO) created a set of regulations for internet gaming marketing, which also applies to sports and event betting.</w:t>
      </w:r>
    </w:p>
    <w:p w14:paraId="51293C54"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The most important one is the athlete restriction. Ontario barred the use of active or retired sports professionals in ads and marketing for registered iGaming operators, with a few exceptions (e.g., responsible-gambling promotion).</w:t>
      </w:r>
    </w:p>
    <w:p w14:paraId="35FC3F94"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The rules also cover the use of celebrities, influencers, role models and other personalities who might be an appeal to minors. This is especially relevant for sports betting - where ads can be displayed alongside sports events that have high viewership, including among youth. The objective is to permit legitimate operators to market their services - while minimizing the risk that gambling advertising normalizes betting among minors or encourages risky behavior.</w:t>
      </w:r>
    </w:p>
    <w:p w14:paraId="291FDB2C" w14:textId="77777777" w:rsidR="00041293" w:rsidRPr="000651AC" w:rsidRDefault="00041293" w:rsidP="000651AC">
      <w:pPr>
        <w:pStyle w:val="Heading2"/>
        <w:rPr>
          <w:rFonts w:ascii="Arial" w:hAnsi="Arial" w:cs="Arial"/>
          <w:b/>
          <w:bCs/>
          <w:color w:val="auto"/>
          <w:sz w:val="36"/>
          <w:szCs w:val="36"/>
        </w:rPr>
      </w:pPr>
      <w:r w:rsidRPr="000651AC">
        <w:rPr>
          <w:rFonts w:ascii="Arial" w:hAnsi="Arial" w:cs="Arial"/>
          <w:b/>
          <w:bCs/>
          <w:color w:val="auto"/>
          <w:sz w:val="36"/>
          <w:szCs w:val="36"/>
        </w:rPr>
        <w:t>Player Protection Becomes More Important</w:t>
      </w:r>
    </w:p>
    <w:p w14:paraId="6A6920DF" w14:textId="77777777" w:rsidR="00C3077B" w:rsidRDefault="00041293" w:rsidP="00041293">
      <w:pPr>
        <w:rPr>
          <w:rFonts w:ascii="Times New Roman" w:hAnsi="Times New Roman" w:cs="Times New Roman"/>
        </w:rPr>
      </w:pPr>
      <w:r w:rsidRPr="00D3151A">
        <w:rPr>
          <w:rFonts w:ascii="Times New Roman" w:hAnsi="Times New Roman" w:cs="Times New Roman"/>
        </w:rPr>
        <w:t xml:space="preserve">With increased participation, player protection is just as important as the growth of the market. June recorded approximately 1.32 million active player accounts, according to market reporting based on iGaming Ontario’s latest figures. </w:t>
      </w:r>
    </w:p>
    <w:p w14:paraId="0413FA1A" w14:textId="4530563C" w:rsidR="00041293" w:rsidRPr="00D3151A" w:rsidRDefault="00041293" w:rsidP="00041293">
      <w:pPr>
        <w:rPr>
          <w:rFonts w:ascii="Times New Roman" w:hAnsi="Times New Roman" w:cs="Times New Roman"/>
        </w:rPr>
      </w:pPr>
      <w:r w:rsidRPr="00D3151A">
        <w:rPr>
          <w:rFonts w:ascii="Times New Roman" w:hAnsi="Times New Roman" w:cs="Times New Roman"/>
        </w:rPr>
        <w:t>Average revenue per active account was about $304.</w:t>
      </w:r>
      <w:r w:rsidR="00C3077B">
        <w:rPr>
          <w:rFonts w:ascii="Times New Roman" w:hAnsi="Times New Roman" w:cs="Times New Roman"/>
        </w:rPr>
        <w:t xml:space="preserve"> </w:t>
      </w:r>
      <w:r w:rsidRPr="00D3151A">
        <w:rPr>
          <w:rFonts w:ascii="Times New Roman" w:hAnsi="Times New Roman" w:cs="Times New Roman"/>
        </w:rPr>
        <w:t>Ontario’s regulated framework requires such responsible gambling measures - tools to assist with gambling activity and features regarding access to support services.</w:t>
      </w:r>
    </w:p>
    <w:p w14:paraId="0D6E5EDC"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The province is also moving towards stronger centralized protection. A centralized self-exclusion framework known as BetGuard was introduced in May, 2026, offering a single means of excluding players from participating in regulated gambling sites - rather than managing exclusions with individual operators. This development is particularly relevant as the number of regulated Ontario sports betting and casino websites continues to increase.</w:t>
      </w:r>
    </w:p>
    <w:p w14:paraId="5E39E63A" w14:textId="77777777" w:rsidR="00041293" w:rsidRPr="000651AC" w:rsidRDefault="00041293" w:rsidP="000651AC">
      <w:pPr>
        <w:pStyle w:val="Heading2"/>
        <w:rPr>
          <w:rFonts w:ascii="Arial" w:hAnsi="Arial" w:cs="Arial"/>
          <w:b/>
          <w:bCs/>
          <w:color w:val="auto"/>
          <w:sz w:val="36"/>
          <w:szCs w:val="36"/>
        </w:rPr>
      </w:pPr>
      <w:r w:rsidRPr="000651AC">
        <w:rPr>
          <w:rFonts w:ascii="Arial" w:hAnsi="Arial" w:cs="Arial"/>
          <w:b/>
          <w:bCs/>
          <w:color w:val="auto"/>
          <w:sz w:val="36"/>
          <w:szCs w:val="36"/>
        </w:rPr>
        <w:lastRenderedPageBreak/>
        <w:t>What Ontario Bettors Should Watch</w:t>
      </w:r>
    </w:p>
    <w:p w14:paraId="6B31FE32" w14:textId="5834DD01" w:rsidR="00C3077B" w:rsidRDefault="00041293" w:rsidP="00041293">
      <w:pPr>
        <w:rPr>
          <w:rFonts w:ascii="Times New Roman" w:hAnsi="Times New Roman" w:cs="Times New Roman"/>
        </w:rPr>
      </w:pPr>
      <w:r w:rsidRPr="00D3151A">
        <w:rPr>
          <w:rFonts w:ascii="Times New Roman" w:hAnsi="Times New Roman" w:cs="Times New Roman"/>
        </w:rPr>
        <w:t>For consumers, the growth of the Ontario sports betting market means greater choice - and greater responsibility in selecting the right betting platform. A regulated operator should be identifiable within the regulatory framework of Ontario, and bettors should understand the site features, terms and responsible gambling elements before placing wagers.</w:t>
      </w:r>
      <w:r w:rsidR="00C3077B">
        <w:rPr>
          <w:rFonts w:ascii="Times New Roman" w:hAnsi="Times New Roman" w:cs="Times New Roman"/>
        </w:rPr>
        <w:t xml:space="preserve"> </w:t>
      </w:r>
      <w:r w:rsidRPr="00D3151A">
        <w:rPr>
          <w:rFonts w:ascii="Times New Roman" w:hAnsi="Times New Roman" w:cs="Times New Roman"/>
        </w:rPr>
        <w:t>The challenge for operators is quite different - they have to compete for customers while ensuring that their adverts, promotions and betting products comply with Ontario standards.</w:t>
      </w:r>
    </w:p>
    <w:p w14:paraId="4CD71B09" w14:textId="682EEC74" w:rsidR="00041293" w:rsidRPr="00D3151A" w:rsidRDefault="00041293" w:rsidP="00041293">
      <w:pPr>
        <w:rPr>
          <w:rFonts w:ascii="Times New Roman" w:hAnsi="Times New Roman" w:cs="Times New Roman"/>
        </w:rPr>
      </w:pPr>
      <w:r w:rsidRPr="00D3151A">
        <w:rPr>
          <w:rFonts w:ascii="Times New Roman" w:hAnsi="Times New Roman" w:cs="Times New Roman"/>
        </w:rPr>
        <w:t>The strong figures for June show that the market remains commercially very attractive. However, the next stage of the market will not be defined solely by wagering growth - regulators will also pay close attention to whether operators continue to meet high standards for advertising, compliance and player protection.</w:t>
      </w:r>
    </w:p>
    <w:p w14:paraId="73350D7F" w14:textId="77777777" w:rsidR="00041293" w:rsidRPr="000651AC" w:rsidRDefault="00041293" w:rsidP="000651AC">
      <w:pPr>
        <w:pStyle w:val="Heading2"/>
        <w:rPr>
          <w:rFonts w:ascii="Arial" w:hAnsi="Arial" w:cs="Arial"/>
          <w:b/>
          <w:bCs/>
          <w:color w:val="auto"/>
          <w:sz w:val="36"/>
          <w:szCs w:val="36"/>
        </w:rPr>
      </w:pPr>
      <w:r w:rsidRPr="000651AC">
        <w:rPr>
          <w:rFonts w:ascii="Arial" w:hAnsi="Arial" w:cs="Arial"/>
          <w:b/>
          <w:bCs/>
          <w:color w:val="auto"/>
          <w:sz w:val="36"/>
          <w:szCs w:val="36"/>
        </w:rPr>
        <w:t>What’s Next for Ontario’s Sports Betting Market in 2026?</w:t>
      </w:r>
    </w:p>
    <w:p w14:paraId="5553AA2F"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Ontario’s sports betting market will likely remain very competitive throughout the rest of 2026 as regulated operators continue to expand and attract customers. The market already features 48 operators and 83 regulated gaming websites as of August 2026 - an indication that competition is already intense. At the same time, advertising standards and player-protection measures will remain important, including the centralized BetGuard self-exclusion system and tighter responsible-gambling advertising rules.</w:t>
      </w:r>
    </w:p>
    <w:p w14:paraId="05B4C065" w14:textId="02956E87" w:rsidR="00041293" w:rsidRPr="00D3151A" w:rsidRDefault="00041293" w:rsidP="00041293">
      <w:pPr>
        <w:rPr>
          <w:rFonts w:ascii="Times New Roman" w:hAnsi="Times New Roman" w:cs="Times New Roman"/>
        </w:rPr>
      </w:pPr>
      <w:r w:rsidRPr="00D3151A">
        <w:rPr>
          <w:rFonts w:ascii="Times New Roman" w:hAnsi="Times New Roman" w:cs="Times New Roman"/>
        </w:rPr>
        <w:t xml:space="preserve"> </w:t>
      </w:r>
      <w:r w:rsidR="00E93B15">
        <w:rPr>
          <w:noProof/>
        </w:rPr>
        <w:drawing>
          <wp:inline distT="0" distB="0" distL="0" distR="0" wp14:anchorId="39BDEABD" wp14:editId="1CAD63D7">
            <wp:extent cx="5943600" cy="3341370"/>
            <wp:effectExtent l="0" t="0" r="0" b="0"/>
            <wp:docPr id="65726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61806" name=""/>
                    <pic:cNvPicPr/>
                  </pic:nvPicPr>
                  <pic:blipFill>
                    <a:blip r:embed="rId4"/>
                    <a:stretch>
                      <a:fillRect/>
                    </a:stretch>
                  </pic:blipFill>
                  <pic:spPr>
                    <a:xfrm>
                      <a:off x="0" y="0"/>
                      <a:ext cx="5943600" cy="3341370"/>
                    </a:xfrm>
                    <a:prstGeom prst="rect">
                      <a:avLst/>
                    </a:prstGeom>
                  </pic:spPr>
                </pic:pic>
              </a:graphicData>
            </a:graphic>
          </wp:inline>
        </w:drawing>
      </w:r>
    </w:p>
    <w:p w14:paraId="024584B7"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lastRenderedPageBreak/>
        <w:t xml:space="preserve"> </w:t>
      </w:r>
    </w:p>
    <w:p w14:paraId="4000FF6D"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 xml:space="preserve"> </w:t>
      </w:r>
    </w:p>
    <w:p w14:paraId="0153D31E" w14:textId="77777777" w:rsidR="00041293" w:rsidRPr="00D3151A" w:rsidRDefault="00041293" w:rsidP="00041293">
      <w:pPr>
        <w:rPr>
          <w:rFonts w:ascii="Times New Roman" w:hAnsi="Times New Roman" w:cs="Times New Roman"/>
        </w:rPr>
      </w:pPr>
      <w:r w:rsidRPr="00D3151A">
        <w:rPr>
          <w:rFonts w:ascii="Times New Roman" w:hAnsi="Times New Roman" w:cs="Times New Roman"/>
        </w:rPr>
        <w:t xml:space="preserve"> </w:t>
      </w:r>
    </w:p>
    <w:p w14:paraId="4BC849EC" w14:textId="77777777" w:rsidR="004952DD" w:rsidRPr="00D3151A" w:rsidRDefault="004952DD">
      <w:pPr>
        <w:rPr>
          <w:rFonts w:ascii="Times New Roman" w:hAnsi="Times New Roman" w:cs="Times New Roman"/>
        </w:rPr>
      </w:pPr>
    </w:p>
    <w:sectPr w:rsidR="004952DD" w:rsidRPr="00D31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93"/>
    <w:rsid w:val="00041293"/>
    <w:rsid w:val="000651AC"/>
    <w:rsid w:val="001D2DDD"/>
    <w:rsid w:val="004952DD"/>
    <w:rsid w:val="0067353A"/>
    <w:rsid w:val="00680E43"/>
    <w:rsid w:val="00735718"/>
    <w:rsid w:val="00AE610A"/>
    <w:rsid w:val="00C3077B"/>
    <w:rsid w:val="00D3151A"/>
    <w:rsid w:val="00E93B15"/>
    <w:rsid w:val="00FB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BC0E"/>
  <w15:chartTrackingRefBased/>
  <w15:docId w15:val="{02AAA848-7CB7-47DF-9255-04D87FB9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1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1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293"/>
    <w:rPr>
      <w:rFonts w:eastAsiaTheme="majorEastAsia" w:cstheme="majorBidi"/>
      <w:color w:val="272727" w:themeColor="text1" w:themeTint="D8"/>
    </w:rPr>
  </w:style>
  <w:style w:type="paragraph" w:styleId="Title">
    <w:name w:val="Title"/>
    <w:basedOn w:val="Normal"/>
    <w:next w:val="Normal"/>
    <w:link w:val="TitleChar"/>
    <w:uiPriority w:val="10"/>
    <w:qFormat/>
    <w:rsid w:val="00041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293"/>
    <w:pPr>
      <w:spacing w:before="160"/>
      <w:jc w:val="center"/>
    </w:pPr>
    <w:rPr>
      <w:i/>
      <w:iCs/>
      <w:color w:val="404040" w:themeColor="text1" w:themeTint="BF"/>
    </w:rPr>
  </w:style>
  <w:style w:type="character" w:customStyle="1" w:styleId="QuoteChar">
    <w:name w:val="Quote Char"/>
    <w:basedOn w:val="DefaultParagraphFont"/>
    <w:link w:val="Quote"/>
    <w:uiPriority w:val="29"/>
    <w:rsid w:val="00041293"/>
    <w:rPr>
      <w:i/>
      <w:iCs/>
      <w:color w:val="404040" w:themeColor="text1" w:themeTint="BF"/>
    </w:rPr>
  </w:style>
  <w:style w:type="paragraph" w:styleId="ListParagraph">
    <w:name w:val="List Paragraph"/>
    <w:basedOn w:val="Normal"/>
    <w:uiPriority w:val="34"/>
    <w:qFormat/>
    <w:rsid w:val="00041293"/>
    <w:pPr>
      <w:ind w:left="720"/>
      <w:contextualSpacing/>
    </w:pPr>
  </w:style>
  <w:style w:type="character" w:styleId="IntenseEmphasis">
    <w:name w:val="Intense Emphasis"/>
    <w:basedOn w:val="DefaultParagraphFont"/>
    <w:uiPriority w:val="21"/>
    <w:qFormat/>
    <w:rsid w:val="00041293"/>
    <w:rPr>
      <w:i/>
      <w:iCs/>
      <w:color w:val="2F5496" w:themeColor="accent1" w:themeShade="BF"/>
    </w:rPr>
  </w:style>
  <w:style w:type="paragraph" w:styleId="IntenseQuote">
    <w:name w:val="Intense Quote"/>
    <w:basedOn w:val="Normal"/>
    <w:next w:val="Normal"/>
    <w:link w:val="IntenseQuoteChar"/>
    <w:uiPriority w:val="30"/>
    <w:qFormat/>
    <w:rsid w:val="00041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293"/>
    <w:rPr>
      <w:i/>
      <w:iCs/>
      <w:color w:val="2F5496" w:themeColor="accent1" w:themeShade="BF"/>
    </w:rPr>
  </w:style>
  <w:style w:type="character" w:styleId="IntenseReference">
    <w:name w:val="Intense Reference"/>
    <w:basedOn w:val="DefaultParagraphFont"/>
    <w:uiPriority w:val="32"/>
    <w:qFormat/>
    <w:rsid w:val="000412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19</cp:revision>
  <dcterms:created xsi:type="dcterms:W3CDTF">2026-08-19T20:43:00Z</dcterms:created>
  <dcterms:modified xsi:type="dcterms:W3CDTF">2026-08-19T21:09:00Z</dcterms:modified>
</cp:coreProperties>
</file>