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2B929AF" w14:textId="77777777" w:rsidR="00184794" w:rsidRPr="007E2811" w:rsidRDefault="00184794" w:rsidP="007E2811">
      <w:pPr>
        <w:pStyle w:val="Heading1"/>
        <w:rPr>
          <w:rFonts w:ascii="Arial" w:hAnsi="Arial" w:cs="Arial"/>
          <w:b/>
          <w:bCs/>
          <w:color w:val="auto"/>
          <w:sz w:val="48"/>
          <w:szCs w:val="48"/>
        </w:rPr>
      </w:pPr>
      <w:r w:rsidRPr="007E2811">
        <w:rPr>
          <w:rFonts w:ascii="Arial" w:hAnsi="Arial" w:cs="Arial"/>
          <w:b/>
          <w:bCs/>
          <w:color w:val="auto"/>
          <w:sz w:val="48"/>
          <w:szCs w:val="48"/>
        </w:rPr>
        <w:t>Ontario vs Alberta iGaming: How Canada’s Two Competitive Online Gambling Markets Are Now Shaping the Industry</w:t>
      </w:r>
    </w:p>
    <w:p w14:paraId="44810B25" w14:textId="77777777" w:rsidR="00184794" w:rsidRPr="00E21EC4" w:rsidRDefault="00184794" w:rsidP="00184794">
      <w:pPr>
        <w:pStyle w:val="NormalWeb"/>
        <w:spacing w:before="0" w:beforeAutospacing="0" w:after="160" w:afterAutospacing="0"/>
      </w:pPr>
      <w:r w:rsidRPr="00E21EC4">
        <w:rPr>
          <w:color w:val="000000"/>
        </w:rPr>
        <w:t>The online gambling industry in Canada is entering a new phase with Alberta joining Ontario as the country’s second province to allow private operators to compete in a regulated iGaming market. Alberta’s regulated market officially opened on July 13, 2026 - more than four years after Ontario opened its market on April 4, 2022. The two provinces offer an important point of comparison for everyone interested in the future of online gambling within Canada.</w:t>
      </w:r>
    </w:p>
    <w:p w14:paraId="25956BED" w14:textId="77777777" w:rsidR="00184794" w:rsidRPr="007E2811" w:rsidRDefault="00184794" w:rsidP="007E2811">
      <w:pPr>
        <w:pStyle w:val="Heading2"/>
        <w:rPr>
          <w:rFonts w:ascii="Arial" w:hAnsi="Arial" w:cs="Arial"/>
          <w:b/>
          <w:bCs/>
          <w:color w:val="auto"/>
          <w:sz w:val="36"/>
          <w:szCs w:val="36"/>
        </w:rPr>
      </w:pPr>
      <w:r w:rsidRPr="007E2811">
        <w:rPr>
          <w:rFonts w:ascii="Arial" w:hAnsi="Arial" w:cs="Arial"/>
          <w:b/>
          <w:bCs/>
          <w:color w:val="auto"/>
          <w:sz w:val="36"/>
          <w:szCs w:val="36"/>
        </w:rPr>
        <w:t>Ontario Remains Canada’s More Established iGaming Market</w:t>
      </w:r>
    </w:p>
    <w:p w14:paraId="705A22A2" w14:textId="77777777" w:rsidR="00184794" w:rsidRPr="00E21EC4" w:rsidRDefault="00184794" w:rsidP="00184794">
      <w:pPr>
        <w:pStyle w:val="NormalWeb"/>
        <w:spacing w:before="0" w:beforeAutospacing="0" w:after="160" w:afterAutospacing="0"/>
      </w:pPr>
      <w:r w:rsidRPr="00E21EC4">
        <w:rPr>
          <w:color w:val="000000"/>
        </w:rPr>
        <w:t>Ontario currently has the more mature competitive market. As of August 6, iGaming Ontario listed 48 regulated operators and 83 gaming websites - all available through the regulated framework. Players have to be physically within Ontario to access these regulated sites.</w:t>
      </w:r>
    </w:p>
    <w:p w14:paraId="4CEFA241" w14:textId="77777777" w:rsidR="00184794" w:rsidRPr="00E21EC4" w:rsidRDefault="00184794" w:rsidP="00184794">
      <w:pPr>
        <w:pStyle w:val="NormalWeb"/>
        <w:spacing w:before="0" w:beforeAutospacing="0" w:after="160" w:afterAutospacing="0"/>
      </w:pPr>
      <w:r w:rsidRPr="00E21EC4">
        <w:rPr>
          <w:color w:val="000000"/>
        </w:rPr>
        <w:t>The market has also significantly scaled financially. During 2025, regulated Ontario operators took in $98.3 billion in cash wagers. The start of 2026 continued to indicate strong demand, though. To put this into perspective, January  2026 alone saw players wager nearly $9.52 billion. While at it, gaming revenue reached approximately $401.5 million. Online casino games accounted for around 86% of January’s wagers.</w:t>
      </w:r>
    </w:p>
    <w:p w14:paraId="203065C4" w14:textId="77777777" w:rsidR="00184794" w:rsidRPr="00E21EC4" w:rsidRDefault="00184794" w:rsidP="00184794">
      <w:pPr>
        <w:pStyle w:val="NormalWeb"/>
        <w:spacing w:before="0" w:beforeAutospacing="0" w:after="160" w:afterAutospacing="0"/>
      </w:pPr>
      <w:r w:rsidRPr="00E21EC4">
        <w:rPr>
          <w:color w:val="000000"/>
        </w:rPr>
        <w:t>These statistics indicate why Ontario is a significant market to global gambling firms. The province has a huge number of players, well-known regulatory practices and several years of operating experience.</w:t>
      </w:r>
    </w:p>
    <w:p w14:paraId="7BBCD4FC" w14:textId="77777777" w:rsidR="00184794" w:rsidRPr="007E2811" w:rsidRDefault="00184794" w:rsidP="007E2811">
      <w:pPr>
        <w:pStyle w:val="Heading2"/>
        <w:rPr>
          <w:rFonts w:ascii="Arial" w:hAnsi="Arial" w:cs="Arial"/>
          <w:b/>
          <w:bCs/>
          <w:color w:val="auto"/>
          <w:sz w:val="36"/>
          <w:szCs w:val="36"/>
        </w:rPr>
      </w:pPr>
      <w:r w:rsidRPr="007E2811">
        <w:rPr>
          <w:rFonts w:ascii="Arial" w:hAnsi="Arial" w:cs="Arial"/>
          <w:b/>
          <w:bCs/>
          <w:color w:val="auto"/>
          <w:sz w:val="36"/>
          <w:szCs w:val="36"/>
        </w:rPr>
        <w:t>Alberta Brings a New Competitive Model</w:t>
      </w:r>
    </w:p>
    <w:p w14:paraId="1643BE03" w14:textId="77777777" w:rsidR="00184794" w:rsidRPr="00E21EC4" w:rsidRDefault="00184794" w:rsidP="00184794">
      <w:pPr>
        <w:pStyle w:val="NormalWeb"/>
        <w:spacing w:before="0" w:beforeAutospacing="0" w:after="160" w:afterAutospacing="0"/>
      </w:pPr>
      <w:r w:rsidRPr="00E21EC4">
        <w:rPr>
          <w:color w:val="000000"/>
        </w:rPr>
        <w:t>Alberta is now trying to build on this model while creating its own approach. The regulated iGaming market launched on July 13, 2026 - the second Canadian province to open online gambling to private operators. Notably, the Alberta iGaming Corporation handles the commercial side while the Alberta Gaming, Liquor and Cannabis Commission provides regulation.</w:t>
      </w:r>
    </w:p>
    <w:p w14:paraId="3FDD334F" w14:textId="77777777" w:rsidR="00184794" w:rsidRPr="00E21EC4" w:rsidRDefault="00184794" w:rsidP="00184794">
      <w:pPr>
        <w:pStyle w:val="NormalWeb"/>
        <w:spacing w:before="0" w:beforeAutospacing="0" w:after="160" w:afterAutospacing="0"/>
      </w:pPr>
      <w:r w:rsidRPr="00E21EC4">
        <w:rPr>
          <w:color w:val="000000"/>
        </w:rPr>
        <w:t>This launch ended Play Alberta’s position as the province’s primary regulated online gambling option. In fact, it opened the door to major international brands. Reports before the launch suggested that dozens of operators would either be approved or were progressing through Alberta’s regulation system, with major names like FanDuel, DraftKings, Caesars and BetMGM all preparing to compete in the province.</w:t>
      </w:r>
    </w:p>
    <w:p w14:paraId="24063CB6" w14:textId="77777777" w:rsidR="00184794" w:rsidRPr="00E21EC4" w:rsidRDefault="00184794" w:rsidP="00184794">
      <w:pPr>
        <w:pStyle w:val="NormalWeb"/>
        <w:spacing w:before="0" w:beforeAutospacing="0" w:after="160" w:afterAutospacing="0"/>
      </w:pPr>
      <w:r w:rsidRPr="00E21EC4">
        <w:rPr>
          <w:color w:val="000000"/>
        </w:rPr>
        <w:lastRenderedPageBreak/>
        <w:t>As we speak, the competition landscape is already developing. On August 13, the GGPoker site was approved to offer online poker in Alberta - making it the first dedicated poker brand to receive an Alberta license.</w:t>
      </w:r>
    </w:p>
    <w:p w14:paraId="1E53D1E2" w14:textId="77777777" w:rsidR="00184794" w:rsidRPr="007E2811" w:rsidRDefault="00184794" w:rsidP="007E2811">
      <w:pPr>
        <w:pStyle w:val="Heading2"/>
        <w:rPr>
          <w:rFonts w:ascii="Arial" w:hAnsi="Arial" w:cs="Arial"/>
          <w:b/>
          <w:bCs/>
          <w:color w:val="auto"/>
          <w:sz w:val="36"/>
          <w:szCs w:val="36"/>
        </w:rPr>
      </w:pPr>
      <w:r w:rsidRPr="007E2811">
        <w:rPr>
          <w:rFonts w:ascii="Arial" w:hAnsi="Arial" w:cs="Arial"/>
          <w:b/>
          <w:bCs/>
          <w:color w:val="auto"/>
          <w:sz w:val="36"/>
          <w:szCs w:val="36"/>
        </w:rPr>
        <w:t>Competition Could Benefit Consumers</w:t>
      </w:r>
    </w:p>
    <w:p w14:paraId="10A794AF" w14:textId="77777777" w:rsidR="00184794" w:rsidRPr="00E21EC4" w:rsidRDefault="00184794" w:rsidP="00184794">
      <w:pPr>
        <w:pStyle w:val="NormalWeb"/>
        <w:spacing w:before="0" w:beforeAutospacing="0" w:after="160" w:afterAutospacing="0"/>
      </w:pPr>
      <w:r w:rsidRPr="00E21EC4">
        <w:rPr>
          <w:color w:val="000000"/>
        </w:rPr>
        <w:t>The expansion of regulated online gambling in Alberta presents another Canadian market to major operators. Such competition invariably works to improve online elements - websites, mobile platforms and offerings, payment options, sports betting products, casino selections and customer support.</w:t>
      </w:r>
    </w:p>
    <w:p w14:paraId="07FFBF4A" w14:textId="77777777" w:rsidR="00184794" w:rsidRPr="00E21EC4" w:rsidRDefault="00184794" w:rsidP="00184794">
      <w:pPr>
        <w:pStyle w:val="NormalWeb"/>
        <w:spacing w:before="0" w:beforeAutospacing="0" w:after="160" w:afterAutospacing="0"/>
      </w:pPr>
      <w:r w:rsidRPr="00E21EC4">
        <w:rPr>
          <w:color w:val="000000"/>
        </w:rPr>
        <w:t>Ontario demonstrates the rapid way in which such competition can expand within a market featuring private operators. With 83 regulated gaming websites listed by Ontario as of August 2026, Ontario already offers players a wide range of choices.</w:t>
      </w:r>
    </w:p>
    <w:p w14:paraId="795A38D2" w14:textId="77777777" w:rsidR="00184794" w:rsidRPr="00E21EC4" w:rsidRDefault="00184794" w:rsidP="00184794">
      <w:pPr>
        <w:pStyle w:val="NormalWeb"/>
        <w:spacing w:before="0" w:beforeAutospacing="0" w:after="160" w:afterAutospacing="0"/>
      </w:pPr>
      <w:r w:rsidRPr="00E21EC4">
        <w:rPr>
          <w:color w:val="000000"/>
        </w:rPr>
        <w:t>Alberta’s newer market could follow a similar path - though it is too early to determine exactly how large the market will become in Canada, or at what rate consumers will shift away from existing options to newly-regulated platforms.</w:t>
      </w:r>
    </w:p>
    <w:p w14:paraId="1542C04F" w14:textId="77777777" w:rsidR="00184794" w:rsidRPr="007E2811" w:rsidRDefault="00184794" w:rsidP="007E2811">
      <w:pPr>
        <w:pStyle w:val="Heading2"/>
        <w:rPr>
          <w:rFonts w:ascii="Arial" w:hAnsi="Arial" w:cs="Arial"/>
          <w:b/>
          <w:bCs/>
          <w:color w:val="auto"/>
          <w:sz w:val="36"/>
          <w:szCs w:val="36"/>
        </w:rPr>
      </w:pPr>
      <w:r w:rsidRPr="007E2811">
        <w:rPr>
          <w:rFonts w:ascii="Arial" w:hAnsi="Arial" w:cs="Arial"/>
          <w:b/>
          <w:bCs/>
          <w:color w:val="auto"/>
          <w:sz w:val="36"/>
          <w:szCs w:val="36"/>
        </w:rPr>
        <w:t>Responsible Gambling Remains a Major Issue</w:t>
      </w:r>
    </w:p>
    <w:p w14:paraId="3CD85F75" w14:textId="77777777" w:rsidR="00184794" w:rsidRPr="00E21EC4" w:rsidRDefault="00184794" w:rsidP="00184794">
      <w:pPr>
        <w:pStyle w:val="NormalWeb"/>
        <w:spacing w:before="0" w:beforeAutospacing="0" w:after="160" w:afterAutospacing="0"/>
      </w:pPr>
      <w:r w:rsidRPr="00E21EC4">
        <w:rPr>
          <w:color w:val="000000"/>
        </w:rPr>
        <w:t>Market growth also increases the importance of responsible gambling and regulatory enforcement. Alberta's government has made clear that its iGaming strategy would provide consumers with regulated choices and stronger protections while addressing the grey market.</w:t>
      </w:r>
    </w:p>
    <w:p w14:paraId="53D2CD4A" w14:textId="77777777" w:rsidR="00184794" w:rsidRPr="00E21EC4" w:rsidRDefault="00184794" w:rsidP="00184794">
      <w:pPr>
        <w:pStyle w:val="NormalWeb"/>
        <w:spacing w:before="0" w:beforeAutospacing="0" w:after="160" w:afterAutospacing="0"/>
      </w:pPr>
      <w:r w:rsidRPr="00E21EC4">
        <w:rPr>
          <w:color w:val="000000"/>
        </w:rPr>
        <w:t>Ontario offers a longer-term example of how regulation can evolve after launch - its regulator and iGaming Ontario have continued to monitor the operators, player protections and compliance within the market as it expanded. Alberta will thus be watched very closely to see if the regulation can effectively strike a balance between consumer choice, responsible gambling, advertising controls and effective oversight.</w:t>
      </w:r>
    </w:p>
    <w:p w14:paraId="591A7C27" w14:textId="77777777" w:rsidR="00184794" w:rsidRPr="007E2811" w:rsidRDefault="00184794" w:rsidP="007E2811">
      <w:pPr>
        <w:pStyle w:val="Heading2"/>
        <w:rPr>
          <w:rFonts w:ascii="Arial" w:hAnsi="Arial" w:cs="Arial"/>
          <w:b/>
          <w:bCs/>
          <w:color w:val="auto"/>
          <w:sz w:val="36"/>
          <w:szCs w:val="36"/>
        </w:rPr>
      </w:pPr>
      <w:r w:rsidRPr="007E2811">
        <w:rPr>
          <w:rFonts w:ascii="Arial" w:hAnsi="Arial" w:cs="Arial"/>
          <w:b/>
          <w:bCs/>
          <w:color w:val="auto"/>
          <w:sz w:val="36"/>
          <w:szCs w:val="36"/>
        </w:rPr>
        <w:t>What the Ontario vs Alberta iGaming Race Means for Canada</w:t>
      </w:r>
    </w:p>
    <w:p w14:paraId="6819D010" w14:textId="77777777" w:rsidR="00184794" w:rsidRPr="00E21EC4" w:rsidRDefault="00184794" w:rsidP="00184794">
      <w:pPr>
        <w:pStyle w:val="NormalWeb"/>
        <w:spacing w:before="0" w:beforeAutospacing="0" w:after="160" w:afterAutospacing="0"/>
      </w:pPr>
      <w:r w:rsidRPr="00E21EC4">
        <w:rPr>
          <w:color w:val="000000"/>
        </w:rPr>
        <w:t>The emergence of two competitive online gambling markets could impact the wider Canadian iGaming industry. Ontario has proven such a market could be large and privately competitive - Alberta now has the opportunity to implement some of those lessons from the start.</w:t>
      </w:r>
    </w:p>
    <w:p w14:paraId="414FE53B" w14:textId="77777777" w:rsidR="00184794" w:rsidRPr="00E21EC4" w:rsidRDefault="00184794" w:rsidP="00184794">
      <w:pPr>
        <w:pStyle w:val="NormalWeb"/>
        <w:spacing w:before="0" w:beforeAutospacing="0" w:after="160" w:afterAutospacing="0"/>
      </w:pPr>
      <w:r w:rsidRPr="00E21EC4">
        <w:rPr>
          <w:color w:val="000000"/>
        </w:rPr>
        <w:t>The comparison will become even clearer when Alberta reveals its first full set of market performance figures. For now, Ontario has the advantage in experience, scale and established operator participation. On the other hand, Alberta represents the industry’s newest major growth opportunity.</w:t>
      </w:r>
    </w:p>
    <w:p w14:paraId="3119E618" w14:textId="77777777" w:rsidR="00184794" w:rsidRDefault="00184794" w:rsidP="00184794">
      <w:pPr>
        <w:pStyle w:val="NormalWeb"/>
        <w:spacing w:before="0" w:beforeAutospacing="0" w:after="160" w:afterAutospacing="0"/>
        <w:rPr>
          <w:color w:val="000000"/>
        </w:rPr>
      </w:pPr>
      <w:r w:rsidRPr="00E21EC4">
        <w:rPr>
          <w:color w:val="000000"/>
        </w:rPr>
        <w:t>Thus, for Canadian gambling companies, suppliers and consumers alike, the Ontario vs Alberta iGaming comparison is increasingly important. Ontario shows what a mature, competitive market can look like. In contrast, Alberta is now testing if another province can build a similarly successful regulated online gambling industry from the ground up.</w:t>
      </w:r>
    </w:p>
    <w:p w14:paraId="2EC7E0B1" w14:textId="19A3C0EE" w:rsidR="00AC48B9" w:rsidRPr="00E21EC4" w:rsidRDefault="00AC48B9" w:rsidP="00184794">
      <w:pPr>
        <w:pStyle w:val="NormalWeb"/>
        <w:spacing w:before="0" w:beforeAutospacing="0" w:after="160" w:afterAutospacing="0"/>
      </w:pPr>
      <w:r>
        <w:rPr>
          <w:noProof/>
        </w:rPr>
        <w:lastRenderedPageBreak/>
        <w:drawing>
          <wp:inline distT="0" distB="0" distL="0" distR="0" wp14:anchorId="3A2D21FC" wp14:editId="18AE54B1">
            <wp:extent cx="5943600" cy="3341370"/>
            <wp:effectExtent l="0" t="0" r="0" b="0"/>
            <wp:docPr id="3479044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904486" name=""/>
                    <pic:cNvPicPr/>
                  </pic:nvPicPr>
                  <pic:blipFill>
                    <a:blip r:embed="rId4"/>
                    <a:stretch>
                      <a:fillRect/>
                    </a:stretch>
                  </pic:blipFill>
                  <pic:spPr>
                    <a:xfrm>
                      <a:off x="0" y="0"/>
                      <a:ext cx="5943600" cy="3341370"/>
                    </a:xfrm>
                    <a:prstGeom prst="rect">
                      <a:avLst/>
                    </a:prstGeom>
                  </pic:spPr>
                </pic:pic>
              </a:graphicData>
            </a:graphic>
          </wp:inline>
        </w:drawing>
      </w:r>
    </w:p>
    <w:p w14:paraId="499D0281" w14:textId="77777777" w:rsidR="00184794" w:rsidRPr="00E21EC4" w:rsidRDefault="00184794" w:rsidP="00184794">
      <w:pPr>
        <w:pStyle w:val="NormalWeb"/>
        <w:spacing w:before="0" w:beforeAutospacing="0" w:after="160" w:afterAutospacing="0"/>
      </w:pPr>
      <w:r w:rsidRPr="00E21EC4">
        <w:rPr>
          <w:color w:val="000000"/>
        </w:rPr>
        <w:t> </w:t>
      </w:r>
    </w:p>
    <w:p w14:paraId="340CAC5B" w14:textId="77777777" w:rsidR="004952DD" w:rsidRPr="00E21EC4" w:rsidRDefault="004952DD"/>
    <w:sectPr w:rsidR="004952DD" w:rsidRPr="00E21EC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4794"/>
    <w:rsid w:val="00184794"/>
    <w:rsid w:val="001D2DDD"/>
    <w:rsid w:val="002223EF"/>
    <w:rsid w:val="00405D3E"/>
    <w:rsid w:val="004952DD"/>
    <w:rsid w:val="00680E43"/>
    <w:rsid w:val="00735718"/>
    <w:rsid w:val="007E2811"/>
    <w:rsid w:val="00AC48B9"/>
    <w:rsid w:val="00E21EC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1222E2D"/>
  <w15:chartTrackingRefBased/>
  <w15:docId w15:val="{5BD3DB20-4789-4D36-8D22-A64266B6E38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847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1847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847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847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847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847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47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47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47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847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1847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847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847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847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847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47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47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4794"/>
    <w:rPr>
      <w:rFonts w:eastAsiaTheme="majorEastAsia" w:cstheme="majorBidi"/>
      <w:color w:val="272727" w:themeColor="text1" w:themeTint="D8"/>
    </w:rPr>
  </w:style>
  <w:style w:type="paragraph" w:styleId="Title">
    <w:name w:val="Title"/>
    <w:basedOn w:val="Normal"/>
    <w:next w:val="Normal"/>
    <w:link w:val="TitleChar"/>
    <w:uiPriority w:val="10"/>
    <w:qFormat/>
    <w:rsid w:val="001847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47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47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47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4794"/>
    <w:pPr>
      <w:spacing w:before="160"/>
      <w:jc w:val="center"/>
    </w:pPr>
    <w:rPr>
      <w:i/>
      <w:iCs/>
      <w:color w:val="404040" w:themeColor="text1" w:themeTint="BF"/>
    </w:rPr>
  </w:style>
  <w:style w:type="character" w:customStyle="1" w:styleId="QuoteChar">
    <w:name w:val="Quote Char"/>
    <w:basedOn w:val="DefaultParagraphFont"/>
    <w:link w:val="Quote"/>
    <w:uiPriority w:val="29"/>
    <w:rsid w:val="00184794"/>
    <w:rPr>
      <w:i/>
      <w:iCs/>
      <w:color w:val="404040" w:themeColor="text1" w:themeTint="BF"/>
    </w:rPr>
  </w:style>
  <w:style w:type="paragraph" w:styleId="ListParagraph">
    <w:name w:val="List Paragraph"/>
    <w:basedOn w:val="Normal"/>
    <w:uiPriority w:val="34"/>
    <w:qFormat/>
    <w:rsid w:val="00184794"/>
    <w:pPr>
      <w:ind w:left="720"/>
      <w:contextualSpacing/>
    </w:pPr>
  </w:style>
  <w:style w:type="character" w:styleId="IntenseEmphasis">
    <w:name w:val="Intense Emphasis"/>
    <w:basedOn w:val="DefaultParagraphFont"/>
    <w:uiPriority w:val="21"/>
    <w:qFormat/>
    <w:rsid w:val="00184794"/>
    <w:rPr>
      <w:i/>
      <w:iCs/>
      <w:color w:val="2F5496" w:themeColor="accent1" w:themeShade="BF"/>
    </w:rPr>
  </w:style>
  <w:style w:type="paragraph" w:styleId="IntenseQuote">
    <w:name w:val="Intense Quote"/>
    <w:basedOn w:val="Normal"/>
    <w:next w:val="Normal"/>
    <w:link w:val="IntenseQuoteChar"/>
    <w:uiPriority w:val="30"/>
    <w:qFormat/>
    <w:rsid w:val="001847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84794"/>
    <w:rPr>
      <w:i/>
      <w:iCs/>
      <w:color w:val="2F5496" w:themeColor="accent1" w:themeShade="BF"/>
    </w:rPr>
  </w:style>
  <w:style w:type="character" w:styleId="IntenseReference">
    <w:name w:val="Intense Reference"/>
    <w:basedOn w:val="DefaultParagraphFont"/>
    <w:uiPriority w:val="32"/>
    <w:qFormat/>
    <w:rsid w:val="00184794"/>
    <w:rPr>
      <w:b/>
      <w:bCs/>
      <w:smallCaps/>
      <w:color w:val="2F5496" w:themeColor="accent1" w:themeShade="BF"/>
      <w:spacing w:val="5"/>
    </w:rPr>
  </w:style>
  <w:style w:type="paragraph" w:styleId="NormalWeb">
    <w:name w:val="Normal (Web)"/>
    <w:basedOn w:val="Normal"/>
    <w:uiPriority w:val="99"/>
    <w:semiHidden/>
    <w:unhideWhenUsed/>
    <w:rsid w:val="00184794"/>
    <w:pPr>
      <w:spacing w:before="100" w:beforeAutospacing="1" w:after="100" w:afterAutospacing="1" w:line="240" w:lineRule="auto"/>
    </w:pPr>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TotalTime>
  <Pages>3</Pages>
  <Words>751</Words>
  <Characters>4287</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LAWRENCE</dc:creator>
  <cp:keywords/>
  <dc:description/>
  <cp:lastModifiedBy>LAWRENCE</cp:lastModifiedBy>
  <cp:revision>9</cp:revision>
  <dcterms:created xsi:type="dcterms:W3CDTF">2026-08-19T16:48:00Z</dcterms:created>
  <dcterms:modified xsi:type="dcterms:W3CDTF">2026-08-19T21:11:00Z</dcterms:modified>
</cp:coreProperties>
</file>