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33053" w14:textId="77777777" w:rsidR="00366453" w:rsidRPr="00DD55BE" w:rsidRDefault="00366453" w:rsidP="00DD55BE">
      <w:pPr>
        <w:pStyle w:val="Heading1"/>
        <w:rPr>
          <w:rFonts w:ascii="Arial" w:hAnsi="Arial" w:cs="Arial"/>
          <w:b/>
          <w:bCs/>
          <w:color w:val="auto"/>
          <w:sz w:val="48"/>
          <w:szCs w:val="48"/>
        </w:rPr>
      </w:pPr>
      <w:r w:rsidRPr="00DD55BE">
        <w:rPr>
          <w:rFonts w:ascii="Arial" w:hAnsi="Arial" w:cs="Arial"/>
          <w:b/>
          <w:bCs/>
          <w:color w:val="auto"/>
          <w:sz w:val="48"/>
          <w:szCs w:val="48"/>
        </w:rPr>
        <w:t>Why Ontario’s Online Gambling Rules Are Putting More Pressure on Game Developers and Suppliers in 2026</w:t>
      </w:r>
    </w:p>
    <w:p w14:paraId="24C1902F" w14:textId="77777777" w:rsidR="00366453" w:rsidRPr="00DD55BE" w:rsidRDefault="00366453" w:rsidP="00366453">
      <w:pPr>
        <w:pStyle w:val="NormalWeb"/>
        <w:spacing w:before="0" w:beforeAutospacing="0" w:after="160" w:afterAutospacing="0"/>
      </w:pPr>
      <w:r w:rsidRPr="00DD55BE">
        <w:rPr>
          <w:color w:val="000000"/>
        </w:rPr>
        <w:t>The regulated online gambling market of Ontario is placing increasing compliance pressure on game developers and suppliers - all within 2026 - as the Alcohol and Gaming Commission of Ontario enforces rules regarding game design, testing, and monitoring. What happened on August 20, 2026, is the latest example- when Booming Games (Malta) Limited was ordered to pay C$70,000 for auto-play functionality within several slot games available for months.</w:t>
      </w:r>
    </w:p>
    <w:p w14:paraId="30C51F1C" w14:textId="77777777" w:rsidR="00366453" w:rsidRPr="00DD55BE" w:rsidRDefault="00366453" w:rsidP="00366453">
      <w:pPr>
        <w:pStyle w:val="NormalWeb"/>
        <w:spacing w:before="0" w:beforeAutospacing="0" w:after="160" w:afterAutospacing="0"/>
      </w:pPr>
      <w:r w:rsidRPr="00DD55BE">
        <w:rPr>
          <w:color w:val="000000"/>
        </w:rPr>
        <w:t>The case matters beyond one supplier. Indeed, it shows that companies providing online casino games to Ontario operators must ensure compliance throughout the product lifecycle - not simply when they are first approved.</w:t>
      </w:r>
    </w:p>
    <w:p w14:paraId="15474C51" w14:textId="77777777" w:rsidR="00366453" w:rsidRPr="00DD55BE" w:rsidRDefault="00366453" w:rsidP="00DD55BE">
      <w:pPr>
        <w:pStyle w:val="Heading2"/>
        <w:rPr>
          <w:rFonts w:ascii="Arial" w:hAnsi="Arial" w:cs="Arial"/>
          <w:b/>
          <w:bCs/>
          <w:color w:val="auto"/>
          <w:sz w:val="36"/>
          <w:szCs w:val="36"/>
        </w:rPr>
      </w:pPr>
      <w:r w:rsidRPr="00DD55BE">
        <w:rPr>
          <w:rFonts w:ascii="Arial" w:hAnsi="Arial" w:cs="Arial"/>
          <w:b/>
          <w:bCs/>
          <w:color w:val="auto"/>
          <w:sz w:val="36"/>
          <w:szCs w:val="36"/>
        </w:rPr>
        <w:t>Why the Booming Games Fine Matters</w:t>
      </w:r>
    </w:p>
    <w:p w14:paraId="6B477C6A" w14:textId="77777777" w:rsidR="00366453" w:rsidRPr="00DD55BE" w:rsidRDefault="00366453" w:rsidP="00366453">
      <w:pPr>
        <w:pStyle w:val="NormalWeb"/>
        <w:spacing w:before="0" w:beforeAutospacing="0" w:after="160" w:afterAutospacing="0"/>
      </w:pPr>
      <w:r w:rsidRPr="00DD55BE">
        <w:rPr>
          <w:color w:val="000000"/>
        </w:rPr>
        <w:t>The AGCO found two breaches involving Booming Games. To put this into perspective, the slot games provided to Ontario players featured an auto-play function, and the supplier did not meet requirements relating to the testing and monitoring of gaming systems and supplies.</w:t>
      </w:r>
    </w:p>
    <w:p w14:paraId="307CE92B" w14:textId="77777777" w:rsidR="00366453" w:rsidRPr="00DD55BE" w:rsidRDefault="00366453" w:rsidP="00366453">
      <w:pPr>
        <w:pStyle w:val="NormalWeb"/>
        <w:spacing w:before="0" w:beforeAutospacing="0" w:after="160" w:afterAutospacing="0"/>
      </w:pPr>
      <w:r w:rsidRPr="00DD55BE">
        <w:rPr>
          <w:color w:val="000000"/>
        </w:rPr>
        <w:t>The auto-play feature permits consecutive slot game spins without manually starting each wager. Ontario’s internet gaming standards specifically prohibit such functionality for slot games when players are wagering money. The rule provides for a deliberate pause between wagers to allow those playing to remain aware of their gambling activities.</w:t>
      </w:r>
    </w:p>
    <w:p w14:paraId="4309D76F" w14:textId="77777777" w:rsidR="00366453" w:rsidRPr="00DD55BE" w:rsidRDefault="00366453" w:rsidP="00366453">
      <w:pPr>
        <w:pStyle w:val="NormalWeb"/>
        <w:spacing w:before="0" w:beforeAutospacing="0" w:after="160" w:afterAutospacing="0"/>
      </w:pPr>
      <w:r w:rsidRPr="00DD55BE">
        <w:rPr>
          <w:color w:val="000000"/>
        </w:rPr>
        <w:t>The affected functionality was disabled after the issue was identified. Booming Games - which gained its Ontario B2B gaming registration in 2024 - can challenge the penalty through Ontario’s License Appeal Tribunal.</w:t>
      </w:r>
    </w:p>
    <w:p w14:paraId="6B9A9BBB" w14:textId="77777777" w:rsidR="00366453" w:rsidRPr="00DD55BE" w:rsidRDefault="00366453" w:rsidP="00DD55BE">
      <w:pPr>
        <w:pStyle w:val="Heading2"/>
        <w:rPr>
          <w:rFonts w:ascii="Arial" w:hAnsi="Arial" w:cs="Arial"/>
          <w:b/>
          <w:bCs/>
          <w:color w:val="auto"/>
          <w:sz w:val="36"/>
          <w:szCs w:val="36"/>
        </w:rPr>
      </w:pPr>
      <w:r w:rsidRPr="00DD55BE">
        <w:rPr>
          <w:rFonts w:ascii="Arial" w:hAnsi="Arial" w:cs="Arial"/>
          <w:b/>
          <w:bCs/>
          <w:color w:val="auto"/>
          <w:sz w:val="36"/>
          <w:szCs w:val="36"/>
        </w:rPr>
        <w:t>Suppliers Must Monitor Games After Launch</w:t>
      </w:r>
    </w:p>
    <w:p w14:paraId="2555500B" w14:textId="77777777" w:rsidR="00366453" w:rsidRPr="00DD55BE" w:rsidRDefault="00366453" w:rsidP="00366453">
      <w:pPr>
        <w:pStyle w:val="NormalWeb"/>
        <w:spacing w:before="0" w:beforeAutospacing="0" w:after="160" w:afterAutospacing="0"/>
      </w:pPr>
      <w:r w:rsidRPr="00DD55BE">
        <w:rPr>
          <w:color w:val="000000"/>
        </w:rPr>
        <w:t>One of the most important lessons from the $70,000 AGCO fine is that compliance does not stop when a game enters the Ontario market.</w:t>
      </w:r>
    </w:p>
    <w:p w14:paraId="54EC7A41" w14:textId="77777777" w:rsidR="00366453" w:rsidRPr="00DD55BE" w:rsidRDefault="00366453" w:rsidP="00366453">
      <w:pPr>
        <w:pStyle w:val="NormalWeb"/>
        <w:spacing w:before="0" w:beforeAutospacing="0" w:after="160" w:afterAutospacing="0"/>
      </w:pPr>
      <w:r w:rsidRPr="00DD55BE">
        <w:rPr>
          <w:color w:val="000000"/>
        </w:rPr>
        <w:t>Game developers and B2B suppliers need systems to ensure their products meet Ontario requirements post-launch. Such a review could include considerations of configuration, software updates, features and any other changes impacting compliance.</w:t>
      </w:r>
    </w:p>
    <w:p w14:paraId="0F1AFBAA" w14:textId="77777777" w:rsidR="00366453" w:rsidRPr="00DD55BE" w:rsidRDefault="00366453" w:rsidP="00366453">
      <w:pPr>
        <w:pStyle w:val="NormalWeb"/>
        <w:spacing w:before="0" w:beforeAutospacing="0" w:after="160" w:afterAutospacing="0"/>
      </w:pPr>
      <w:r w:rsidRPr="00DD55BE">
        <w:rPr>
          <w:color w:val="000000"/>
        </w:rPr>
        <w:t>The Booming Games case revealed shortcomings in configuration, testing and monitoring - all factors that create increased pressure on suppliers to establish procedures for testing games prior to launch and how they are monitored while operating on regulated Ontario gambling websites.</w:t>
      </w:r>
    </w:p>
    <w:p w14:paraId="19355964" w14:textId="77777777" w:rsidR="00366453" w:rsidRPr="00DD55BE" w:rsidRDefault="00366453" w:rsidP="00366453">
      <w:pPr>
        <w:pStyle w:val="NormalWeb"/>
        <w:spacing w:before="0" w:beforeAutospacing="0" w:after="160" w:afterAutospacing="0"/>
      </w:pPr>
      <w:r w:rsidRPr="00DD55BE">
        <w:rPr>
          <w:color w:val="000000"/>
        </w:rPr>
        <w:t xml:space="preserve">For developers supplying several international markets, this aspect becomes even more crucial. A feature permitted within another jurisdiction may not necessarily be permitted within Ontario. </w:t>
      </w:r>
      <w:r w:rsidRPr="00DD55BE">
        <w:rPr>
          <w:color w:val="000000"/>
        </w:rPr>
        <w:lastRenderedPageBreak/>
        <w:t>Suppliers therefore need to account for such specific requirements - rather than assuming the approval of a game in another location signifies it can be deployed without further checks.</w:t>
      </w:r>
    </w:p>
    <w:p w14:paraId="2EB30062" w14:textId="77777777" w:rsidR="00366453" w:rsidRPr="00DD55BE" w:rsidRDefault="00366453" w:rsidP="00DD55BE">
      <w:pPr>
        <w:pStyle w:val="Heading2"/>
        <w:rPr>
          <w:rFonts w:ascii="Arial" w:hAnsi="Arial" w:cs="Arial"/>
          <w:b/>
          <w:bCs/>
          <w:color w:val="auto"/>
          <w:sz w:val="36"/>
          <w:szCs w:val="36"/>
        </w:rPr>
      </w:pPr>
      <w:r w:rsidRPr="00DD55BE">
        <w:rPr>
          <w:rFonts w:ascii="Arial" w:hAnsi="Arial" w:cs="Arial"/>
          <w:b/>
          <w:bCs/>
          <w:color w:val="auto"/>
          <w:sz w:val="36"/>
          <w:szCs w:val="36"/>
        </w:rPr>
        <w:t>Ontario's Market Makes Compliance More Important</w:t>
      </w:r>
    </w:p>
    <w:p w14:paraId="24228C24" w14:textId="77777777" w:rsidR="00366453" w:rsidRPr="00DD55BE" w:rsidRDefault="00366453" w:rsidP="00366453">
      <w:pPr>
        <w:pStyle w:val="NormalWeb"/>
        <w:spacing w:before="0" w:beforeAutospacing="0" w:after="160" w:afterAutospacing="0"/>
      </w:pPr>
      <w:r w:rsidRPr="00DD55BE">
        <w:rPr>
          <w:color w:val="000000"/>
        </w:rPr>
        <w:t>The scale of the Ontario iGaming market only adds to the importance of supplier compliance. As of August 6, 2026, iGaming Ontario listed 48 operators and 83 gaming websites within the regulated market.</w:t>
      </w:r>
    </w:p>
    <w:p w14:paraId="5C670111" w14:textId="77777777" w:rsidR="00366453" w:rsidRPr="00DD55BE" w:rsidRDefault="00366453" w:rsidP="00366453">
      <w:pPr>
        <w:pStyle w:val="NormalWeb"/>
        <w:spacing w:before="0" w:beforeAutospacing="0" w:after="160" w:afterAutospacing="0"/>
      </w:pPr>
      <w:r w:rsidRPr="00DD55BE">
        <w:rPr>
          <w:color w:val="000000"/>
        </w:rPr>
        <w:t>The province saw approximately C$82.7 billion in wagers throughout the 2024-25 fiscal year, with gaming revenue reaching C$3.2 billion. iGaming Ontario data also showed that four new operators joined the market during that period - five new gaming websites - while existing operators expanded their offerings with another five websites.</w:t>
      </w:r>
    </w:p>
    <w:p w14:paraId="76A0C7A8" w14:textId="77777777" w:rsidR="00366453" w:rsidRPr="00DD55BE" w:rsidRDefault="00366453" w:rsidP="00366453">
      <w:pPr>
        <w:pStyle w:val="NormalWeb"/>
        <w:spacing w:before="0" w:beforeAutospacing="0" w:after="160" w:afterAutospacing="0"/>
      </w:pPr>
      <w:r w:rsidRPr="00DD55BE">
        <w:rPr>
          <w:color w:val="000000"/>
        </w:rPr>
        <w:t>The growing market and increasing competition mean that more games are being offered to players in Ontario - as well as more suppliers and technological systems. This only increases the importance of reliable compliance controls throughout the supply chain.</w:t>
      </w:r>
    </w:p>
    <w:p w14:paraId="11187A1C" w14:textId="77777777" w:rsidR="00366453" w:rsidRPr="00DD55BE" w:rsidRDefault="00366453" w:rsidP="00366453">
      <w:pPr>
        <w:pStyle w:val="NormalWeb"/>
        <w:spacing w:before="0" w:beforeAutospacing="0" w:after="160" w:afterAutospacing="0"/>
      </w:pPr>
      <w:r w:rsidRPr="00DD55BE">
        <w:rPr>
          <w:color w:val="000000"/>
        </w:rPr>
        <w:t>The AGCO’s approach extends beyond individual game mechanisms. In May 2026, the regulator took action against both Relax Gaming and Arrise Solutions, whose games appeared on unregulated gambling websites accessible to Ontario players. The AGCO said that registered suppliers were forbidden from supplying products to such sites. This is because doing so can support unregulated gambling operations.</w:t>
      </w:r>
    </w:p>
    <w:p w14:paraId="7311443C" w14:textId="77777777" w:rsidR="00366453" w:rsidRPr="00DD55BE" w:rsidRDefault="00366453" w:rsidP="00DD55BE">
      <w:pPr>
        <w:pStyle w:val="Heading2"/>
        <w:rPr>
          <w:rFonts w:ascii="Arial" w:hAnsi="Arial" w:cs="Arial"/>
          <w:b/>
          <w:bCs/>
          <w:color w:val="auto"/>
          <w:sz w:val="36"/>
          <w:szCs w:val="36"/>
        </w:rPr>
      </w:pPr>
      <w:r w:rsidRPr="00DD55BE">
        <w:rPr>
          <w:rFonts w:ascii="Arial" w:hAnsi="Arial" w:cs="Arial"/>
          <w:b/>
          <w:bCs/>
          <w:color w:val="auto"/>
          <w:sz w:val="36"/>
          <w:szCs w:val="36"/>
        </w:rPr>
        <w:t>What Game Developers Need to Review</w:t>
      </w:r>
    </w:p>
    <w:p w14:paraId="057E49FF" w14:textId="3AA53A20" w:rsidR="00366453" w:rsidRPr="00DD55BE" w:rsidRDefault="00366453" w:rsidP="00366453">
      <w:pPr>
        <w:pStyle w:val="NormalWeb"/>
        <w:spacing w:before="0" w:beforeAutospacing="0" w:after="160" w:afterAutospacing="0"/>
      </w:pPr>
      <w:r w:rsidRPr="00DD55BE">
        <w:rPr>
          <w:color w:val="000000"/>
        </w:rPr>
        <w:t>The recent enforcement activity provides game developers and suppliers with several areas to examine closely.</w:t>
      </w:r>
      <w:r w:rsidR="00DD55BE">
        <w:t xml:space="preserve"> </w:t>
      </w:r>
      <w:r w:rsidRPr="00DD55BE">
        <w:rPr>
          <w:color w:val="000000"/>
        </w:rPr>
        <w:t>First, it is to ensure that prohibited features cannot be activated through software updates or configuration changes. Second is that testing must continue after the game’s launch - it’s not a one-time event. Third, suppliers need clear records showing that their products meet Ontario’s technical and player-protection requirements.</w:t>
      </w:r>
    </w:p>
    <w:p w14:paraId="58E963B9" w14:textId="77777777" w:rsidR="00366453" w:rsidRPr="00DD55BE" w:rsidRDefault="00366453" w:rsidP="00366453">
      <w:pPr>
        <w:pStyle w:val="NormalWeb"/>
        <w:spacing w:before="0" w:beforeAutospacing="0" w:after="160" w:afterAutospacing="0"/>
      </w:pPr>
      <w:r w:rsidRPr="00DD55BE">
        <w:rPr>
          <w:color w:val="000000"/>
        </w:rPr>
        <w:t>The rules go beyond auto-play provisions as Ontario’s Registrar Standards for Internet Gaming cover areas including player protection, game integrity and responsible gambling safeguards. This means consideration for compliance is needed during the design and development stages of creating a game – rather than leaving regulatory checks until a game is ready to be launched.</w:t>
      </w:r>
    </w:p>
    <w:p w14:paraId="0CA390DE" w14:textId="77777777" w:rsidR="00366453" w:rsidRPr="00DD55BE" w:rsidRDefault="00366453" w:rsidP="00DD55BE">
      <w:pPr>
        <w:pStyle w:val="Heading2"/>
        <w:rPr>
          <w:rFonts w:ascii="Arial" w:hAnsi="Arial" w:cs="Arial"/>
          <w:b/>
          <w:bCs/>
          <w:color w:val="auto"/>
          <w:sz w:val="36"/>
          <w:szCs w:val="36"/>
        </w:rPr>
      </w:pPr>
      <w:r w:rsidRPr="00DD55BE">
        <w:rPr>
          <w:rFonts w:ascii="Arial" w:hAnsi="Arial" w:cs="Arial"/>
          <w:b/>
          <w:bCs/>
          <w:color w:val="auto"/>
          <w:sz w:val="36"/>
          <w:szCs w:val="36"/>
        </w:rPr>
        <w:t>What the New Pressure Means for Online Casinos</w:t>
      </w:r>
    </w:p>
    <w:p w14:paraId="79F95442" w14:textId="77777777" w:rsidR="00366453" w:rsidRPr="00DD55BE" w:rsidRDefault="00366453" w:rsidP="00366453">
      <w:pPr>
        <w:pStyle w:val="NormalWeb"/>
        <w:spacing w:before="0" w:beforeAutospacing="0" w:after="160" w:afterAutospacing="0"/>
      </w:pPr>
      <w:r w:rsidRPr="00DD55BE">
        <w:rPr>
          <w:color w:val="000000"/>
        </w:rPr>
        <w:t>The increased focus on suppliers also affects the Ontario online casino operators. Operators rely heavily on third-party game developers for table games, slots and other casino products -  but the regulatory responsibilities are not simply an issue relating to those suppliers.</w:t>
      </w:r>
    </w:p>
    <w:p w14:paraId="6D227058" w14:textId="77777777" w:rsidR="00366453" w:rsidRPr="00DD55BE" w:rsidRDefault="00366453" w:rsidP="00366453">
      <w:pPr>
        <w:pStyle w:val="NormalWeb"/>
        <w:spacing w:before="0" w:beforeAutospacing="0" w:after="160" w:afterAutospacing="0"/>
      </w:pPr>
      <w:r w:rsidRPr="00DD55BE">
        <w:rPr>
          <w:color w:val="000000"/>
        </w:rPr>
        <w:t>Operators need confidence that the games appearing on their websites comply with Ontario requirements. The Booming Games case helps make clear the importance of such aspects of the operator-supplier relationship.</w:t>
      </w:r>
    </w:p>
    <w:p w14:paraId="5D3CD049" w14:textId="77777777" w:rsidR="00366453" w:rsidRPr="00DD55BE" w:rsidRDefault="00366453" w:rsidP="00366453">
      <w:pPr>
        <w:pStyle w:val="NormalWeb"/>
        <w:spacing w:before="0" w:beforeAutospacing="0" w:after="160" w:afterAutospacing="0"/>
      </w:pPr>
      <w:r w:rsidRPr="00DD55BE">
        <w:rPr>
          <w:color w:val="000000"/>
        </w:rPr>
        <w:t>Players ultimately benefit from increased focus on game integrity and responsible gambling features - the very purpose of Ontario’s regulated system and standards for operators and suppliers alike.</w:t>
      </w:r>
    </w:p>
    <w:p w14:paraId="010F6527" w14:textId="77777777" w:rsidR="00366453" w:rsidRPr="00DD55BE" w:rsidRDefault="00366453" w:rsidP="00366453">
      <w:pPr>
        <w:pStyle w:val="NormalWeb"/>
        <w:spacing w:before="0" w:beforeAutospacing="0" w:after="160" w:afterAutospacing="0"/>
      </w:pPr>
      <w:r w:rsidRPr="00DD55BE">
        <w:rPr>
          <w:color w:val="000000"/>
        </w:rPr>
        <w:lastRenderedPageBreak/>
        <w:t>The AGCO's latest enforcement actions point toward a broader trend in Ontario online gambling regulation in 2026. As the market grows, regulators are now looking beyond the gambling websites themselves. This means that they are actually examining the technology and companies behind the games.</w:t>
      </w:r>
    </w:p>
    <w:p w14:paraId="46A83A79" w14:textId="77777777" w:rsidR="00366453" w:rsidRPr="00DD55BE" w:rsidRDefault="00366453" w:rsidP="00366453">
      <w:pPr>
        <w:pStyle w:val="NormalWeb"/>
        <w:spacing w:before="0" w:beforeAutospacing="0" w:after="160" w:afterAutospacing="0"/>
      </w:pPr>
      <w:r w:rsidRPr="00DD55BE">
        <w:rPr>
          <w:color w:val="000000"/>
        </w:rPr>
        <w:t>While the Booming Games $70,000 penalty was relatively small within Ontario’s much larger iGaming market, the message was significant: game developers and suppliers within Ontario need effective compliance controls before, during and after their games reach players. This issue is likely to remain very relevant within the province's online casino industry throughout 2026.</w:t>
      </w:r>
    </w:p>
    <w:p w14:paraId="3ED7FB5E" w14:textId="77777777" w:rsidR="00366453" w:rsidRPr="00DD55BE" w:rsidRDefault="00366453" w:rsidP="00366453">
      <w:pPr>
        <w:pStyle w:val="NormalWeb"/>
        <w:spacing w:before="0" w:beforeAutospacing="0" w:after="160" w:afterAutospacing="0"/>
      </w:pPr>
      <w:r w:rsidRPr="00DD55BE">
        <w:rPr>
          <w:color w:val="000000"/>
        </w:rPr>
        <w:t> </w:t>
      </w:r>
    </w:p>
    <w:p w14:paraId="08C063FD" w14:textId="35F27EF7" w:rsidR="004952DD" w:rsidRPr="00DD55BE" w:rsidRDefault="005C0DF6">
      <w:r>
        <w:rPr>
          <w:noProof/>
        </w:rPr>
        <w:drawing>
          <wp:inline distT="0" distB="0" distL="0" distR="0" wp14:anchorId="32FD988E" wp14:editId="53644194">
            <wp:extent cx="5943600" cy="3341370"/>
            <wp:effectExtent l="0" t="0" r="0" b="0"/>
            <wp:docPr id="148651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5708"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DD5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53"/>
    <w:rsid w:val="001D2DDD"/>
    <w:rsid w:val="00366453"/>
    <w:rsid w:val="004952DD"/>
    <w:rsid w:val="005C0DF6"/>
    <w:rsid w:val="00680E43"/>
    <w:rsid w:val="00A52739"/>
    <w:rsid w:val="00BE0A4F"/>
    <w:rsid w:val="00DD55BE"/>
    <w:rsid w:val="00DE5710"/>
    <w:rsid w:val="00EB0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E550"/>
  <w15:chartTrackingRefBased/>
  <w15:docId w15:val="{7B7CFF14-F0EB-42D1-A8D9-F01ECEBF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6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6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53"/>
    <w:rPr>
      <w:rFonts w:eastAsiaTheme="majorEastAsia" w:cstheme="majorBidi"/>
      <w:color w:val="272727" w:themeColor="text1" w:themeTint="D8"/>
    </w:rPr>
  </w:style>
  <w:style w:type="paragraph" w:styleId="Title">
    <w:name w:val="Title"/>
    <w:basedOn w:val="Normal"/>
    <w:next w:val="Normal"/>
    <w:link w:val="TitleChar"/>
    <w:uiPriority w:val="10"/>
    <w:qFormat/>
    <w:rsid w:val="0036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53"/>
    <w:pPr>
      <w:spacing w:before="160"/>
      <w:jc w:val="center"/>
    </w:pPr>
    <w:rPr>
      <w:i/>
      <w:iCs/>
      <w:color w:val="404040" w:themeColor="text1" w:themeTint="BF"/>
    </w:rPr>
  </w:style>
  <w:style w:type="character" w:customStyle="1" w:styleId="QuoteChar">
    <w:name w:val="Quote Char"/>
    <w:basedOn w:val="DefaultParagraphFont"/>
    <w:link w:val="Quote"/>
    <w:uiPriority w:val="29"/>
    <w:rsid w:val="00366453"/>
    <w:rPr>
      <w:i/>
      <w:iCs/>
      <w:color w:val="404040" w:themeColor="text1" w:themeTint="BF"/>
    </w:rPr>
  </w:style>
  <w:style w:type="paragraph" w:styleId="ListParagraph">
    <w:name w:val="List Paragraph"/>
    <w:basedOn w:val="Normal"/>
    <w:uiPriority w:val="34"/>
    <w:qFormat/>
    <w:rsid w:val="00366453"/>
    <w:pPr>
      <w:ind w:left="720"/>
      <w:contextualSpacing/>
    </w:pPr>
  </w:style>
  <w:style w:type="character" w:styleId="IntenseEmphasis">
    <w:name w:val="Intense Emphasis"/>
    <w:basedOn w:val="DefaultParagraphFont"/>
    <w:uiPriority w:val="21"/>
    <w:qFormat/>
    <w:rsid w:val="00366453"/>
    <w:rPr>
      <w:i/>
      <w:iCs/>
      <w:color w:val="2F5496" w:themeColor="accent1" w:themeShade="BF"/>
    </w:rPr>
  </w:style>
  <w:style w:type="paragraph" w:styleId="IntenseQuote">
    <w:name w:val="Intense Quote"/>
    <w:basedOn w:val="Normal"/>
    <w:next w:val="Normal"/>
    <w:link w:val="IntenseQuoteChar"/>
    <w:uiPriority w:val="30"/>
    <w:qFormat/>
    <w:rsid w:val="00366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453"/>
    <w:rPr>
      <w:i/>
      <w:iCs/>
      <w:color w:val="2F5496" w:themeColor="accent1" w:themeShade="BF"/>
    </w:rPr>
  </w:style>
  <w:style w:type="character" w:styleId="IntenseReference">
    <w:name w:val="Intense Reference"/>
    <w:basedOn w:val="DefaultParagraphFont"/>
    <w:uiPriority w:val="32"/>
    <w:qFormat/>
    <w:rsid w:val="00366453"/>
    <w:rPr>
      <w:b/>
      <w:bCs/>
      <w:smallCaps/>
      <w:color w:val="2F5496" w:themeColor="accent1" w:themeShade="BF"/>
      <w:spacing w:val="5"/>
    </w:rPr>
  </w:style>
  <w:style w:type="paragraph" w:styleId="NormalWeb">
    <w:name w:val="Normal (Web)"/>
    <w:basedOn w:val="Normal"/>
    <w:uiPriority w:val="99"/>
    <w:semiHidden/>
    <w:unhideWhenUsed/>
    <w:rsid w:val="003664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5</cp:revision>
  <dcterms:created xsi:type="dcterms:W3CDTF">2026-08-28T21:46:00Z</dcterms:created>
  <dcterms:modified xsi:type="dcterms:W3CDTF">2026-08-29T16:36:00Z</dcterms:modified>
</cp:coreProperties>
</file>