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034C7" w14:textId="77777777" w:rsidR="003D449F" w:rsidRPr="006F1D1B" w:rsidRDefault="003D449F" w:rsidP="00816806">
      <w:pPr>
        <w:pStyle w:val="Heading1"/>
        <w:rPr>
          <w:rFonts w:ascii="Arial" w:hAnsi="Arial" w:cs="Arial"/>
          <w:b/>
          <w:bCs/>
          <w:color w:val="auto"/>
          <w:sz w:val="48"/>
          <w:szCs w:val="48"/>
        </w:rPr>
      </w:pPr>
      <w:r w:rsidRPr="006F1D1B">
        <w:rPr>
          <w:rFonts w:ascii="Arial" w:hAnsi="Arial" w:cs="Arial"/>
          <w:b/>
          <w:bCs/>
          <w:color w:val="auto"/>
          <w:sz w:val="48"/>
          <w:szCs w:val="48"/>
        </w:rPr>
        <w:t>Ontario Gambling News: How AGCO’s Latest $70,000 Fine Could Change Online Casino Compliance in 2026</w:t>
      </w:r>
    </w:p>
    <w:p w14:paraId="78F5A7BB" w14:textId="77777777" w:rsidR="003D449F" w:rsidRPr="00816806" w:rsidRDefault="003D449F" w:rsidP="003D449F">
      <w:pPr>
        <w:pStyle w:val="NormalWeb"/>
        <w:spacing w:before="0" w:beforeAutospacing="0" w:after="160" w:afterAutospacing="0"/>
      </w:pPr>
      <w:r w:rsidRPr="00816806">
        <w:rPr>
          <w:color w:val="000000"/>
        </w:rPr>
        <w:t>The Ontario market for online gambling once again shows how regulatory compliance relates not just to the casinos but also to the companies that provide the games. On August 20, 2026, the Alcohol and Gaming Commission of Ontario (AGCO) ordered Booming Games (Malta) Limited to pay a C$70,000 monetary penalty for providing auto-play functionality on several slot games offered to Ontario players for several months.</w:t>
      </w:r>
    </w:p>
    <w:p w14:paraId="0330B14A" w14:textId="77777777" w:rsidR="003D449F" w:rsidRPr="00816806" w:rsidRDefault="003D449F" w:rsidP="003D449F">
      <w:pPr>
        <w:pStyle w:val="NormalWeb"/>
        <w:spacing w:before="0" w:beforeAutospacing="0" w:after="160" w:afterAutospacing="0"/>
      </w:pPr>
      <w:r w:rsidRPr="00816806">
        <w:rPr>
          <w:color w:val="000000"/>
        </w:rPr>
        <w:t>This case is pertinent to Ontario gambling because it highlights how closely game developers and suppliers are expected to keep an eye on their products after they enter the regulated market. Further, it shows that technical features that might be allowed in other gambling jurisdictions can still create compliance problems in Ontario.</w:t>
      </w:r>
    </w:p>
    <w:p w14:paraId="7E0E1D33" w14:textId="77777777" w:rsidR="003D449F" w:rsidRPr="006F1D1B" w:rsidRDefault="003D449F" w:rsidP="006F1D1B">
      <w:pPr>
        <w:pStyle w:val="Heading2"/>
        <w:rPr>
          <w:rFonts w:ascii="Arial" w:hAnsi="Arial" w:cs="Arial"/>
          <w:b/>
          <w:bCs/>
          <w:color w:val="auto"/>
          <w:sz w:val="36"/>
          <w:szCs w:val="36"/>
        </w:rPr>
      </w:pPr>
      <w:r w:rsidRPr="006F1D1B">
        <w:rPr>
          <w:rFonts w:ascii="Arial" w:hAnsi="Arial" w:cs="Arial"/>
          <w:b/>
          <w:bCs/>
          <w:color w:val="auto"/>
          <w:sz w:val="36"/>
          <w:szCs w:val="36"/>
        </w:rPr>
        <w:t>Why Booming Games Was Fined $70,000</w:t>
      </w:r>
    </w:p>
    <w:p w14:paraId="7E832C01" w14:textId="77777777" w:rsidR="003D449F" w:rsidRPr="00816806" w:rsidRDefault="003D449F" w:rsidP="003D449F">
      <w:pPr>
        <w:pStyle w:val="NormalWeb"/>
        <w:spacing w:before="0" w:beforeAutospacing="0" w:after="160" w:afterAutospacing="0"/>
      </w:pPr>
      <w:r w:rsidRPr="00816806">
        <w:rPr>
          <w:color w:val="000000"/>
        </w:rPr>
        <w:t>According to the AGCO, several Booming Games slot titles supplied to Ontario operators featured an auto-play function - a feature that enables consecutive spins to occur automatically without having to start each spin manually.</w:t>
      </w:r>
    </w:p>
    <w:p w14:paraId="093C2AA9" w14:textId="77777777" w:rsidR="003D449F" w:rsidRPr="00816806" w:rsidRDefault="003D449F" w:rsidP="003D449F">
      <w:pPr>
        <w:pStyle w:val="NormalWeb"/>
        <w:spacing w:before="0" w:beforeAutospacing="0" w:after="160" w:afterAutospacing="0"/>
      </w:pPr>
      <w:r w:rsidRPr="00816806">
        <w:rPr>
          <w:color w:val="000000"/>
        </w:rPr>
        <w:t>Ontario’s rules prohibit such auto-play functions as part of its player protection standards. The AGCO found that Booming Games had breached Requirement 2 of Standard 2.16 - standards relating to prohibited game features. The company also breached Requirement 3 of Standard 4.09 - relating to monitoring and testing of gaming systems and supplies throughout their lifecycle.</w:t>
      </w:r>
    </w:p>
    <w:p w14:paraId="643D5874" w14:textId="77777777" w:rsidR="003D449F" w:rsidRPr="00816806" w:rsidRDefault="003D449F" w:rsidP="003D449F">
      <w:pPr>
        <w:pStyle w:val="NormalWeb"/>
        <w:spacing w:before="0" w:beforeAutospacing="0" w:after="160" w:afterAutospacing="0"/>
      </w:pPr>
      <w:r w:rsidRPr="00816806">
        <w:rPr>
          <w:color w:val="000000"/>
        </w:rPr>
        <w:t>The supplier did not properly configure, test, and monitor certain games both before and after their launch within Ontario. The Affected functionality was disabled after the issue was brought to the operator’s attention.</w:t>
      </w:r>
    </w:p>
    <w:p w14:paraId="207749C9" w14:textId="77777777" w:rsidR="003D449F" w:rsidRPr="00816806" w:rsidRDefault="003D449F" w:rsidP="003D449F">
      <w:pPr>
        <w:pStyle w:val="NormalWeb"/>
        <w:spacing w:before="0" w:beforeAutospacing="0" w:after="160" w:afterAutospacing="0"/>
      </w:pPr>
      <w:r w:rsidRPr="00816806">
        <w:rPr>
          <w:color w:val="000000"/>
        </w:rPr>
        <w:t>For players, the key point here is that the penalty was more than just a technical error - Ontario’s rules aim to curtail excessive speed and continuity of play. The goal here is to give players opportunities to make deliberate decisions between wagers.</w:t>
      </w:r>
    </w:p>
    <w:p w14:paraId="1B567039" w14:textId="77777777" w:rsidR="003D449F" w:rsidRPr="006F1D1B" w:rsidRDefault="003D449F" w:rsidP="006F1D1B">
      <w:pPr>
        <w:pStyle w:val="Heading2"/>
        <w:rPr>
          <w:rFonts w:ascii="Arial" w:hAnsi="Arial" w:cs="Arial"/>
          <w:b/>
          <w:bCs/>
          <w:color w:val="auto"/>
          <w:sz w:val="36"/>
          <w:szCs w:val="36"/>
        </w:rPr>
      </w:pPr>
      <w:r w:rsidRPr="006F1D1B">
        <w:rPr>
          <w:rFonts w:ascii="Arial" w:hAnsi="Arial" w:cs="Arial"/>
          <w:b/>
          <w:bCs/>
          <w:color w:val="auto"/>
          <w:sz w:val="36"/>
          <w:szCs w:val="36"/>
        </w:rPr>
        <w:t>What the Fine Means for Online Casino Suppliers</w:t>
      </w:r>
    </w:p>
    <w:p w14:paraId="5E1C0A21" w14:textId="77777777" w:rsidR="003D449F" w:rsidRPr="00816806" w:rsidRDefault="003D449F" w:rsidP="003D449F">
      <w:pPr>
        <w:pStyle w:val="NormalWeb"/>
        <w:spacing w:before="0" w:beforeAutospacing="0" w:after="160" w:afterAutospacing="0"/>
      </w:pPr>
      <w:r w:rsidRPr="00816806">
        <w:rPr>
          <w:color w:val="000000"/>
        </w:rPr>
        <w:t>The Booming Games penalty sends a clear message to all game developers and suppliers in Ontario - compliance does not come with passing the initial checks.</w:t>
      </w:r>
    </w:p>
    <w:p w14:paraId="74BD8281" w14:textId="77777777" w:rsidR="003D449F" w:rsidRPr="00816806" w:rsidRDefault="003D449F" w:rsidP="003D449F">
      <w:pPr>
        <w:pStyle w:val="NormalWeb"/>
        <w:spacing w:before="0" w:beforeAutospacing="0" w:after="160" w:afterAutospacing="0"/>
      </w:pPr>
      <w:r w:rsidRPr="00816806">
        <w:rPr>
          <w:color w:val="000000"/>
        </w:rPr>
        <w:t>Suppliers have to continue to monitor their games following launch. Compliance in relation to a game can be lost due to a software update, configuration, or technical change.</w:t>
      </w:r>
    </w:p>
    <w:p w14:paraId="25448BFF" w14:textId="77777777" w:rsidR="003D449F" w:rsidRPr="00816806" w:rsidRDefault="003D449F" w:rsidP="003D449F">
      <w:pPr>
        <w:pStyle w:val="NormalWeb"/>
        <w:spacing w:before="0" w:beforeAutospacing="0" w:after="160" w:afterAutospacing="0"/>
      </w:pPr>
      <w:r w:rsidRPr="00816806">
        <w:rPr>
          <w:color w:val="000000"/>
        </w:rPr>
        <w:lastRenderedPageBreak/>
        <w:t> This could encourage suppliers to introduce further testing procedures - specifically for Ontario markets. Such companies may need more frequent reviews of game settings, software updates, and features that impact wager placement speeds.</w:t>
      </w:r>
    </w:p>
    <w:p w14:paraId="51BB764D" w14:textId="77777777" w:rsidR="003D449F" w:rsidRPr="00816806" w:rsidRDefault="003D449F" w:rsidP="003D449F">
      <w:pPr>
        <w:pStyle w:val="NormalWeb"/>
        <w:spacing w:before="0" w:beforeAutospacing="0" w:after="160" w:afterAutospacing="0"/>
      </w:pPr>
      <w:r w:rsidRPr="00816806">
        <w:rPr>
          <w:color w:val="000000"/>
        </w:rPr>
        <w:t>In addition, the case illustrates how far Ontario's regulations extend into the gambling technology supply chain. Gambling operators can run the gambling websites, but game suppliers will determine that the games offered meet the requirements of Ontario.</w:t>
      </w:r>
    </w:p>
    <w:p w14:paraId="1FB63873" w14:textId="77777777" w:rsidR="003D449F" w:rsidRPr="006F1D1B" w:rsidRDefault="003D449F" w:rsidP="006F1D1B">
      <w:pPr>
        <w:pStyle w:val="Heading2"/>
        <w:rPr>
          <w:rFonts w:ascii="Arial" w:hAnsi="Arial" w:cs="Arial"/>
          <w:b/>
          <w:bCs/>
          <w:color w:val="auto"/>
          <w:sz w:val="36"/>
          <w:szCs w:val="36"/>
        </w:rPr>
      </w:pPr>
      <w:r w:rsidRPr="006F1D1B">
        <w:rPr>
          <w:rFonts w:ascii="Arial" w:hAnsi="Arial" w:cs="Arial"/>
          <w:b/>
          <w:bCs/>
          <w:color w:val="auto"/>
          <w:sz w:val="36"/>
          <w:szCs w:val="36"/>
        </w:rPr>
        <w:t>Why Auto-Play Is Restricted in Ontario</w:t>
      </w:r>
    </w:p>
    <w:p w14:paraId="1C5314DB" w14:textId="5D7496D4" w:rsidR="003D449F" w:rsidRPr="00816806" w:rsidRDefault="003D449F" w:rsidP="003D449F">
      <w:pPr>
        <w:pStyle w:val="NormalWeb"/>
        <w:spacing w:before="0" w:beforeAutospacing="0" w:after="160" w:afterAutospacing="0"/>
      </w:pPr>
      <w:r w:rsidRPr="00816806">
        <w:rPr>
          <w:color w:val="000000"/>
        </w:rPr>
        <w:t>The restriction on auto-play elements is connected to responsible gambling and player protection - with auto-play features, it is possible for players to allow slot spins to continue without manually initiating each wager.</w:t>
      </w:r>
      <w:r w:rsidR="00DB4CCC">
        <w:t xml:space="preserve"> </w:t>
      </w:r>
      <w:r w:rsidRPr="00816806">
        <w:rPr>
          <w:color w:val="000000"/>
        </w:rPr>
        <w:t>Requiring players to start each spin introduces a pause between wagers - a potential opportunity to stop playing, reconsider spending, or even take a break.</w:t>
      </w:r>
    </w:p>
    <w:p w14:paraId="3A53DB51" w14:textId="77777777" w:rsidR="003D449F" w:rsidRPr="00816806" w:rsidRDefault="003D449F" w:rsidP="003D449F">
      <w:pPr>
        <w:pStyle w:val="NormalWeb"/>
        <w:spacing w:before="0" w:beforeAutospacing="0" w:after="160" w:afterAutospacing="0"/>
      </w:pPr>
      <w:r w:rsidRPr="00816806">
        <w:rPr>
          <w:color w:val="000000"/>
        </w:rPr>
        <w:t>The AGCO approach here indicates a wider focus on reducing features that enhance the speed and continuity of gambling activity. As a matter of fact, the regulator has previously said that Ontario’s internet gaming standards are focused on protecting players and promoting fair and responsible gaming activity. The latest action, therefore, provides a practical example of how these standards are applied to games available through regulated online casinos.</w:t>
      </w:r>
    </w:p>
    <w:p w14:paraId="3E119063" w14:textId="77777777" w:rsidR="003D449F" w:rsidRPr="006F1D1B" w:rsidRDefault="003D449F" w:rsidP="006F1D1B">
      <w:pPr>
        <w:pStyle w:val="Heading2"/>
        <w:rPr>
          <w:rFonts w:ascii="Arial" w:hAnsi="Arial" w:cs="Arial"/>
          <w:b/>
          <w:bCs/>
          <w:color w:val="auto"/>
          <w:sz w:val="36"/>
          <w:szCs w:val="36"/>
        </w:rPr>
      </w:pPr>
      <w:r w:rsidRPr="006F1D1B">
        <w:rPr>
          <w:rFonts w:ascii="Arial" w:hAnsi="Arial" w:cs="Arial"/>
          <w:b/>
          <w:bCs/>
          <w:color w:val="auto"/>
          <w:sz w:val="36"/>
          <w:szCs w:val="36"/>
        </w:rPr>
        <w:t>Ontario's Growing Market Raises the Stakes</w:t>
      </w:r>
    </w:p>
    <w:p w14:paraId="3206A241" w14:textId="0680220E" w:rsidR="003D449F" w:rsidRPr="00816806" w:rsidRDefault="003D449F" w:rsidP="003D449F">
      <w:pPr>
        <w:pStyle w:val="NormalWeb"/>
        <w:spacing w:before="0" w:beforeAutospacing="0" w:after="160" w:afterAutospacing="0"/>
      </w:pPr>
      <w:r w:rsidRPr="00816806">
        <w:rPr>
          <w:color w:val="000000"/>
        </w:rPr>
        <w:t>The significance of the penalty also relates to the size of Ontario’s regulated iGaming market.</w:t>
      </w:r>
      <w:r w:rsidR="006F1D1B">
        <w:t xml:space="preserve"> </w:t>
      </w:r>
      <w:r w:rsidRPr="00816806">
        <w:rPr>
          <w:color w:val="000000"/>
        </w:rPr>
        <w:t>Ontario residents wagered over C$82.7 billion during the 2024-25 fiscal year- generating about C$2.9 billion in total gaming revenue. However, gaming revenue rose by 31%, and wagers increased by 32%, compared to the same period last year.</w:t>
      </w:r>
    </w:p>
    <w:p w14:paraId="438B5415" w14:textId="77777777" w:rsidR="003D449F" w:rsidRPr="00816806" w:rsidRDefault="003D449F" w:rsidP="003D449F">
      <w:pPr>
        <w:pStyle w:val="NormalWeb"/>
        <w:spacing w:before="0" w:beforeAutospacing="0" w:after="160" w:afterAutospacing="0"/>
      </w:pPr>
      <w:r w:rsidRPr="00816806">
        <w:rPr>
          <w:color w:val="000000"/>
        </w:rPr>
        <w:t>The market continues to operate on a large scale in 2026. Indeed, the latest monthly market performance report from iGaming Ontario includes data collected through June 2026 from eligible operators and gaming websites active since the market’s debut in April 2022.</w:t>
      </w:r>
    </w:p>
    <w:p w14:paraId="53257382" w14:textId="77777777" w:rsidR="003D449F" w:rsidRPr="00816806" w:rsidRDefault="003D449F" w:rsidP="003D449F">
      <w:pPr>
        <w:pStyle w:val="NormalWeb"/>
        <w:spacing w:before="0" w:beforeAutospacing="0" w:after="160" w:afterAutospacing="0"/>
      </w:pPr>
      <w:r w:rsidRPr="00816806">
        <w:rPr>
          <w:color w:val="000000"/>
        </w:rPr>
        <w:t>With so many games, suppliers, and operators present in the market, regulators have more products to monitor. Such developments make technical compliance even more important for companies active in this market.</w:t>
      </w:r>
    </w:p>
    <w:p w14:paraId="5ECD1FCF" w14:textId="77777777" w:rsidR="003D449F" w:rsidRPr="006F1D1B" w:rsidRDefault="003D449F" w:rsidP="006F1D1B">
      <w:pPr>
        <w:pStyle w:val="Heading2"/>
        <w:rPr>
          <w:rFonts w:ascii="Arial" w:hAnsi="Arial" w:cs="Arial"/>
          <w:b/>
          <w:bCs/>
          <w:color w:val="auto"/>
          <w:sz w:val="36"/>
          <w:szCs w:val="36"/>
        </w:rPr>
      </w:pPr>
      <w:r w:rsidRPr="006F1D1B">
        <w:rPr>
          <w:rFonts w:ascii="Arial" w:hAnsi="Arial" w:cs="Arial"/>
          <w:b/>
          <w:bCs/>
          <w:color w:val="auto"/>
          <w:sz w:val="36"/>
          <w:szCs w:val="36"/>
        </w:rPr>
        <w:t>What Online Casino Operators Should Watch in 2026</w:t>
      </w:r>
    </w:p>
    <w:p w14:paraId="7E4A4361" w14:textId="77777777" w:rsidR="003D449F" w:rsidRPr="00816806" w:rsidRDefault="003D449F" w:rsidP="003D449F">
      <w:pPr>
        <w:pStyle w:val="NormalWeb"/>
        <w:spacing w:before="0" w:beforeAutospacing="0" w:after="160" w:afterAutospacing="0"/>
      </w:pPr>
      <w:r w:rsidRPr="00816806">
        <w:rPr>
          <w:color w:val="000000"/>
        </w:rPr>
        <w:t>The Booming Games case may lead operators and suppliers to examine their own compliance systems - especially concerning game features related to betting speed and player interaction.</w:t>
      </w:r>
    </w:p>
    <w:p w14:paraId="0106BA26" w14:textId="2ED73673" w:rsidR="003D449F" w:rsidRPr="00816806" w:rsidRDefault="003D449F" w:rsidP="003D449F">
      <w:pPr>
        <w:pStyle w:val="NormalWeb"/>
        <w:spacing w:before="0" w:beforeAutospacing="0" w:after="160" w:afterAutospacing="0"/>
      </w:pPr>
      <w:r w:rsidRPr="00816806">
        <w:rPr>
          <w:color w:val="000000"/>
        </w:rPr>
        <w:t> Operators will need to ensure that games from third parties continue to meet Ontario rules - even where those suppliers had enjoyed previous approvals. Suppliers must reinforce the significance of testing products before launching them - and monitoring them throughout their lifecycle.</w:t>
      </w:r>
    </w:p>
    <w:p w14:paraId="7A1FFFE5" w14:textId="77777777" w:rsidR="003D449F" w:rsidRPr="00816806" w:rsidRDefault="003D449F" w:rsidP="003D449F">
      <w:pPr>
        <w:pStyle w:val="NormalWeb"/>
        <w:spacing w:before="0" w:beforeAutospacing="0" w:after="160" w:afterAutospacing="0"/>
      </w:pPr>
      <w:r w:rsidRPr="00816806">
        <w:rPr>
          <w:color w:val="000000"/>
        </w:rPr>
        <w:t>Players looking at online casinos in the province should seek out regulated websites - and check if the operator shows up in the official iGaming Ontario directory.</w:t>
      </w:r>
    </w:p>
    <w:p w14:paraId="38A8FEF4" w14:textId="77777777" w:rsidR="003D449F" w:rsidRPr="00816806" w:rsidRDefault="003D449F" w:rsidP="003D449F">
      <w:pPr>
        <w:pStyle w:val="NormalWeb"/>
        <w:spacing w:before="0" w:beforeAutospacing="0" w:after="160" w:afterAutospacing="0"/>
      </w:pPr>
      <w:r w:rsidRPr="00816806">
        <w:rPr>
          <w:color w:val="000000"/>
        </w:rPr>
        <w:t xml:space="preserve">This $70,000 fine is unlikely to do much to transform the online gambling market in Ontario. However, it does help to underscore a wider regulatory message: compliance is an ongoing responsibility. As the province’s iGaming market develops ever further, developers, suppliers, </w:t>
      </w:r>
      <w:r w:rsidRPr="00816806">
        <w:rPr>
          <w:color w:val="000000"/>
        </w:rPr>
        <w:lastRenderedPageBreak/>
        <w:t>and operators will find themselves under increasing pressure to ensure every aspect of the gambling experience meets player-protection requirements.</w:t>
      </w:r>
    </w:p>
    <w:p w14:paraId="4649ACBC" w14:textId="17903640" w:rsidR="003D449F" w:rsidRPr="00816806" w:rsidRDefault="003D449F" w:rsidP="003D449F">
      <w:pPr>
        <w:pStyle w:val="NormalWeb"/>
        <w:spacing w:before="0" w:beforeAutospacing="0" w:after="160" w:afterAutospacing="0"/>
      </w:pPr>
      <w:r w:rsidRPr="00816806">
        <w:rPr>
          <w:color w:val="000000"/>
        </w:rPr>
        <w:t> </w:t>
      </w:r>
      <w:r w:rsidR="008D5136">
        <w:rPr>
          <w:noProof/>
        </w:rPr>
        <w:drawing>
          <wp:inline distT="0" distB="0" distL="0" distR="0" wp14:anchorId="127DF1B8" wp14:editId="3C4D408C">
            <wp:extent cx="5943600" cy="3341370"/>
            <wp:effectExtent l="0" t="0" r="0" b="0"/>
            <wp:docPr id="397335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335211" name=""/>
                    <pic:cNvPicPr/>
                  </pic:nvPicPr>
                  <pic:blipFill>
                    <a:blip r:embed="rId4"/>
                    <a:stretch>
                      <a:fillRect/>
                    </a:stretch>
                  </pic:blipFill>
                  <pic:spPr>
                    <a:xfrm>
                      <a:off x="0" y="0"/>
                      <a:ext cx="5943600" cy="3341370"/>
                    </a:xfrm>
                    <a:prstGeom prst="rect">
                      <a:avLst/>
                    </a:prstGeom>
                  </pic:spPr>
                </pic:pic>
              </a:graphicData>
            </a:graphic>
          </wp:inline>
        </w:drawing>
      </w:r>
    </w:p>
    <w:p w14:paraId="55A1120B" w14:textId="77777777" w:rsidR="004952DD" w:rsidRPr="00816806" w:rsidRDefault="004952DD"/>
    <w:sectPr w:rsidR="004952DD" w:rsidRPr="008168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49F"/>
    <w:rsid w:val="000C70D2"/>
    <w:rsid w:val="001D2DDD"/>
    <w:rsid w:val="003D449F"/>
    <w:rsid w:val="004952DD"/>
    <w:rsid w:val="004970B5"/>
    <w:rsid w:val="00680E43"/>
    <w:rsid w:val="006F1D1B"/>
    <w:rsid w:val="00816806"/>
    <w:rsid w:val="008D5136"/>
    <w:rsid w:val="00910537"/>
    <w:rsid w:val="00A52739"/>
    <w:rsid w:val="00DB4CCC"/>
    <w:rsid w:val="00E434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B0F72"/>
  <w15:chartTrackingRefBased/>
  <w15:docId w15:val="{5F834917-A7D9-4FEE-825E-526EA2947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44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D44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44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44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44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44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44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44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44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4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D44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44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44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44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44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44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44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449F"/>
    <w:rPr>
      <w:rFonts w:eastAsiaTheme="majorEastAsia" w:cstheme="majorBidi"/>
      <w:color w:val="272727" w:themeColor="text1" w:themeTint="D8"/>
    </w:rPr>
  </w:style>
  <w:style w:type="paragraph" w:styleId="Title">
    <w:name w:val="Title"/>
    <w:basedOn w:val="Normal"/>
    <w:next w:val="Normal"/>
    <w:link w:val="TitleChar"/>
    <w:uiPriority w:val="10"/>
    <w:qFormat/>
    <w:rsid w:val="003D44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44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44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44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449F"/>
    <w:pPr>
      <w:spacing w:before="160"/>
      <w:jc w:val="center"/>
    </w:pPr>
    <w:rPr>
      <w:i/>
      <w:iCs/>
      <w:color w:val="404040" w:themeColor="text1" w:themeTint="BF"/>
    </w:rPr>
  </w:style>
  <w:style w:type="character" w:customStyle="1" w:styleId="QuoteChar">
    <w:name w:val="Quote Char"/>
    <w:basedOn w:val="DefaultParagraphFont"/>
    <w:link w:val="Quote"/>
    <w:uiPriority w:val="29"/>
    <w:rsid w:val="003D449F"/>
    <w:rPr>
      <w:i/>
      <w:iCs/>
      <w:color w:val="404040" w:themeColor="text1" w:themeTint="BF"/>
    </w:rPr>
  </w:style>
  <w:style w:type="paragraph" w:styleId="ListParagraph">
    <w:name w:val="List Paragraph"/>
    <w:basedOn w:val="Normal"/>
    <w:uiPriority w:val="34"/>
    <w:qFormat/>
    <w:rsid w:val="003D449F"/>
    <w:pPr>
      <w:ind w:left="720"/>
      <w:contextualSpacing/>
    </w:pPr>
  </w:style>
  <w:style w:type="character" w:styleId="IntenseEmphasis">
    <w:name w:val="Intense Emphasis"/>
    <w:basedOn w:val="DefaultParagraphFont"/>
    <w:uiPriority w:val="21"/>
    <w:qFormat/>
    <w:rsid w:val="003D449F"/>
    <w:rPr>
      <w:i/>
      <w:iCs/>
      <w:color w:val="2F5496" w:themeColor="accent1" w:themeShade="BF"/>
    </w:rPr>
  </w:style>
  <w:style w:type="paragraph" w:styleId="IntenseQuote">
    <w:name w:val="Intense Quote"/>
    <w:basedOn w:val="Normal"/>
    <w:next w:val="Normal"/>
    <w:link w:val="IntenseQuoteChar"/>
    <w:uiPriority w:val="30"/>
    <w:qFormat/>
    <w:rsid w:val="003D44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449F"/>
    <w:rPr>
      <w:i/>
      <w:iCs/>
      <w:color w:val="2F5496" w:themeColor="accent1" w:themeShade="BF"/>
    </w:rPr>
  </w:style>
  <w:style w:type="character" w:styleId="IntenseReference">
    <w:name w:val="Intense Reference"/>
    <w:basedOn w:val="DefaultParagraphFont"/>
    <w:uiPriority w:val="32"/>
    <w:qFormat/>
    <w:rsid w:val="003D449F"/>
    <w:rPr>
      <w:b/>
      <w:bCs/>
      <w:smallCaps/>
      <w:color w:val="2F5496" w:themeColor="accent1" w:themeShade="BF"/>
      <w:spacing w:val="5"/>
    </w:rPr>
  </w:style>
  <w:style w:type="paragraph" w:styleId="NormalWeb">
    <w:name w:val="Normal (Web)"/>
    <w:basedOn w:val="Normal"/>
    <w:uiPriority w:val="99"/>
    <w:semiHidden/>
    <w:unhideWhenUsed/>
    <w:rsid w:val="003D449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3</Pages>
  <Words>848</Words>
  <Characters>4837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LAWRENCE</dc:creator>
  <cp:keywords/>
  <dc:description/>
  <cp:lastModifiedBy>LAWRENCE</cp:lastModifiedBy>
  <cp:revision>9</cp:revision>
  <dcterms:created xsi:type="dcterms:W3CDTF">2026-08-27T14:41:00Z</dcterms:created>
  <dcterms:modified xsi:type="dcterms:W3CDTF">2026-08-27T15:11:00Z</dcterms:modified>
</cp:coreProperties>
</file>