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577E" w14:textId="77777777" w:rsidR="00FA1963" w:rsidRPr="00B8205E" w:rsidRDefault="00FA1963" w:rsidP="001523A4">
      <w:pPr>
        <w:pStyle w:val="Heading1"/>
        <w:rPr>
          <w:rFonts w:ascii="Arial" w:hAnsi="Arial" w:cs="Arial"/>
          <w:b/>
          <w:bCs/>
          <w:color w:val="auto"/>
          <w:sz w:val="48"/>
          <w:szCs w:val="48"/>
        </w:rPr>
      </w:pPr>
      <w:r w:rsidRPr="00B8205E">
        <w:rPr>
          <w:rFonts w:ascii="Arial" w:hAnsi="Arial" w:cs="Arial"/>
          <w:b/>
          <w:bCs/>
          <w:color w:val="auto"/>
          <w:sz w:val="48"/>
          <w:szCs w:val="48"/>
        </w:rPr>
        <w:t>What Alberta’s First Month of Regulated iGaming Means for Ontario’s Mature Online Gambling Market</w:t>
      </w:r>
    </w:p>
    <w:p w14:paraId="10BE4455" w14:textId="77777777" w:rsidR="00FA1963" w:rsidRPr="00DB5321" w:rsidRDefault="00FA1963" w:rsidP="00FA1963">
      <w:pPr>
        <w:pStyle w:val="NormalWeb"/>
        <w:spacing w:before="0" w:beforeAutospacing="0" w:after="160" w:afterAutospacing="0"/>
      </w:pPr>
      <w:r w:rsidRPr="00DB5321">
        <w:rPr>
          <w:color w:val="000000"/>
        </w:rPr>
        <w:t>The regulated iGaming market in Alberta has reached a major milestone - private operators now have players competing against the government-run Play Alberta platform. The market opened on July 13, 2026 - making Alberta only the second Canadian province (after Ontario) to allow private online gambling operators to compete in such a regulated market. Just over a month later, though, the rapid expansion is giving Ontario’s established iGaming sector a new market to keep an eye on.</w:t>
      </w:r>
    </w:p>
    <w:p w14:paraId="6E503643" w14:textId="77777777" w:rsidR="00FA1963" w:rsidRPr="00B8205E" w:rsidRDefault="00FA1963" w:rsidP="00B8205E">
      <w:pPr>
        <w:pStyle w:val="Heading2"/>
        <w:rPr>
          <w:rFonts w:ascii="Arial" w:hAnsi="Arial" w:cs="Arial"/>
          <w:b/>
          <w:bCs/>
          <w:color w:val="auto"/>
          <w:sz w:val="36"/>
          <w:szCs w:val="36"/>
        </w:rPr>
      </w:pPr>
      <w:r w:rsidRPr="00B8205E">
        <w:rPr>
          <w:rFonts w:ascii="Arial" w:hAnsi="Arial" w:cs="Arial"/>
          <w:b/>
          <w:bCs/>
          <w:color w:val="auto"/>
          <w:sz w:val="36"/>
          <w:szCs w:val="36"/>
        </w:rPr>
        <w:t>Alberta’s iGaming Market Has Expanded Quickly</w:t>
      </w:r>
    </w:p>
    <w:p w14:paraId="163E89D3" w14:textId="77777777" w:rsidR="00FA1963" w:rsidRPr="00DB5321" w:rsidRDefault="00FA1963" w:rsidP="00FA1963">
      <w:pPr>
        <w:pStyle w:val="NormalWeb"/>
        <w:spacing w:before="0" w:beforeAutospacing="0" w:after="160" w:afterAutospacing="0"/>
      </w:pPr>
      <w:r w:rsidRPr="00DB5321">
        <w:rPr>
          <w:color w:val="000000"/>
        </w:rPr>
        <w:t>The province’s first month has delivered a much larger competitive market than ever before seen in July. Launch day saw 22 licensed operator sites come online. By August 24, that number had grown to 29 commercial iGaming sites operated by 19 companies. These new entrants provide direct competition for Play Alberta - the province’s previous online gambling platform.</w:t>
      </w:r>
    </w:p>
    <w:p w14:paraId="783A2343" w14:textId="77777777" w:rsidR="00FA1963" w:rsidRPr="00DB5321" w:rsidRDefault="00FA1963" w:rsidP="00FA1963">
      <w:pPr>
        <w:pStyle w:val="NormalWeb"/>
        <w:spacing w:before="0" w:beforeAutospacing="0" w:after="160" w:afterAutospacing="0"/>
      </w:pPr>
      <w:r w:rsidRPr="00DB5321">
        <w:rPr>
          <w:color w:val="000000"/>
        </w:rPr>
        <w:t>The growth has continued throughout August with PURE Casino making its debut on the 7th of the month, while Casino Time and Vegas Club Casino joined as the latest additions on August 24th. Several others remain yet to reveal themselves at the moment of the latest market update, including Bet99, Betano, 888 Casino, PointsBet Canada and GGPoker.</w:t>
      </w:r>
    </w:p>
    <w:p w14:paraId="6967C9B5" w14:textId="77777777" w:rsidR="00FA1963" w:rsidRPr="00DB5321" w:rsidRDefault="00FA1963" w:rsidP="00FA1963">
      <w:pPr>
        <w:pStyle w:val="NormalWeb"/>
        <w:spacing w:before="0" w:beforeAutospacing="0" w:after="160" w:afterAutospacing="0"/>
      </w:pPr>
      <w:r w:rsidRPr="00DB5321">
        <w:rPr>
          <w:color w:val="000000"/>
        </w:rPr>
        <w:t>This means that Alberta’s competitive iGaming market is still in its infancy. The number of available sites could increase significantly as more approved operators complete their launches.</w:t>
      </w:r>
    </w:p>
    <w:p w14:paraId="4DB21512" w14:textId="77777777" w:rsidR="00FA1963" w:rsidRPr="00B8205E" w:rsidRDefault="00FA1963" w:rsidP="00B8205E">
      <w:pPr>
        <w:pStyle w:val="Heading2"/>
        <w:rPr>
          <w:rFonts w:ascii="Arial" w:hAnsi="Arial" w:cs="Arial"/>
          <w:b/>
          <w:bCs/>
          <w:color w:val="auto"/>
          <w:sz w:val="36"/>
          <w:szCs w:val="36"/>
        </w:rPr>
      </w:pPr>
      <w:r w:rsidRPr="00B8205E">
        <w:rPr>
          <w:rFonts w:ascii="Arial" w:hAnsi="Arial" w:cs="Arial"/>
          <w:b/>
          <w:bCs/>
          <w:color w:val="auto"/>
          <w:sz w:val="36"/>
          <w:szCs w:val="36"/>
        </w:rPr>
        <w:t>Ontario Has a Much More Established Market</w:t>
      </w:r>
    </w:p>
    <w:p w14:paraId="43DF3818" w14:textId="77777777" w:rsidR="00FA1963" w:rsidRPr="00DB5321" w:rsidRDefault="00FA1963" w:rsidP="00FA1963">
      <w:pPr>
        <w:pStyle w:val="NormalWeb"/>
        <w:spacing w:before="0" w:beforeAutospacing="0" w:after="160" w:afterAutospacing="0"/>
      </w:pPr>
      <w:r w:rsidRPr="00DB5321">
        <w:rPr>
          <w:color w:val="000000"/>
        </w:rPr>
        <w:t>Ontario provides an important comparison here thanks to its highly-regulated iGaming market - which has been operating since April 4, 2022. More than four years in operation, the province has blossomed into one of Canada’s largest regulated online gambling markets.</w:t>
      </w:r>
    </w:p>
    <w:p w14:paraId="6577C16A" w14:textId="77777777" w:rsidR="00FA1963" w:rsidRPr="00DB5321" w:rsidRDefault="00FA1963" w:rsidP="00FA1963">
      <w:pPr>
        <w:pStyle w:val="NormalWeb"/>
        <w:spacing w:before="0" w:beforeAutospacing="0" w:after="160" w:afterAutospacing="0"/>
      </w:pPr>
      <w:r w:rsidRPr="00DB5321">
        <w:rPr>
          <w:color w:val="000000"/>
        </w:rPr>
        <w:t>The latest available iGaming Ontario figures make clear just how large the market has grown. In June 2026, the regulated operators saw $9.46 billion in cash wagers - a 30.3% increase compared to June 2025. Gross gaming revenue hit $400.6 million with a similar 30.6% increase. More than 1.3 million active player accounts were recorded during this time period.</w:t>
      </w:r>
    </w:p>
    <w:p w14:paraId="3E43F166" w14:textId="77777777" w:rsidR="00FA1963" w:rsidRPr="00DB5321" w:rsidRDefault="00FA1963" w:rsidP="00FA1963">
      <w:pPr>
        <w:pStyle w:val="NormalWeb"/>
        <w:spacing w:before="0" w:beforeAutospacing="0" w:after="160" w:afterAutospacing="0"/>
      </w:pPr>
      <w:r w:rsidRPr="00DB5321">
        <w:rPr>
          <w:color w:val="000000"/>
        </w:rPr>
        <w:t>Casino games remained the largest portion of Ontario’s online gambling offerings. Notably, casino wagers reached $8.30 billion – representing about 88% of the total cash wagers. Sports betting contributed a further $1.03 billion in such wagers - driven substantially by the 2026 FIFA World Cup. These figures help to make clear the scale of the head start Ontario has over Alberta.</w:t>
      </w:r>
    </w:p>
    <w:p w14:paraId="4F90B37D" w14:textId="77777777" w:rsidR="00FA1963" w:rsidRPr="00B8205E" w:rsidRDefault="00FA1963" w:rsidP="00B8205E">
      <w:pPr>
        <w:pStyle w:val="Heading2"/>
        <w:rPr>
          <w:rFonts w:ascii="Arial" w:hAnsi="Arial" w:cs="Arial"/>
          <w:b/>
          <w:bCs/>
          <w:color w:val="auto"/>
          <w:sz w:val="36"/>
          <w:szCs w:val="36"/>
        </w:rPr>
      </w:pPr>
      <w:r w:rsidRPr="00B8205E">
        <w:rPr>
          <w:rFonts w:ascii="Arial" w:hAnsi="Arial" w:cs="Arial"/>
          <w:b/>
          <w:bCs/>
          <w:color w:val="auto"/>
          <w:sz w:val="36"/>
          <w:szCs w:val="36"/>
        </w:rPr>
        <w:lastRenderedPageBreak/>
        <w:t>Alberta Creates a New Competitive Test</w:t>
      </w:r>
    </w:p>
    <w:p w14:paraId="41799CE1" w14:textId="1A79F5EE" w:rsidR="00FA1963" w:rsidRPr="00DB5321" w:rsidRDefault="00FA1963" w:rsidP="00FA1963">
      <w:pPr>
        <w:pStyle w:val="NormalWeb"/>
        <w:spacing w:before="0" w:beforeAutospacing="0" w:after="160" w:afterAutospacing="0"/>
      </w:pPr>
      <w:r w:rsidRPr="00DB5321">
        <w:rPr>
          <w:color w:val="000000"/>
        </w:rPr>
        <w:t>The biggest significance of Alberta’s launch is not actually a threat to Ontario’s market size - it provides another significant regulated market for Canadian operators to compete in.</w:t>
      </w:r>
      <w:r w:rsidR="005723D4">
        <w:t xml:space="preserve"> </w:t>
      </w:r>
      <w:r w:rsidRPr="00DB5321">
        <w:rPr>
          <w:color w:val="000000"/>
        </w:rPr>
        <w:t>Many companies are active within the two provinces. The Alberta market features major brands like;</w:t>
      </w:r>
    </w:p>
    <w:p w14:paraId="71844D3D" w14:textId="689B09F4"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bet365</w:t>
      </w:r>
    </w:p>
    <w:p w14:paraId="7B940468" w14:textId="46E1C76B"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BetMGM</w:t>
      </w:r>
    </w:p>
    <w:p w14:paraId="787A15AB" w14:textId="2DD8327D"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BetRivers</w:t>
      </w:r>
    </w:p>
    <w:p w14:paraId="7E9E461E" w14:textId="23C2173C"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Caesars</w:t>
      </w:r>
    </w:p>
    <w:p w14:paraId="18F4D6A0" w14:textId="3A87EB68"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DraftKings</w:t>
      </w:r>
    </w:p>
    <w:p w14:paraId="03DA76FE" w14:textId="2F99A08E" w:rsidR="00FA1963" w:rsidRPr="00B8205E" w:rsidRDefault="00FA1963" w:rsidP="00B8205E">
      <w:pPr>
        <w:pStyle w:val="ListParagraph"/>
        <w:numPr>
          <w:ilvl w:val="0"/>
          <w:numId w:val="1"/>
        </w:numPr>
        <w:rPr>
          <w:rFonts w:ascii="Times New Roman" w:hAnsi="Times New Roman" w:cs="Times New Roman"/>
        </w:rPr>
      </w:pPr>
      <w:r w:rsidRPr="00B8205E">
        <w:rPr>
          <w:rFonts w:ascii="Times New Roman" w:hAnsi="Times New Roman" w:cs="Times New Roman"/>
        </w:rPr>
        <w:t>FanDuel.</w:t>
      </w:r>
    </w:p>
    <w:p w14:paraId="6F13B0F5" w14:textId="77777777" w:rsidR="00FA1963" w:rsidRPr="00DB5321" w:rsidRDefault="00FA1963" w:rsidP="00FA1963">
      <w:pPr>
        <w:pStyle w:val="NormalWeb"/>
        <w:spacing w:before="0" w:beforeAutospacing="0" w:after="160" w:afterAutospacing="0"/>
      </w:pPr>
      <w:r w:rsidRPr="00DB5321">
        <w:rPr>
          <w:color w:val="000000"/>
        </w:rPr>
        <w:t>DAZN Bet also launched in both Ontario and Alberta around the start of this new competitive era.</w:t>
      </w:r>
    </w:p>
    <w:p w14:paraId="61789A2B" w14:textId="77777777" w:rsidR="00FA1963" w:rsidRPr="00DB5321" w:rsidRDefault="00FA1963" w:rsidP="00FA1963">
      <w:pPr>
        <w:pStyle w:val="NormalWeb"/>
        <w:spacing w:before="0" w:beforeAutospacing="0" w:after="160" w:afterAutospacing="0"/>
      </w:pPr>
      <w:r w:rsidRPr="00DB5321">
        <w:rPr>
          <w:color w:val="000000"/>
        </w:rPr>
        <w:t>Such developments allow for the sharing of technology, payment systems, marketing and responsible gambling tools across these provinces. Each province does feature slightly different regulatory and market conditions, though, success in one doesn’t automatically mean success in the other.</w:t>
      </w:r>
    </w:p>
    <w:p w14:paraId="6ABF4480" w14:textId="77777777" w:rsidR="00FA1963" w:rsidRPr="00DB5321" w:rsidRDefault="00FA1963" w:rsidP="00FA1963">
      <w:pPr>
        <w:pStyle w:val="NormalWeb"/>
        <w:spacing w:before="0" w:beforeAutospacing="0" w:after="160" w:afterAutospacing="0"/>
      </w:pPr>
      <w:r w:rsidRPr="00DB5321">
        <w:rPr>
          <w:color w:val="000000"/>
        </w:rPr>
        <w:t>The early Alberta results might also influence future operator decisions. In the event competition yields strong customer participation, more brands are likely to view Canadian provincial markets as worthy of further expansion opportunities.</w:t>
      </w:r>
    </w:p>
    <w:p w14:paraId="46B3DD62" w14:textId="77777777" w:rsidR="00FA1963" w:rsidRPr="00B8205E" w:rsidRDefault="00FA1963" w:rsidP="00B8205E">
      <w:pPr>
        <w:pStyle w:val="Heading2"/>
        <w:rPr>
          <w:rFonts w:ascii="Arial" w:hAnsi="Arial" w:cs="Arial"/>
          <w:b/>
          <w:bCs/>
          <w:color w:val="auto"/>
          <w:sz w:val="36"/>
          <w:szCs w:val="36"/>
        </w:rPr>
      </w:pPr>
      <w:r w:rsidRPr="00B8205E">
        <w:rPr>
          <w:rFonts w:ascii="Arial" w:hAnsi="Arial" w:cs="Arial"/>
          <w:b/>
          <w:bCs/>
          <w:color w:val="auto"/>
          <w:sz w:val="36"/>
          <w:szCs w:val="36"/>
        </w:rPr>
        <w:t>Ontario Operators Face More Pressure to Innovate</w:t>
      </w:r>
    </w:p>
    <w:p w14:paraId="7D40CE3E" w14:textId="77777777" w:rsidR="00FA1963" w:rsidRPr="00DB5321" w:rsidRDefault="00FA1963" w:rsidP="00FA1963">
      <w:pPr>
        <w:pStyle w:val="NormalWeb"/>
        <w:spacing w:before="0" w:beforeAutospacing="0" w:after="160" w:afterAutospacing="0"/>
      </w:pPr>
      <w:r w:rsidRPr="00DB5321">
        <w:rPr>
          <w:color w:val="000000"/>
        </w:rPr>
        <w:t>The launch of Alberta’s online casinos and sportsbooks could also indirectly impact competition in Ontario’s markets. Ontario already features a relatively crowded market with 48 licensed operators and 82 gaming sites reported around the latest June market figures.</w:t>
      </w:r>
    </w:p>
    <w:p w14:paraId="3A3511F7" w14:textId="77777777" w:rsidR="00FA1963" w:rsidRPr="00DB5321" w:rsidRDefault="00FA1963" w:rsidP="00FA1963">
      <w:pPr>
        <w:pStyle w:val="NormalWeb"/>
        <w:spacing w:before="0" w:beforeAutospacing="0" w:after="160" w:afterAutospacing="0"/>
      </w:pPr>
      <w:r w:rsidRPr="00DB5321">
        <w:rPr>
          <w:color w:val="000000"/>
        </w:rPr>
        <w:t>Such new competitors will need to give Ontario players solid reasons to engage with their platforms. Established operators face the opposite challenge; they must maintain their market position as new brands arrive.</w:t>
      </w:r>
    </w:p>
    <w:p w14:paraId="20FF0ADF" w14:textId="77777777" w:rsidR="00FA1963" w:rsidRPr="00DB5321" w:rsidRDefault="00FA1963" w:rsidP="00FA1963">
      <w:pPr>
        <w:pStyle w:val="NormalWeb"/>
        <w:spacing w:before="0" w:beforeAutospacing="0" w:after="160" w:afterAutospacing="0"/>
      </w:pPr>
      <w:r w:rsidRPr="00DB5321">
        <w:rPr>
          <w:color w:val="000000"/>
        </w:rPr>
        <w:t>The competitive efforts will focus on factors like variety of products, mobile experience, payment options and services, sports markets, live casino products and responsible gambling tools rather than simple website counts.</w:t>
      </w:r>
    </w:p>
    <w:p w14:paraId="7350D431" w14:textId="77777777" w:rsidR="00FA1963" w:rsidRPr="00DB5321" w:rsidRDefault="00FA1963" w:rsidP="00FA1963">
      <w:pPr>
        <w:pStyle w:val="NormalWeb"/>
        <w:spacing w:before="0" w:beforeAutospacing="0" w:after="160" w:afterAutospacing="0"/>
      </w:pPr>
      <w:r w:rsidRPr="00DB5321">
        <w:rPr>
          <w:color w:val="000000"/>
        </w:rPr>
        <w:t>Recent Ontario launches underline this trend- DAZN Bet showed up on June 30, followed by Hard Rock Bet on July 22. Fanatics has also received an Ontario license, making yet another major brand part of an already competitive environment.</w:t>
      </w:r>
    </w:p>
    <w:p w14:paraId="7EE94B11" w14:textId="77777777" w:rsidR="00FA1963" w:rsidRPr="00B8205E" w:rsidRDefault="00FA1963" w:rsidP="00B8205E">
      <w:pPr>
        <w:pStyle w:val="Heading2"/>
        <w:rPr>
          <w:rFonts w:ascii="Arial" w:hAnsi="Arial" w:cs="Arial"/>
          <w:b/>
          <w:bCs/>
          <w:color w:val="auto"/>
          <w:sz w:val="36"/>
          <w:szCs w:val="36"/>
        </w:rPr>
      </w:pPr>
      <w:r w:rsidRPr="00B8205E">
        <w:rPr>
          <w:rFonts w:ascii="Arial" w:hAnsi="Arial" w:cs="Arial"/>
          <w:b/>
          <w:bCs/>
          <w:color w:val="auto"/>
          <w:sz w:val="36"/>
          <w:szCs w:val="36"/>
        </w:rPr>
        <w:t>What Players Should Watch Next</w:t>
      </w:r>
    </w:p>
    <w:p w14:paraId="56F1C156" w14:textId="77777777" w:rsidR="00FA1963" w:rsidRPr="00DB5321" w:rsidRDefault="00FA1963" w:rsidP="00FA1963">
      <w:pPr>
        <w:pStyle w:val="NormalWeb"/>
        <w:spacing w:before="0" w:beforeAutospacing="0" w:after="160" w:afterAutospacing="0"/>
      </w:pPr>
      <w:r w:rsidRPr="00DB5321">
        <w:rPr>
          <w:color w:val="000000"/>
        </w:rPr>
        <w:t>For Canadian online gambling consumers, Alberta’s first month provides a useful preview of how regulated competition expands choices. However, more choices make it even more important to check whether a gambling website is properly licensed within the province in which it operates.</w:t>
      </w:r>
    </w:p>
    <w:p w14:paraId="1392EB51" w14:textId="602A7FCD" w:rsidR="00FA1963" w:rsidRPr="00DB5321" w:rsidRDefault="00FA1963" w:rsidP="00FA1963">
      <w:pPr>
        <w:pStyle w:val="NormalWeb"/>
        <w:spacing w:before="0" w:beforeAutospacing="0" w:after="160" w:afterAutospacing="0"/>
      </w:pPr>
      <w:r w:rsidRPr="00DB5321">
        <w:rPr>
          <w:color w:val="000000"/>
        </w:rPr>
        <w:lastRenderedPageBreak/>
        <w:t>The next important development will be whether the province can transform operator numbers into activity and revenue. Unlike Ontario, Alberta lacks a long history of monthly market performance data. As such, there is no</w:t>
      </w:r>
      <w:r w:rsidR="00A20C66">
        <w:rPr>
          <w:color w:val="000000"/>
        </w:rPr>
        <w:t>t</w:t>
      </w:r>
      <w:r w:rsidRPr="00DB5321">
        <w:rPr>
          <w:color w:val="000000"/>
        </w:rPr>
        <w:t xml:space="preserve"> enough evidence to make a reliable revenue comparison.</w:t>
      </w:r>
    </w:p>
    <w:p w14:paraId="51116B37" w14:textId="3957DAF4" w:rsidR="00FA1963" w:rsidRPr="00DB5321" w:rsidRDefault="00FA1963" w:rsidP="00FA1963">
      <w:pPr>
        <w:pStyle w:val="NormalWeb"/>
        <w:spacing w:before="0" w:beforeAutospacing="0" w:after="160" w:afterAutospacing="0"/>
      </w:pPr>
      <w:r w:rsidRPr="00DB5321">
        <w:rPr>
          <w:color w:val="000000"/>
        </w:rPr>
        <w:t>For Ontario, Alberta provides another benchmark. The Ontario market remains more mature, with billions of dollars in monthly wagers and hundreds of millions in monthly operator revenue. But the rapid rollout in Alberta means Canada’s regulated iGaming landscape is no longer centered on one private operator market.</w:t>
      </w:r>
      <w:r w:rsidR="002D0D3D">
        <w:t xml:space="preserve"> </w:t>
      </w:r>
      <w:r w:rsidRPr="00DB5321">
        <w:rPr>
          <w:color w:val="000000"/>
        </w:rPr>
        <w:t>As more Alberta sites launch, these two provinces will offer a more useful comparison of how regulated online gambling competition develops, attracts players and evolves over time.</w:t>
      </w:r>
    </w:p>
    <w:p w14:paraId="244AF4A6" w14:textId="77777777" w:rsidR="00FA1963" w:rsidRPr="00DB5321" w:rsidRDefault="00FA1963" w:rsidP="00FA1963">
      <w:pPr>
        <w:pStyle w:val="NormalWeb"/>
        <w:spacing w:before="0" w:beforeAutospacing="0" w:after="160" w:afterAutospacing="0"/>
      </w:pPr>
      <w:r w:rsidRPr="00DB5321">
        <w:rPr>
          <w:color w:val="000000"/>
        </w:rPr>
        <w:t> </w:t>
      </w:r>
    </w:p>
    <w:p w14:paraId="6A984BB6" w14:textId="16A26D78" w:rsidR="00FA1963" w:rsidRPr="00DB5321" w:rsidRDefault="00FA1963" w:rsidP="00FA1963">
      <w:pPr>
        <w:pStyle w:val="NormalWeb"/>
        <w:spacing w:before="0" w:beforeAutospacing="0" w:after="160" w:afterAutospacing="0"/>
      </w:pPr>
      <w:r w:rsidRPr="00DB5321">
        <w:rPr>
          <w:color w:val="000000"/>
        </w:rPr>
        <w:t> </w:t>
      </w:r>
      <w:r w:rsidR="002D0D3D">
        <w:rPr>
          <w:noProof/>
        </w:rPr>
        <w:drawing>
          <wp:inline distT="0" distB="0" distL="0" distR="0" wp14:anchorId="704E4A9D" wp14:editId="5F204206">
            <wp:extent cx="5943600" cy="3341370"/>
            <wp:effectExtent l="0" t="0" r="0" b="0"/>
            <wp:docPr id="129948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87270" name=""/>
                    <pic:cNvPicPr/>
                  </pic:nvPicPr>
                  <pic:blipFill>
                    <a:blip r:embed="rId5"/>
                    <a:stretch>
                      <a:fillRect/>
                    </a:stretch>
                  </pic:blipFill>
                  <pic:spPr>
                    <a:xfrm>
                      <a:off x="0" y="0"/>
                      <a:ext cx="5943600" cy="3341370"/>
                    </a:xfrm>
                    <a:prstGeom prst="rect">
                      <a:avLst/>
                    </a:prstGeom>
                  </pic:spPr>
                </pic:pic>
              </a:graphicData>
            </a:graphic>
          </wp:inline>
        </w:drawing>
      </w:r>
    </w:p>
    <w:p w14:paraId="1D498B6B" w14:textId="77777777" w:rsidR="004952DD" w:rsidRPr="00DB5321" w:rsidRDefault="004952DD">
      <w:pPr>
        <w:rPr>
          <w:rFonts w:ascii="Times New Roman" w:hAnsi="Times New Roman" w:cs="Times New Roman"/>
        </w:rPr>
      </w:pPr>
    </w:p>
    <w:sectPr w:rsidR="004952DD" w:rsidRPr="00DB53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C38C9"/>
    <w:multiLevelType w:val="hybridMultilevel"/>
    <w:tmpl w:val="719CC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1D3757"/>
    <w:multiLevelType w:val="hybridMultilevel"/>
    <w:tmpl w:val="A5F643B8"/>
    <w:lvl w:ilvl="0" w:tplc="A6DA68B6">
      <w:start w:val="7"/>
      <w:numFmt w:val="bullet"/>
      <w:lvlText w:val="·"/>
      <w:lvlJc w:val="left"/>
      <w:pPr>
        <w:ind w:left="975" w:hanging="615"/>
      </w:pPr>
      <w:rPr>
        <w:rFonts w:ascii="Times New Roman" w:eastAsiaTheme="minorHAnsi"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6411275">
    <w:abstractNumId w:val="0"/>
  </w:num>
  <w:num w:numId="2" w16cid:durableId="303971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63"/>
    <w:rsid w:val="001523A4"/>
    <w:rsid w:val="001D2DDD"/>
    <w:rsid w:val="002B0C9E"/>
    <w:rsid w:val="002D0D3D"/>
    <w:rsid w:val="003115F0"/>
    <w:rsid w:val="00350B32"/>
    <w:rsid w:val="00352A0D"/>
    <w:rsid w:val="004952DD"/>
    <w:rsid w:val="005723D4"/>
    <w:rsid w:val="00680E43"/>
    <w:rsid w:val="00A20C66"/>
    <w:rsid w:val="00A52739"/>
    <w:rsid w:val="00B8205E"/>
    <w:rsid w:val="00B92F4A"/>
    <w:rsid w:val="00DB5321"/>
    <w:rsid w:val="00FA1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F9E9C"/>
  <w15:chartTrackingRefBased/>
  <w15:docId w15:val="{D065D191-87C3-417E-9BE8-AAADF50DA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19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A19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19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19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19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1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1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1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1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19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A19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19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19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19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1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1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1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1963"/>
    <w:rPr>
      <w:rFonts w:eastAsiaTheme="majorEastAsia" w:cstheme="majorBidi"/>
      <w:color w:val="272727" w:themeColor="text1" w:themeTint="D8"/>
    </w:rPr>
  </w:style>
  <w:style w:type="paragraph" w:styleId="Title">
    <w:name w:val="Title"/>
    <w:basedOn w:val="Normal"/>
    <w:next w:val="Normal"/>
    <w:link w:val="TitleChar"/>
    <w:uiPriority w:val="10"/>
    <w:qFormat/>
    <w:rsid w:val="00FA1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1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1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1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1963"/>
    <w:pPr>
      <w:spacing w:before="160"/>
      <w:jc w:val="center"/>
    </w:pPr>
    <w:rPr>
      <w:i/>
      <w:iCs/>
      <w:color w:val="404040" w:themeColor="text1" w:themeTint="BF"/>
    </w:rPr>
  </w:style>
  <w:style w:type="character" w:customStyle="1" w:styleId="QuoteChar">
    <w:name w:val="Quote Char"/>
    <w:basedOn w:val="DefaultParagraphFont"/>
    <w:link w:val="Quote"/>
    <w:uiPriority w:val="29"/>
    <w:rsid w:val="00FA1963"/>
    <w:rPr>
      <w:i/>
      <w:iCs/>
      <w:color w:val="404040" w:themeColor="text1" w:themeTint="BF"/>
    </w:rPr>
  </w:style>
  <w:style w:type="paragraph" w:styleId="ListParagraph">
    <w:name w:val="List Paragraph"/>
    <w:basedOn w:val="Normal"/>
    <w:uiPriority w:val="34"/>
    <w:qFormat/>
    <w:rsid w:val="00FA1963"/>
    <w:pPr>
      <w:ind w:left="720"/>
      <w:contextualSpacing/>
    </w:pPr>
  </w:style>
  <w:style w:type="character" w:styleId="IntenseEmphasis">
    <w:name w:val="Intense Emphasis"/>
    <w:basedOn w:val="DefaultParagraphFont"/>
    <w:uiPriority w:val="21"/>
    <w:qFormat/>
    <w:rsid w:val="00FA1963"/>
    <w:rPr>
      <w:i/>
      <w:iCs/>
      <w:color w:val="2F5496" w:themeColor="accent1" w:themeShade="BF"/>
    </w:rPr>
  </w:style>
  <w:style w:type="paragraph" w:styleId="IntenseQuote">
    <w:name w:val="Intense Quote"/>
    <w:basedOn w:val="Normal"/>
    <w:next w:val="Normal"/>
    <w:link w:val="IntenseQuoteChar"/>
    <w:uiPriority w:val="30"/>
    <w:qFormat/>
    <w:rsid w:val="00FA19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1963"/>
    <w:rPr>
      <w:i/>
      <w:iCs/>
      <w:color w:val="2F5496" w:themeColor="accent1" w:themeShade="BF"/>
    </w:rPr>
  </w:style>
  <w:style w:type="character" w:styleId="IntenseReference">
    <w:name w:val="Intense Reference"/>
    <w:basedOn w:val="DefaultParagraphFont"/>
    <w:uiPriority w:val="32"/>
    <w:qFormat/>
    <w:rsid w:val="00FA1963"/>
    <w:rPr>
      <w:b/>
      <w:bCs/>
      <w:smallCaps/>
      <w:color w:val="2F5496" w:themeColor="accent1" w:themeShade="BF"/>
      <w:spacing w:val="5"/>
    </w:rPr>
  </w:style>
  <w:style w:type="paragraph" w:styleId="NormalWeb">
    <w:name w:val="Normal (Web)"/>
    <w:basedOn w:val="Normal"/>
    <w:uiPriority w:val="99"/>
    <w:semiHidden/>
    <w:unhideWhenUsed/>
    <w:rsid w:val="00FA196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845</Words>
  <Characters>4823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23</cp:revision>
  <dcterms:created xsi:type="dcterms:W3CDTF">2026-08-26T01:22:00Z</dcterms:created>
  <dcterms:modified xsi:type="dcterms:W3CDTF">2026-08-26T22:12:00Z</dcterms:modified>
</cp:coreProperties>
</file>