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00" w:lineRule="auto"/>
        <w:rPr>
          <w:b w:val="1"/>
          <w:bCs w:val="1"/>
        </w:rPr>
      </w:pPr>
      <w:bookmarkStart w:colFirst="0" w:colLast="0" w:name="_74jby94n01ld" w:id="0"/>
      <w:bookmarkEnd w:id="0"/>
      <w:r w:rsidDel="00000000" w:rsidR="00000000" w:rsidRPr="00000000">
        <w:rPr>
          <w:b w:val="1"/>
          <w:bCs w:val="1"/>
          <w:rtl w:val="0"/>
        </w:rPr>
        <w:t xml:space="preserve">July 2026 Sets New All-Time Record for Ontario iGaming</w:t>
      </w:r>
    </w:p>
    <w:p w:rsidR="00000000" w:rsidDel="00000000" w:rsidP="00000000" w:rsidRDefault="00000000" w:rsidRPr="00000000" w14:paraId="00000002">
      <w:pPr>
        <w:spacing w:before="200" w:lineRule="auto"/>
        <w:rPr/>
      </w:pPr>
      <w:r w:rsidDel="00000000" w:rsidR="00000000" w:rsidRPr="00000000">
        <w:rPr>
          <w:rtl w:val="0"/>
        </w:rPr>
        <w:t xml:space="preserve">The FIFA World Cup 2026 was the sporting event of the century. And with it came many great memories that will last a lifetime. From it being the largest men’s tournament ever to Cristiano Ronaldo breaking two records — being the first player ever to score in six different World Cup tournaments and also the oldest player to have a multi-goal game at the World Cup — the 2026 global tournament cemented its place as one of football’s most memorable events.</w:t>
      </w:r>
    </w:p>
    <w:p w:rsidR="00000000" w:rsidDel="00000000" w:rsidP="00000000" w:rsidRDefault="00000000" w:rsidRPr="00000000" w14:paraId="00000003">
      <w:pPr>
        <w:spacing w:before="200" w:lineRule="auto"/>
        <w:rPr/>
      </w:pPr>
      <w:r w:rsidDel="00000000" w:rsidR="00000000" w:rsidRPr="00000000">
        <w:rPr>
          <w:rtl w:val="0"/>
        </w:rPr>
        <w:t xml:space="preserve">Over in Ontario, the World Cup didn’t fall short generating record-breaking activity. Most prominent was the setting a new all-time monthly mark in total cash wagers and number of active player accounts in the month of July. </w:t>
      </w:r>
    </w:p>
    <w:p w:rsidR="00000000" w:rsidDel="00000000" w:rsidP="00000000" w:rsidRDefault="00000000" w:rsidRPr="00000000" w14:paraId="00000004">
      <w:pPr>
        <w:spacing w:before="200" w:lineRule="auto"/>
        <w:rPr/>
      </w:pPr>
      <w:r w:rsidDel="00000000" w:rsidR="00000000" w:rsidRPr="00000000">
        <w:rPr>
          <w:rtl w:val="0"/>
        </w:rPr>
        <w:t xml:space="preserve">According to the </w:t>
      </w:r>
      <w:hyperlink r:id="rId6">
        <w:r w:rsidDel="00000000" w:rsidR="00000000" w:rsidRPr="00000000">
          <w:rPr>
            <w:color w:val="1155cc"/>
            <w:u w:val="single"/>
            <w:rtl w:val="0"/>
          </w:rPr>
          <w:t xml:space="preserve">latest performance metrics</w:t>
        </w:r>
      </w:hyperlink>
      <w:r w:rsidDel="00000000" w:rsidR="00000000" w:rsidRPr="00000000">
        <w:rPr>
          <w:rtl w:val="0"/>
        </w:rPr>
        <w:t xml:space="preserve"> released by iGaming Ontario (iGO), total cash wagers within the 31 days of July amounted to $9.88 billion. That is a 31% yearly increase compared to July 2025 and almost $300 million over the previous record of $9.59 billion set back in March this year. </w:t>
      </w:r>
    </w:p>
    <w:p w:rsidR="00000000" w:rsidDel="00000000" w:rsidP="00000000" w:rsidRDefault="00000000" w:rsidRPr="00000000" w14:paraId="00000005">
      <w:pPr>
        <w:spacing w:before="200" w:lineRule="auto"/>
        <w:rPr/>
      </w:pPr>
      <w:r w:rsidDel="00000000" w:rsidR="00000000" w:rsidRPr="00000000">
        <w:rPr>
          <w:rtl w:val="0"/>
        </w:rPr>
        <w:t xml:space="preserve">Also, the number of active player accounts was the highest it has ever been in Ontario at close to $1.40 million, 44% more than the 948,000 active iGaming player accounts present in July 2025. </w:t>
      </w:r>
    </w:p>
    <w:p w:rsidR="00000000" w:rsidDel="00000000" w:rsidP="00000000" w:rsidRDefault="00000000" w:rsidRPr="00000000" w14:paraId="00000006">
      <w:pPr>
        <w:pStyle w:val="Heading2"/>
        <w:spacing w:before="200" w:lineRule="auto"/>
        <w:rPr>
          <w:b w:val="1"/>
          <w:bCs w:val="1"/>
        </w:rPr>
      </w:pPr>
      <w:bookmarkStart w:colFirst="0" w:colLast="0" w:name="_6s3wnuilenoy" w:id="1"/>
      <w:bookmarkEnd w:id="1"/>
      <w:r w:rsidDel="00000000" w:rsidR="00000000" w:rsidRPr="00000000">
        <w:rPr>
          <w:b w:val="1"/>
          <w:bCs w:val="1"/>
          <w:rtl w:val="0"/>
        </w:rPr>
        <w:t xml:space="preserve">Online Casino Activity Hits New Record</w:t>
      </w:r>
    </w:p>
    <w:p w:rsidR="00000000" w:rsidDel="00000000" w:rsidP="00000000" w:rsidRDefault="00000000" w:rsidRPr="00000000" w14:paraId="00000007">
      <w:pPr>
        <w:spacing w:before="200" w:lineRule="auto"/>
        <w:rPr/>
      </w:pPr>
      <w:r w:rsidDel="00000000" w:rsidR="00000000" w:rsidRPr="00000000">
        <w:rPr>
          <w:rtl w:val="0"/>
        </w:rPr>
        <w:t xml:space="preserve">Slots, table games, live dealer options, and peer-to-peer bingo have always been king in Ontario iGaming. July 2026 was no different.</w:t>
      </w:r>
    </w:p>
    <w:p w:rsidR="00000000" w:rsidDel="00000000" w:rsidP="00000000" w:rsidRDefault="00000000" w:rsidRPr="00000000" w14:paraId="00000008">
      <w:pPr>
        <w:spacing w:before="200" w:lineRule="auto"/>
        <w:rPr/>
      </w:pPr>
      <w:r w:rsidDel="00000000" w:rsidR="00000000" w:rsidRPr="00000000">
        <w:rPr>
          <w:rtl w:val="0"/>
        </w:rPr>
        <w:t xml:space="preserve">Despite overall gambling numbers rising in Ontario during the World Cup, </w:t>
      </w:r>
      <w:hyperlink r:id="rId7">
        <w:r w:rsidDel="00000000" w:rsidR="00000000" w:rsidRPr="00000000">
          <w:rPr>
            <w:color w:val="1155cc"/>
            <w:u w:val="single"/>
            <w:rtl w:val="0"/>
          </w:rPr>
          <w:t xml:space="preserve">casino games</w:t>
        </w:r>
      </w:hyperlink>
      <w:r w:rsidDel="00000000" w:rsidR="00000000" w:rsidRPr="00000000">
        <w:rPr>
          <w:rtl w:val="0"/>
        </w:rPr>
        <w:t xml:space="preserve"> continued to dominate the market, accounting for 89% of iGaming revenue. Online casino wagers increased 30% year-over-year, reaching $8.78 billion in total cash wagers.</w:t>
      </w:r>
    </w:p>
    <w:p w:rsidR="00000000" w:rsidDel="00000000" w:rsidP="00000000" w:rsidRDefault="00000000" w:rsidRPr="00000000" w14:paraId="00000009">
      <w:pPr>
        <w:spacing w:before="200" w:lineRule="auto"/>
        <w:rPr/>
      </w:pPr>
      <w:r w:rsidDel="00000000" w:rsidR="00000000" w:rsidRPr="00000000">
        <w:rPr>
          <w:rtl w:val="0"/>
        </w:rPr>
        <w:t xml:space="preserve">Meanwhile, casino non-adjusted gross gaming revenue (NAGGR) rose 4% month-on-month to a record $330.4 million. This is the third time casino revenue has hit a new all-time high in 2026.</w:t>
      </w:r>
      <w:r w:rsidDel="00000000" w:rsidR="00000000" w:rsidRPr="00000000">
        <w:rPr>
          <w:rtl w:val="0"/>
        </w:rPr>
      </w:r>
    </w:p>
    <w:p w:rsidR="00000000" w:rsidDel="00000000" w:rsidP="00000000" w:rsidRDefault="00000000" w:rsidRPr="00000000" w14:paraId="0000000A">
      <w:pPr>
        <w:pStyle w:val="Heading2"/>
        <w:spacing w:before="200" w:lineRule="auto"/>
        <w:rPr>
          <w:b w:val="1"/>
          <w:bCs w:val="1"/>
        </w:rPr>
      </w:pPr>
      <w:bookmarkStart w:colFirst="0" w:colLast="0" w:name="_3bpb48pouk7t" w:id="2"/>
      <w:bookmarkEnd w:id="2"/>
      <w:r w:rsidDel="00000000" w:rsidR="00000000" w:rsidRPr="00000000">
        <w:rPr>
          <w:b w:val="1"/>
          <w:bCs w:val="1"/>
          <w:rtl w:val="0"/>
        </w:rPr>
        <w:t xml:space="preserve">Sports Betting Drops Below June’s $1 Billion Record</w:t>
      </w:r>
    </w:p>
    <w:p w:rsidR="00000000" w:rsidDel="00000000" w:rsidP="00000000" w:rsidRDefault="00000000" w:rsidRPr="00000000" w14:paraId="0000000B">
      <w:pPr>
        <w:spacing w:before="200" w:lineRule="auto"/>
        <w:rPr/>
      </w:pPr>
      <w:r w:rsidDel="00000000" w:rsidR="00000000" w:rsidRPr="00000000">
        <w:rPr>
          <w:rtl w:val="0"/>
        </w:rPr>
        <w:t xml:space="preserve">Back in June 2026, sports betting in Ontario drew in around $1.03 billion in total cash wagers as bettors embraced the World Cup hype. After all, with Canada being one of the three host countries and the Canada national men’s team making it to round 16 before they lost to Morocco 3-0, it’s only natural that the excitement around the World Cup spilled over to Ontario sports betting. </w:t>
      </w:r>
    </w:p>
    <w:p w:rsidR="00000000" w:rsidDel="00000000" w:rsidP="00000000" w:rsidRDefault="00000000" w:rsidRPr="00000000" w14:paraId="0000000C">
      <w:pPr>
        <w:spacing w:before="200" w:lineRule="auto"/>
        <w:rPr/>
      </w:pPr>
      <w:r w:rsidDel="00000000" w:rsidR="00000000" w:rsidRPr="00000000">
        <w:rPr>
          <w:rtl w:val="0"/>
        </w:rPr>
        <w:t xml:space="preserve">In July 2026, however, iGaming Ontario revealed that sports betting reached $992 million in total cash wagers, a 4% drop from the previous month and accounting for 10% of the province’s iGaming revenue. </w:t>
      </w:r>
    </w:p>
    <w:p w:rsidR="00000000" w:rsidDel="00000000" w:rsidP="00000000" w:rsidRDefault="00000000" w:rsidRPr="00000000" w14:paraId="0000000D">
      <w:pPr>
        <w:spacing w:before="200" w:lineRule="auto"/>
        <w:rPr/>
      </w:pPr>
      <w:r w:rsidDel="00000000" w:rsidR="00000000" w:rsidRPr="00000000">
        <w:rPr>
          <w:rtl w:val="0"/>
        </w:rPr>
        <w:t xml:space="preserve">On top of that, sports betting NAGGR in July came in at $77.8 million, a 1% drop from last month but still a 47% increase from July 2025. </w:t>
      </w:r>
      <w:r w:rsidDel="00000000" w:rsidR="00000000" w:rsidRPr="00000000">
        <w:rPr>
          <w:rtl w:val="0"/>
        </w:rPr>
      </w:r>
    </w:p>
    <w:p w:rsidR="00000000" w:rsidDel="00000000" w:rsidP="00000000" w:rsidRDefault="00000000" w:rsidRPr="00000000" w14:paraId="0000000E">
      <w:pPr>
        <w:pStyle w:val="Heading2"/>
        <w:spacing w:before="200" w:lineRule="auto"/>
        <w:rPr>
          <w:b w:val="1"/>
          <w:bCs w:val="1"/>
        </w:rPr>
      </w:pPr>
      <w:bookmarkStart w:colFirst="0" w:colLast="0" w:name="_cyib2r50ibqv" w:id="3"/>
      <w:bookmarkEnd w:id="3"/>
      <w:r w:rsidDel="00000000" w:rsidR="00000000" w:rsidRPr="00000000">
        <w:rPr>
          <w:b w:val="1"/>
          <w:bCs w:val="1"/>
          <w:rtl w:val="0"/>
        </w:rPr>
        <w:t xml:space="preserve">Ontario’s NAGGR Rises 3% From June 2026</w:t>
      </w:r>
    </w:p>
    <w:p w:rsidR="00000000" w:rsidDel="00000000" w:rsidP="00000000" w:rsidRDefault="00000000" w:rsidRPr="00000000" w14:paraId="0000000F">
      <w:pPr>
        <w:spacing w:after="300" w:before="300" w:lineRule="auto"/>
        <w:rPr/>
      </w:pPr>
      <w:r w:rsidDel="00000000" w:rsidR="00000000" w:rsidRPr="00000000">
        <w:rPr>
          <w:rtl w:val="0"/>
        </w:rPr>
        <w:t xml:space="preserve">Ontario’s iGaming market continued to gain momentum in July, with NAGGR climbing 3% from June to reach a new monthly high of $330.4 million. While operators narrowly missed the all-time GGR record, their non-adjusted gross gaming revenue still reached an impressive $413.6 million.</w:t>
      </w:r>
    </w:p>
    <w:p w:rsidR="00000000" w:rsidDel="00000000" w:rsidP="00000000" w:rsidRDefault="00000000" w:rsidRPr="00000000" w14:paraId="00000010">
      <w:pPr>
        <w:spacing w:after="300" w:before="300" w:lineRule="auto"/>
        <w:rPr/>
      </w:pPr>
      <w:r w:rsidDel="00000000" w:rsidR="00000000" w:rsidRPr="00000000">
        <w:rPr>
          <w:rtl w:val="0"/>
        </w:rPr>
        <w:t xml:space="preserve">That made July the second-highest month on record, trailing only December’s $426 million. It also marked the fourth consecutive month in which Ontario’s iGaming GGR topped $400 million, highlighting just how strong the market has been throughout 2026.</w:t>
      </w:r>
    </w:p>
    <w:p w:rsidR="00000000" w:rsidDel="00000000" w:rsidP="00000000" w:rsidRDefault="00000000" w:rsidRPr="00000000" w14:paraId="00000011">
      <w:pPr>
        <w:spacing w:after="300" w:before="300" w:lineRule="auto"/>
        <w:rPr/>
      </w:pPr>
      <w:r w:rsidDel="00000000" w:rsidR="00000000" w:rsidRPr="00000000">
        <w:rPr>
          <w:rtl w:val="0"/>
        </w:rPr>
        <w:t xml:space="preserve">The growth has also translated into more revenue for the province. With Ontario applying a 20% tax on operator revenue, July generated roughly $83 million in tax revenue, bringing the province’s total iGaming tax haul for the first seven months of 2026 to around $553 million.</w:t>
      </w:r>
      <w:r w:rsidDel="00000000" w:rsidR="00000000" w:rsidRPr="00000000">
        <w:rPr>
          <w:rtl w:val="0"/>
        </w:rPr>
      </w:r>
    </w:p>
    <w:p w:rsidR="00000000" w:rsidDel="00000000" w:rsidP="00000000" w:rsidRDefault="00000000" w:rsidRPr="00000000" w14:paraId="00000012">
      <w:pPr>
        <w:pStyle w:val="Heading2"/>
        <w:rPr>
          <w:b w:val="1"/>
          <w:bCs w:val="1"/>
        </w:rPr>
      </w:pPr>
      <w:bookmarkStart w:colFirst="0" w:colLast="0" w:name="_hfqfqzs13q7" w:id="4"/>
      <w:bookmarkEnd w:id="4"/>
      <w:r w:rsidDel="00000000" w:rsidR="00000000" w:rsidRPr="00000000">
        <w:rPr>
          <w:b w:val="1"/>
          <w:bCs w:val="1"/>
          <w:rtl w:val="0"/>
        </w:rPr>
        <w:t xml:space="preserve">More Operators Making Their Way to Ontario iGaming</w:t>
      </w:r>
    </w:p>
    <w:p w:rsidR="00000000" w:rsidDel="00000000" w:rsidP="00000000" w:rsidRDefault="00000000" w:rsidRPr="00000000" w14:paraId="00000013">
      <w:pPr>
        <w:spacing w:after="300" w:before="300" w:lineRule="auto"/>
        <w:rPr/>
      </w:pPr>
      <w:r w:rsidDel="00000000" w:rsidR="00000000" w:rsidRPr="00000000">
        <w:rPr>
          <w:rtl w:val="0"/>
        </w:rPr>
        <w:t xml:space="preserve">The latest iGaming Ontario figures show why the Loyalist province remains an attractive destination for operators and suppliers. July was a month of records, but the bigger story is what those numbers say about the strength and maturity of Ontario’s regulated market.</w:t>
      </w:r>
    </w:p>
    <w:p w:rsidR="00000000" w:rsidDel="00000000" w:rsidP="00000000" w:rsidRDefault="00000000" w:rsidRPr="00000000" w14:paraId="00000014">
      <w:pPr>
        <w:spacing w:after="300" w:before="300" w:lineRule="auto"/>
        <w:rPr/>
      </w:pPr>
      <w:r w:rsidDel="00000000" w:rsidR="00000000" w:rsidRPr="00000000">
        <w:rPr>
          <w:rtl w:val="0"/>
        </w:rPr>
        <w:t xml:space="preserve">Since opening its doors to private-sector iGaming in 2022, Ontario has developed into one of the most competitive regulated markets in North America. For operators, that means there is already an established audience familiar with online gambling, a functioning regulatory framework, and a market large enough to support serious competition.</w:t>
      </w:r>
    </w:p>
    <w:p w:rsidR="00000000" w:rsidDel="00000000" w:rsidP="00000000" w:rsidRDefault="00000000" w:rsidRPr="00000000" w14:paraId="00000015">
      <w:pPr>
        <w:spacing w:after="300" w:before="300" w:lineRule="auto"/>
        <w:rPr/>
      </w:pPr>
      <w:r w:rsidDel="00000000" w:rsidR="00000000" w:rsidRPr="00000000">
        <w:rPr>
          <w:rtl w:val="0"/>
        </w:rPr>
        <w:t xml:space="preserve">That appeal has not gone unnoticed. More operators and suppliers continue to explore opportunities in the province, hoping to bring their brands, games, technology and services to Ontario players. The latest being Hard Rock Bet Casino and Sportsbook on July 22, </w:t>
      </w:r>
      <w:hyperlink r:id="rId8">
        <w:r w:rsidDel="00000000" w:rsidR="00000000" w:rsidRPr="00000000">
          <w:rPr>
            <w:color w:val="1155cc"/>
            <w:u w:val="single"/>
            <w:rtl w:val="0"/>
          </w:rPr>
          <w:t xml:space="preserve">Betsson’s Casino Days</w:t>
        </w:r>
      </w:hyperlink>
      <w:r w:rsidDel="00000000" w:rsidR="00000000" w:rsidRPr="00000000">
        <w:rPr>
          <w:rtl w:val="0"/>
        </w:rPr>
        <w:t xml:space="preserve"> at the start of August along with Fanatics Casino which made its debut on September 1. The arrival of new operators not only diversifies an ecosystem that is already home to a broad mix of established international companies and newer entrants. But it also gives them a chance to establish themselves in a tightly regulated market where responsible gambling and compliance are central to doing business. </w:t>
      </w:r>
    </w:p>
    <w:p w:rsidR="00000000" w:rsidDel="00000000" w:rsidP="00000000" w:rsidRDefault="00000000" w:rsidRPr="00000000" w14:paraId="00000016">
      <w:pPr>
        <w:spacing w:after="300" w:before="300" w:lineRule="auto"/>
        <w:rPr/>
      </w:pPr>
      <w:r w:rsidDel="00000000" w:rsidR="00000000" w:rsidRPr="00000000">
        <w:rPr>
          <w:rtl w:val="0"/>
        </w:rPr>
        <w:t xml:space="preserve">Success here is therefore more than just immediate market share. Rather, it’s about gaining valuable experience operating within a mature North American regulatory environment. With July demonstrating just how active the market can be, Ontario looks set to remain firmly on the radar of iGaming businesses looking for their next opportunity.</w:t>
      </w:r>
    </w:p>
    <w:p w:rsidR="00000000" w:rsidDel="00000000" w:rsidP="00000000" w:rsidRDefault="00000000" w:rsidRPr="00000000" w14:paraId="00000017">
      <w:pPr>
        <w:spacing w:after="300" w:before="300" w:lineRule="auto"/>
        <w:rPr/>
      </w:pPr>
      <w:r w:rsidDel="00000000" w:rsidR="00000000" w:rsidRPr="00000000">
        <w:rPr/>
        <w:drawing>
          <wp:inline distB="114300" distT="114300" distL="114300" distR="114300">
            <wp:extent cx="5731200" cy="3644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644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igamingontario.ca/en/operator/market-performance-report-monthly" TargetMode="External"/><Relationship Id="rId7" Type="http://schemas.openxmlformats.org/officeDocument/2006/relationships/hyperlink" Target="https://ontariogamers.ca/ontario-igaming-2026-online-casino-wagers-reaching-new-highs/" TargetMode="External"/><Relationship Id="rId8" Type="http://schemas.openxmlformats.org/officeDocument/2006/relationships/hyperlink" Target="https://ontariogamers.ca/betsson-returns-to-ontario-casino-days-lau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