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CD71C" w14:textId="77777777" w:rsidR="00AD3BD1" w:rsidRPr="007B23F6" w:rsidRDefault="00AD3BD1" w:rsidP="007B23F6">
      <w:pPr>
        <w:pStyle w:val="Heading1"/>
        <w:rPr>
          <w:rFonts w:ascii="Arial" w:hAnsi="Arial" w:cs="Arial"/>
          <w:b/>
          <w:bCs/>
          <w:color w:val="auto"/>
          <w:sz w:val="48"/>
          <w:szCs w:val="48"/>
        </w:rPr>
      </w:pPr>
      <w:r w:rsidRPr="007B23F6">
        <w:rPr>
          <w:rFonts w:ascii="Arial" w:hAnsi="Arial" w:cs="Arial"/>
          <w:b/>
          <w:bCs/>
          <w:color w:val="auto"/>
          <w:sz w:val="48"/>
          <w:szCs w:val="48"/>
        </w:rPr>
        <w:t>What NorthStar Gaming’s Latest AGCO Penalty Means for AML Compliance in Ontario’s Gambling Industry</w:t>
      </w:r>
    </w:p>
    <w:p w14:paraId="26650AB1" w14:textId="77777777" w:rsidR="00AD3BD1" w:rsidRPr="00AD3BD1" w:rsidRDefault="00AD3BD1" w:rsidP="00AD3BD1">
      <w:pPr>
        <w:pStyle w:val="NormalWeb"/>
        <w:spacing w:before="0" w:beforeAutospacing="0" w:after="160" w:afterAutospacing="0"/>
      </w:pPr>
      <w:r w:rsidRPr="00AD3BD1">
        <w:rPr>
          <w:color w:val="000000"/>
        </w:rPr>
        <w:t>NorthStar Gaming is drawing renewed attention to its anti-money laundering compliance efforts - the Alcohol and Gaming Commission of Ontario placed a $100,000 penalty on its licensed entity, NorthStar Gaming (Ontario) Inc. The case reveals in what ways Ontario gambling operators must act in cases of suspected money laundering concerns - beyond having such policies in place.</w:t>
      </w:r>
    </w:p>
    <w:p w14:paraId="0D57E0A6" w14:textId="77777777" w:rsidR="00AD3BD1" w:rsidRPr="00AD3BD1" w:rsidRDefault="00AD3BD1" w:rsidP="00AD3BD1">
      <w:pPr>
        <w:pStyle w:val="NormalWeb"/>
        <w:spacing w:before="0" w:beforeAutospacing="0" w:after="160" w:afterAutospacing="0"/>
      </w:pPr>
      <w:r w:rsidRPr="00AD3BD1">
        <w:rPr>
          <w:color w:val="000000"/>
        </w:rPr>
        <w:t>The penalty relates to one player account active between March 2024 and June 2025. NorthStar did not dispute the findings of the Alcohol and Gaming Commission but made notable investments within its compliance programme.</w:t>
      </w:r>
    </w:p>
    <w:p w14:paraId="7F520A8E" w14:textId="77777777" w:rsidR="00AD3BD1" w:rsidRPr="00826FC5" w:rsidRDefault="00AD3BD1" w:rsidP="00826FC5">
      <w:pPr>
        <w:pStyle w:val="Heading2"/>
        <w:rPr>
          <w:rFonts w:ascii="Arial" w:hAnsi="Arial" w:cs="Arial"/>
          <w:b/>
          <w:bCs/>
          <w:color w:val="auto"/>
          <w:sz w:val="36"/>
          <w:szCs w:val="36"/>
        </w:rPr>
      </w:pPr>
      <w:r w:rsidRPr="00826FC5">
        <w:rPr>
          <w:rFonts w:ascii="Arial" w:hAnsi="Arial" w:cs="Arial"/>
          <w:b/>
          <w:bCs/>
          <w:color w:val="auto"/>
          <w:sz w:val="36"/>
          <w:szCs w:val="36"/>
        </w:rPr>
        <w:t>Why NorthStar Was Penalized by the AGCO</w:t>
      </w:r>
    </w:p>
    <w:p w14:paraId="096BEA04" w14:textId="77777777" w:rsidR="00AD3BD1" w:rsidRPr="00AD3BD1" w:rsidRDefault="00AD3BD1" w:rsidP="00AD3BD1">
      <w:pPr>
        <w:pStyle w:val="NormalWeb"/>
        <w:spacing w:before="0" w:beforeAutospacing="0" w:after="160" w:afterAutospacing="0"/>
      </w:pPr>
      <w:r w:rsidRPr="00AD3BD1">
        <w:rPr>
          <w:color w:val="000000"/>
        </w:rPr>
        <w:t>According to AGCO and NorthStar’s own AML policies, the player’s occupation was identified as high risk. The operator’s policies require such a player to be classified as high risk and undergo Enhanced Due Diligence (EDD) once lifetime deposits hit $25,000.</w:t>
      </w:r>
    </w:p>
    <w:p w14:paraId="0BFD5BD2" w14:textId="77777777" w:rsidR="00AD3BD1" w:rsidRPr="00AD3BD1" w:rsidRDefault="00AD3BD1" w:rsidP="00AD3BD1">
      <w:pPr>
        <w:pStyle w:val="NormalWeb"/>
        <w:spacing w:before="0" w:beforeAutospacing="0" w:after="160" w:afterAutospacing="0"/>
      </w:pPr>
      <w:r w:rsidRPr="00AD3BD1">
        <w:rPr>
          <w:color w:val="000000"/>
        </w:rPr>
        <w:t>The player opened the account in March 2024 and reached the $25000 threshold during the same month. However, NorthStar did not classify the account as high risk, conduct the much-needed EDD assessment or even verify the source of the player’s funds.</w:t>
      </w:r>
    </w:p>
    <w:p w14:paraId="11B83BE4" w14:textId="77777777" w:rsidR="00AD3BD1" w:rsidRPr="00AD3BD1" w:rsidRDefault="00AD3BD1" w:rsidP="00AD3BD1">
      <w:pPr>
        <w:pStyle w:val="NormalWeb"/>
        <w:spacing w:before="0" w:beforeAutospacing="0" w:after="160" w:afterAutospacing="0"/>
      </w:pPr>
      <w:r w:rsidRPr="00AD3BD1">
        <w:rPr>
          <w:color w:val="000000"/>
        </w:rPr>
        <w:t>The deposits lasted over a year. For instance, during the month of December 2024, the player deposited more than $55,000 - as of June 2025, the cumulative amount of deposits was about $189,395. NorthStar only classified this player as high risk and terminated the account following inquiries from the AGCO.</w:t>
      </w:r>
    </w:p>
    <w:p w14:paraId="63DE60EF" w14:textId="77777777" w:rsidR="00AD3BD1" w:rsidRPr="00AD3BD1" w:rsidRDefault="00AD3BD1" w:rsidP="00AD3BD1">
      <w:pPr>
        <w:pStyle w:val="NormalWeb"/>
        <w:spacing w:before="0" w:beforeAutospacing="0" w:after="160" w:afterAutospacing="0"/>
      </w:pPr>
      <w:r w:rsidRPr="00AD3BD1">
        <w:rPr>
          <w:color w:val="000000"/>
        </w:rPr>
        <w:t>The investigation conducted by the AGCO relates to police charges brought against the individual regarding Project Outsource - a joint law enforcement effort uncovering criminal activity, including extortion in Ontario’s towing industry. The regulator’s efforts were focused on compliance obligations of NorthStar – rather than determining the player’s guilt or innocence.</w:t>
      </w:r>
    </w:p>
    <w:p w14:paraId="6539991F" w14:textId="77777777" w:rsidR="00AD3BD1" w:rsidRPr="00826FC5" w:rsidRDefault="00AD3BD1" w:rsidP="00826FC5">
      <w:pPr>
        <w:pStyle w:val="Heading2"/>
        <w:rPr>
          <w:rFonts w:ascii="Arial" w:hAnsi="Arial" w:cs="Arial"/>
          <w:b/>
          <w:bCs/>
          <w:color w:val="auto"/>
          <w:sz w:val="36"/>
          <w:szCs w:val="36"/>
        </w:rPr>
      </w:pPr>
      <w:r w:rsidRPr="00826FC5">
        <w:rPr>
          <w:rFonts w:ascii="Arial" w:hAnsi="Arial" w:cs="Arial"/>
          <w:b/>
          <w:bCs/>
          <w:color w:val="auto"/>
          <w:sz w:val="36"/>
          <w:szCs w:val="36"/>
        </w:rPr>
        <w:t>What the Penalty Means for AML Compliance</w:t>
      </w:r>
    </w:p>
    <w:p w14:paraId="6DB43478" w14:textId="77777777" w:rsidR="00AD3BD1" w:rsidRPr="00AD3BD1" w:rsidRDefault="00AD3BD1" w:rsidP="00AD3BD1">
      <w:pPr>
        <w:pStyle w:val="NormalWeb"/>
        <w:spacing w:before="0" w:beforeAutospacing="0" w:after="160" w:afterAutospacing="0"/>
      </w:pPr>
      <w:r w:rsidRPr="00AD3BD1">
        <w:rPr>
          <w:color w:val="000000"/>
        </w:rPr>
        <w:t>The case sends a clear message to Ontario online gambling operators: AML policies must work in practice. Risk-based controls are at the very core of Ontario’s regulatory framework. The operators have to identify, assess, and respond appropriately to money laundering risks - enhanced due diligence includes verifying the source of funds and applying additional monitoring to higher-risk customers.</w:t>
      </w:r>
    </w:p>
    <w:p w14:paraId="354DC340" w14:textId="77777777" w:rsidR="00AD3BD1" w:rsidRPr="00AD3BD1" w:rsidRDefault="00AD3BD1" w:rsidP="00AD3BD1">
      <w:pPr>
        <w:pStyle w:val="NormalWeb"/>
        <w:spacing w:before="0" w:beforeAutospacing="0" w:after="160" w:afterAutospacing="0"/>
      </w:pPr>
      <w:r w:rsidRPr="00AD3BD1">
        <w:rPr>
          <w:color w:val="000000"/>
        </w:rPr>
        <w:t>The significance of the NorthStar case is that the risk indicators were already part of the operator’s own procedures. The issue, according to the AGCO, was failing to act on those indicators.</w:t>
      </w:r>
    </w:p>
    <w:p w14:paraId="03483835" w14:textId="77777777" w:rsidR="00AD3BD1" w:rsidRPr="00AD3BD1" w:rsidRDefault="00AD3BD1" w:rsidP="00AD3BD1">
      <w:pPr>
        <w:pStyle w:val="NormalWeb"/>
        <w:spacing w:before="0" w:beforeAutospacing="0" w:after="160" w:afterAutospacing="0"/>
      </w:pPr>
      <w:r w:rsidRPr="00AD3BD1">
        <w:rPr>
          <w:color w:val="000000"/>
        </w:rPr>
        <w:lastRenderedPageBreak/>
        <w:t>This means Ontario operators may need to pay closer attention to automated risk scoring tools, deposit thresholds, occupation information, source-of-funds checks, and escalation procedures.</w:t>
      </w:r>
    </w:p>
    <w:p w14:paraId="04A10773" w14:textId="77777777" w:rsidR="00AD3BD1" w:rsidRPr="00826FC5" w:rsidRDefault="00AD3BD1" w:rsidP="00826FC5">
      <w:pPr>
        <w:pStyle w:val="Heading2"/>
        <w:rPr>
          <w:rFonts w:ascii="Arial" w:hAnsi="Arial" w:cs="Arial"/>
          <w:b/>
          <w:bCs/>
          <w:color w:val="auto"/>
          <w:sz w:val="36"/>
          <w:szCs w:val="36"/>
        </w:rPr>
      </w:pPr>
      <w:r w:rsidRPr="00826FC5">
        <w:rPr>
          <w:rFonts w:ascii="Arial" w:hAnsi="Arial" w:cs="Arial"/>
          <w:b/>
          <w:bCs/>
          <w:color w:val="auto"/>
          <w:sz w:val="36"/>
          <w:szCs w:val="36"/>
        </w:rPr>
        <w:t>NorthStar Says It Has Strengthened Its Controls</w:t>
      </w:r>
    </w:p>
    <w:p w14:paraId="30A7711E" w14:textId="77777777" w:rsidR="00AD3BD1" w:rsidRPr="00AD3BD1" w:rsidRDefault="00AD3BD1" w:rsidP="00AD3BD1">
      <w:pPr>
        <w:pStyle w:val="NormalWeb"/>
        <w:spacing w:before="0" w:beforeAutospacing="0" w:after="160" w:afterAutospacing="0"/>
      </w:pPr>
      <w:r w:rsidRPr="00AD3BD1">
        <w:rPr>
          <w:color w:val="000000"/>
        </w:rPr>
        <w:t>NorthStar Gaming has acknowledged responsibility for the matters identified in the AGCO order - the conduct relates to a specific historical period, yet the company has since invested substantially in its AML and compliance programme.</w:t>
      </w:r>
    </w:p>
    <w:p w14:paraId="22AB480F" w14:textId="77777777" w:rsidR="00AD3BD1" w:rsidRPr="00AD3BD1" w:rsidRDefault="00AD3BD1" w:rsidP="00AD3BD1">
      <w:pPr>
        <w:pStyle w:val="NormalWeb"/>
        <w:spacing w:before="0" w:beforeAutospacing="0" w:after="160" w:afterAutospacing="0"/>
      </w:pPr>
      <w:r w:rsidRPr="00AD3BD1">
        <w:rPr>
          <w:color w:val="000000"/>
        </w:rPr>
        <w:t>The changes include appointing a new Vice President of Compliance, adding compliance staff members, and expanding the Compliance Committee - in addition to completing an independent external review of compliance effectiveness and improving risk-scoring and player classification systems. NorthStar also said it formalized its escalation procedures.</w:t>
      </w:r>
    </w:p>
    <w:p w14:paraId="1FF82C93" w14:textId="77777777" w:rsidR="00AD3BD1" w:rsidRPr="00AD3BD1" w:rsidRDefault="00AD3BD1" w:rsidP="00AD3BD1">
      <w:pPr>
        <w:pStyle w:val="NormalWeb"/>
        <w:spacing w:before="0" w:beforeAutospacing="0" w:after="160" w:afterAutospacing="0"/>
      </w:pPr>
      <w:r w:rsidRPr="00AD3BD1">
        <w:rPr>
          <w:color w:val="000000"/>
        </w:rPr>
        <w:t>There is also an important distinction in the financial figures. The AGCO announced a $100,000 monetary penalty, while NorthStar’s corporate statement indicates an agreement to settle for $80,000.</w:t>
      </w:r>
    </w:p>
    <w:p w14:paraId="0ED2B951" w14:textId="77777777" w:rsidR="00AD3BD1" w:rsidRPr="00826FC5" w:rsidRDefault="00AD3BD1" w:rsidP="00826FC5">
      <w:pPr>
        <w:pStyle w:val="Heading2"/>
        <w:rPr>
          <w:rFonts w:ascii="Arial" w:hAnsi="Arial" w:cs="Arial"/>
          <w:b/>
          <w:bCs/>
          <w:sz w:val="36"/>
          <w:szCs w:val="36"/>
        </w:rPr>
      </w:pPr>
      <w:r w:rsidRPr="00826FC5">
        <w:rPr>
          <w:rFonts w:ascii="Arial" w:hAnsi="Arial" w:cs="Arial"/>
          <w:b/>
          <w:bCs/>
          <w:color w:val="auto"/>
          <w:sz w:val="36"/>
          <w:szCs w:val="36"/>
        </w:rPr>
        <w:t>Why AML Matters as Ontario's iGaming Market Grows</w:t>
      </w:r>
    </w:p>
    <w:p w14:paraId="451C1335" w14:textId="77777777" w:rsidR="00AD3BD1" w:rsidRPr="00AD3BD1" w:rsidRDefault="00AD3BD1" w:rsidP="00AD3BD1">
      <w:pPr>
        <w:pStyle w:val="NormalWeb"/>
        <w:spacing w:before="0" w:beforeAutospacing="0" w:after="160" w:afterAutospacing="0"/>
      </w:pPr>
      <w:r w:rsidRPr="00AD3BD1">
        <w:rPr>
          <w:color w:val="000000"/>
        </w:rPr>
        <w:t>The enforcement action comes as Ontario’s regulated gambling market continues to expand. As of September 1, 2026, iGaming Ontario listed 49 regulated operators and 84 gaming websites.</w:t>
      </w:r>
    </w:p>
    <w:p w14:paraId="6119B1FB" w14:textId="77777777" w:rsidR="00AD3BD1" w:rsidRPr="00AD3BD1" w:rsidRDefault="00AD3BD1" w:rsidP="00AD3BD1">
      <w:pPr>
        <w:pStyle w:val="NormalWeb"/>
        <w:spacing w:before="0" w:beforeAutospacing="0" w:after="160" w:afterAutospacing="0"/>
      </w:pPr>
      <w:r w:rsidRPr="00AD3BD1">
        <w:rPr>
          <w:color w:val="000000"/>
        </w:rPr>
        <w:t>The latest iGaming Ontario market report - updated with July 2026 data - reveals all eligible games offered by operators under agreements with iGaming Ontario. The numbers presented are unaudited and may be adjusted.</w:t>
      </w:r>
    </w:p>
    <w:p w14:paraId="31CDC48C" w14:textId="77777777" w:rsidR="00AD3BD1" w:rsidRPr="00AD3BD1" w:rsidRDefault="00AD3BD1" w:rsidP="00AD3BD1">
      <w:pPr>
        <w:pStyle w:val="NormalWeb"/>
        <w:spacing w:before="0" w:beforeAutospacing="0" w:after="160" w:afterAutospacing="0"/>
      </w:pPr>
      <w:r w:rsidRPr="00AD3BD1">
        <w:rPr>
          <w:color w:val="000000"/>
        </w:rPr>
        <w:t>With so many more operators, websites, and activity from players, effective AML controls are even more increasingly important. The agency’s 2026-2029 business plan identifies the development of an automated AML platform as one of its initiatives - reflecting the growing importance of technology and data analysis to Ontario’s compliance strategy.</w:t>
      </w:r>
    </w:p>
    <w:p w14:paraId="3DFA0AF2" w14:textId="77777777" w:rsidR="00AD3BD1" w:rsidRPr="00826FC5" w:rsidRDefault="00AD3BD1" w:rsidP="00826FC5">
      <w:pPr>
        <w:pStyle w:val="Heading2"/>
        <w:rPr>
          <w:rFonts w:ascii="Arial" w:hAnsi="Arial" w:cs="Arial"/>
          <w:b/>
          <w:bCs/>
          <w:color w:val="auto"/>
          <w:sz w:val="36"/>
          <w:szCs w:val="36"/>
        </w:rPr>
      </w:pPr>
      <w:r w:rsidRPr="00826FC5">
        <w:rPr>
          <w:rFonts w:ascii="Arial" w:hAnsi="Arial" w:cs="Arial"/>
          <w:b/>
          <w:bCs/>
          <w:color w:val="auto"/>
          <w:sz w:val="36"/>
          <w:szCs w:val="36"/>
        </w:rPr>
        <w:t>What Ontario Gambling Operators Should Watch Next</w:t>
      </w:r>
    </w:p>
    <w:p w14:paraId="3C82C8D2" w14:textId="77777777" w:rsidR="00AD3BD1" w:rsidRPr="00AD3BD1" w:rsidRDefault="00AD3BD1" w:rsidP="00AD3BD1">
      <w:pPr>
        <w:pStyle w:val="NormalWeb"/>
        <w:spacing w:before="0" w:beforeAutospacing="0" w:after="160" w:afterAutospacing="0"/>
      </w:pPr>
      <w:r w:rsidRPr="00AD3BD1">
        <w:rPr>
          <w:color w:val="000000"/>
        </w:rPr>
        <w:t>For operators, the NorthStar penalty is a reminder of AML compliance as an ongoing operational responsibility. Having written procedures is useless if the people and systems involved fail to respond appropriately to risk indicators.</w:t>
      </w:r>
    </w:p>
    <w:p w14:paraId="005EF124" w14:textId="77777777" w:rsidR="00AD3BD1" w:rsidRPr="00AD3BD1" w:rsidRDefault="00AD3BD1" w:rsidP="00AD3BD1">
      <w:pPr>
        <w:pStyle w:val="NormalWeb"/>
        <w:spacing w:before="0" w:beforeAutospacing="0" w:after="160" w:afterAutospacing="0"/>
      </w:pPr>
      <w:r w:rsidRPr="00AD3BD1">
        <w:rPr>
          <w:color w:val="000000"/>
        </w:rPr>
        <w:t>Operators should therefore ensure that high-risk classifications are correctly triggered, Enhanced Due Diligence is performed as required, source-of-funds checks are properly documented, and escalation procedures are followed consistently.</w:t>
      </w:r>
    </w:p>
    <w:p w14:paraId="5555A52E" w14:textId="77777777" w:rsidR="00AD3BD1" w:rsidRPr="00AD3BD1" w:rsidRDefault="00AD3BD1" w:rsidP="00AD3BD1">
      <w:pPr>
        <w:pStyle w:val="NormalWeb"/>
        <w:spacing w:before="0" w:beforeAutospacing="0" w:after="160" w:afterAutospacing="0"/>
      </w:pPr>
      <w:r w:rsidRPr="00AD3BD1">
        <w:rPr>
          <w:color w:val="000000"/>
        </w:rPr>
        <w:t>For Ontario players, the case helps explain why regulated gambling sites come under formal oversight and compliance requirements. The AGCO action demonstrates how regulators can step in where operators fail to live up to such standards. As Ontario’s regulated gambling market develops, further AML compliance is likely to remain one of the main areas of regulatory focus.</w:t>
      </w:r>
    </w:p>
    <w:p w14:paraId="7E62ECE9" w14:textId="32EC5A46" w:rsidR="004952DD" w:rsidRPr="00AD3BD1" w:rsidRDefault="00974416">
      <w:r>
        <w:rPr>
          <w:noProof/>
        </w:rPr>
        <w:lastRenderedPageBreak/>
        <w:drawing>
          <wp:inline distT="0" distB="0" distL="0" distR="0" wp14:anchorId="304FF4F7" wp14:editId="0BC03E68">
            <wp:extent cx="5943600" cy="3341370"/>
            <wp:effectExtent l="0" t="0" r="0" b="0"/>
            <wp:docPr id="35018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87014" name=""/>
                    <pic:cNvPicPr/>
                  </pic:nvPicPr>
                  <pic:blipFill>
                    <a:blip r:embed="rId4"/>
                    <a:stretch>
                      <a:fillRect/>
                    </a:stretch>
                  </pic:blipFill>
                  <pic:spPr>
                    <a:xfrm>
                      <a:off x="0" y="0"/>
                      <a:ext cx="5943600" cy="3341370"/>
                    </a:xfrm>
                    <a:prstGeom prst="rect">
                      <a:avLst/>
                    </a:prstGeom>
                  </pic:spPr>
                </pic:pic>
              </a:graphicData>
            </a:graphic>
          </wp:inline>
        </w:drawing>
      </w:r>
    </w:p>
    <w:sectPr w:rsidR="004952DD" w:rsidRPr="00AD3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BD1"/>
    <w:rsid w:val="000C0AE6"/>
    <w:rsid w:val="00122553"/>
    <w:rsid w:val="001D2DDD"/>
    <w:rsid w:val="004952DD"/>
    <w:rsid w:val="00680E43"/>
    <w:rsid w:val="007B23F6"/>
    <w:rsid w:val="007E30B3"/>
    <w:rsid w:val="00826FC5"/>
    <w:rsid w:val="00974416"/>
    <w:rsid w:val="00A342E3"/>
    <w:rsid w:val="00AD3BD1"/>
    <w:rsid w:val="00BC3C8E"/>
    <w:rsid w:val="00C56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1A28"/>
  <w15:chartTrackingRefBased/>
  <w15:docId w15:val="{A541B8A9-309A-4A88-B277-94A1AD499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3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B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B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B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B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3B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B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B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B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BD1"/>
    <w:rPr>
      <w:rFonts w:eastAsiaTheme="majorEastAsia" w:cstheme="majorBidi"/>
      <w:color w:val="272727" w:themeColor="text1" w:themeTint="D8"/>
    </w:rPr>
  </w:style>
  <w:style w:type="paragraph" w:styleId="Title">
    <w:name w:val="Title"/>
    <w:basedOn w:val="Normal"/>
    <w:next w:val="Normal"/>
    <w:link w:val="TitleChar"/>
    <w:uiPriority w:val="10"/>
    <w:qFormat/>
    <w:rsid w:val="00AD3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BD1"/>
    <w:pPr>
      <w:spacing w:before="160"/>
      <w:jc w:val="center"/>
    </w:pPr>
    <w:rPr>
      <w:i/>
      <w:iCs/>
      <w:color w:val="404040" w:themeColor="text1" w:themeTint="BF"/>
    </w:rPr>
  </w:style>
  <w:style w:type="character" w:customStyle="1" w:styleId="QuoteChar">
    <w:name w:val="Quote Char"/>
    <w:basedOn w:val="DefaultParagraphFont"/>
    <w:link w:val="Quote"/>
    <w:uiPriority w:val="29"/>
    <w:rsid w:val="00AD3BD1"/>
    <w:rPr>
      <w:i/>
      <w:iCs/>
      <w:color w:val="404040" w:themeColor="text1" w:themeTint="BF"/>
    </w:rPr>
  </w:style>
  <w:style w:type="paragraph" w:styleId="ListParagraph">
    <w:name w:val="List Paragraph"/>
    <w:basedOn w:val="Normal"/>
    <w:uiPriority w:val="34"/>
    <w:qFormat/>
    <w:rsid w:val="00AD3BD1"/>
    <w:pPr>
      <w:ind w:left="720"/>
      <w:contextualSpacing/>
    </w:pPr>
  </w:style>
  <w:style w:type="character" w:styleId="IntenseEmphasis">
    <w:name w:val="Intense Emphasis"/>
    <w:basedOn w:val="DefaultParagraphFont"/>
    <w:uiPriority w:val="21"/>
    <w:qFormat/>
    <w:rsid w:val="00AD3BD1"/>
    <w:rPr>
      <w:i/>
      <w:iCs/>
      <w:color w:val="2F5496" w:themeColor="accent1" w:themeShade="BF"/>
    </w:rPr>
  </w:style>
  <w:style w:type="paragraph" w:styleId="IntenseQuote">
    <w:name w:val="Intense Quote"/>
    <w:basedOn w:val="Normal"/>
    <w:next w:val="Normal"/>
    <w:link w:val="IntenseQuoteChar"/>
    <w:uiPriority w:val="30"/>
    <w:qFormat/>
    <w:rsid w:val="00AD3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BD1"/>
    <w:rPr>
      <w:i/>
      <w:iCs/>
      <w:color w:val="2F5496" w:themeColor="accent1" w:themeShade="BF"/>
    </w:rPr>
  </w:style>
  <w:style w:type="character" w:styleId="IntenseReference">
    <w:name w:val="Intense Reference"/>
    <w:basedOn w:val="DefaultParagraphFont"/>
    <w:uiPriority w:val="32"/>
    <w:qFormat/>
    <w:rsid w:val="00AD3BD1"/>
    <w:rPr>
      <w:b/>
      <w:bCs/>
      <w:smallCaps/>
      <w:color w:val="2F5496" w:themeColor="accent1" w:themeShade="BF"/>
      <w:spacing w:val="5"/>
    </w:rPr>
  </w:style>
  <w:style w:type="paragraph" w:styleId="NormalWeb">
    <w:name w:val="Normal (Web)"/>
    <w:basedOn w:val="Normal"/>
    <w:uiPriority w:val="99"/>
    <w:semiHidden/>
    <w:unhideWhenUsed/>
    <w:rsid w:val="00AD3BD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20</cp:revision>
  <dcterms:created xsi:type="dcterms:W3CDTF">2026-09-10T23:51:00Z</dcterms:created>
  <dcterms:modified xsi:type="dcterms:W3CDTF">2026-09-11T00:01:00Z</dcterms:modified>
</cp:coreProperties>
</file>