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C9D1" w14:textId="77777777" w:rsidR="002832DB" w:rsidRPr="00C10ADF" w:rsidRDefault="002832DB" w:rsidP="00C10ADF">
      <w:pPr>
        <w:pStyle w:val="Heading1"/>
        <w:rPr>
          <w:rFonts w:ascii="Arial" w:hAnsi="Arial" w:cs="Arial"/>
          <w:b/>
          <w:bCs/>
          <w:color w:val="auto"/>
          <w:sz w:val="48"/>
          <w:szCs w:val="48"/>
        </w:rPr>
      </w:pPr>
      <w:r w:rsidRPr="00C10ADF">
        <w:rPr>
          <w:rFonts w:ascii="Arial" w:hAnsi="Arial" w:cs="Arial"/>
          <w:b/>
          <w:bCs/>
          <w:color w:val="auto"/>
          <w:sz w:val="48"/>
          <w:szCs w:val="48"/>
        </w:rPr>
        <w:t>Why Responsible Gambling Is Becoming a Bigger Focus as Ontario’s Online Betting Market Continues to Grow</w:t>
      </w:r>
    </w:p>
    <w:p w14:paraId="6B5F1EA2" w14:textId="041E70D5" w:rsidR="002832DB" w:rsidRPr="00FD3B1E" w:rsidRDefault="00FD3B1E" w:rsidP="002832DB">
      <w:pPr>
        <w:pStyle w:val="NormalWeb"/>
        <w:spacing w:before="0" w:beforeAutospacing="0" w:after="160" w:afterAutospacing="0"/>
        <w:rPr>
          <w:color w:val="000000"/>
        </w:rPr>
      </w:pPr>
      <w:r>
        <w:rPr>
          <w:color w:val="000000"/>
        </w:rPr>
        <w:t>While the</w:t>
      </w:r>
      <w:r w:rsidR="003E031C" w:rsidRPr="003E031C">
        <w:rPr>
          <w:color w:val="000000"/>
        </w:rPr>
        <w:t xml:space="preserve"> regulated online gambling market in Ontario continues to grow</w:t>
      </w:r>
      <w:r w:rsidR="00B4708C">
        <w:rPr>
          <w:color w:val="000000"/>
        </w:rPr>
        <w:t xml:space="preserve"> - </w:t>
      </w:r>
      <w:r>
        <w:rPr>
          <w:color w:val="000000"/>
        </w:rPr>
        <w:t xml:space="preserve">that expansion has brought increased </w:t>
      </w:r>
      <w:r w:rsidR="002832DB" w:rsidRPr="002832DB">
        <w:rPr>
          <w:color w:val="000000"/>
        </w:rPr>
        <w:t>attention to responsible gambling and player protection efforts. With ever more people utilizing online casinos, sports betting sites, and poker platforms, regulators and industry organizations are focusing more on tools to help control gambling.</w:t>
      </w:r>
    </w:p>
    <w:p w14:paraId="3B27172D" w14:textId="77777777" w:rsidR="002832DB" w:rsidRPr="002832DB" w:rsidRDefault="002832DB" w:rsidP="002832DB">
      <w:pPr>
        <w:pStyle w:val="NormalWeb"/>
        <w:spacing w:before="0" w:beforeAutospacing="0" w:after="160" w:afterAutospacing="0"/>
      </w:pPr>
      <w:r w:rsidRPr="002832DB">
        <w:rPr>
          <w:color w:val="000000"/>
        </w:rPr>
        <w:t>The scale of the Ontario market helps explain why this issue is becoming more significant. As of September 1, 2026, the iGaming Ontario site listed 49 regulated operators and 84 gaming websites. Players must be at least 19 years of age and located within Ontario to access this regulated market.</w:t>
      </w:r>
    </w:p>
    <w:p w14:paraId="65B0E998" w14:textId="77777777" w:rsidR="002832DB" w:rsidRPr="00C10ADF" w:rsidRDefault="002832DB" w:rsidP="00C10ADF">
      <w:pPr>
        <w:pStyle w:val="Heading2"/>
        <w:rPr>
          <w:rFonts w:ascii="Arial" w:hAnsi="Arial" w:cs="Arial"/>
          <w:b/>
          <w:bCs/>
          <w:color w:val="auto"/>
          <w:sz w:val="36"/>
          <w:szCs w:val="36"/>
        </w:rPr>
      </w:pPr>
      <w:r w:rsidRPr="00C10ADF">
        <w:rPr>
          <w:rFonts w:ascii="Arial" w:hAnsi="Arial" w:cs="Arial"/>
          <w:b/>
          <w:bCs/>
          <w:color w:val="auto"/>
          <w:sz w:val="36"/>
          <w:szCs w:val="36"/>
        </w:rPr>
        <w:t>Ontario’s Growing Online Gambling Market</w:t>
      </w:r>
    </w:p>
    <w:p w14:paraId="4EFE5AAA" w14:textId="77777777" w:rsidR="002832DB" w:rsidRPr="002832DB" w:rsidRDefault="002832DB" w:rsidP="002832DB">
      <w:pPr>
        <w:pStyle w:val="NormalWeb"/>
        <w:spacing w:before="0" w:beforeAutospacing="0" w:after="160" w:afterAutospacing="0"/>
      </w:pPr>
      <w:r w:rsidRPr="002832DB">
        <w:rPr>
          <w:color w:val="000000"/>
        </w:rPr>
        <w:t>Ontario’s regulated iGaming market has become one of the largest online gambling markets within North America. The number of available websites allows players access to casino games, sports betting, and poker from a range of regulated operators.</w:t>
      </w:r>
    </w:p>
    <w:p w14:paraId="0EE8FB8F" w14:textId="77777777" w:rsidR="002832DB" w:rsidRPr="002832DB" w:rsidRDefault="002832DB" w:rsidP="002832DB">
      <w:pPr>
        <w:pStyle w:val="NormalWeb"/>
        <w:spacing w:before="0" w:beforeAutospacing="0" w:after="160" w:afterAutospacing="0"/>
      </w:pPr>
      <w:r w:rsidRPr="002832DB">
        <w:rPr>
          <w:color w:val="000000"/>
        </w:rPr>
        <w:t>Such growth within the market indicates a similar strong need for responsible gambling measures. iGaming Ontario states that regulated operators must adhere to standards regarding player protection and social responsibility - the websites must include features to prevent underage access and promote safer playing habits.</w:t>
      </w:r>
    </w:p>
    <w:p w14:paraId="1B076196" w14:textId="77777777" w:rsidR="002832DB" w:rsidRPr="002832DB" w:rsidRDefault="002832DB" w:rsidP="002832DB">
      <w:pPr>
        <w:pStyle w:val="NormalWeb"/>
        <w:spacing w:before="0" w:beforeAutospacing="0" w:after="160" w:afterAutospacing="0"/>
      </w:pPr>
      <w:r w:rsidRPr="002832DB">
        <w:rPr>
          <w:color w:val="000000"/>
        </w:rPr>
        <w:t>This is especially important given that online gambling is available around the clock. Unlike a physical casino, an online betting account can actually be accessed from home or even through a mobile device whenever a player wants to place a bet.</w:t>
      </w:r>
    </w:p>
    <w:p w14:paraId="053779A8" w14:textId="77777777" w:rsidR="002832DB" w:rsidRPr="002832DB" w:rsidRDefault="002832DB" w:rsidP="002832DB">
      <w:pPr>
        <w:pStyle w:val="NormalWeb"/>
        <w:spacing w:before="0" w:beforeAutospacing="0" w:after="160" w:afterAutospacing="0"/>
      </w:pPr>
      <w:r w:rsidRPr="002832DB">
        <w:rPr>
          <w:color w:val="000000"/>
        </w:rPr>
        <w:t>The Responsible Gambling Council sees online gambling as featuring fewer natural breaks than other forms of gambling environments. It also highlights the risks such as;</w:t>
      </w:r>
    </w:p>
    <w:p w14:paraId="3C42E46B" w14:textId="266EBA83" w:rsidR="002832DB" w:rsidRPr="002832DB" w:rsidRDefault="002832DB" w:rsidP="002832DB">
      <w:pPr>
        <w:pStyle w:val="ListParagraph"/>
        <w:numPr>
          <w:ilvl w:val="0"/>
          <w:numId w:val="3"/>
        </w:numPr>
        <w:rPr>
          <w:rFonts w:ascii="Times New Roman" w:hAnsi="Times New Roman" w:cs="Times New Roman"/>
        </w:rPr>
      </w:pPr>
      <w:r w:rsidRPr="002832DB">
        <w:rPr>
          <w:rFonts w:ascii="Times New Roman" w:hAnsi="Times New Roman" w:cs="Times New Roman"/>
        </w:rPr>
        <w:t>Chasing losses</w:t>
      </w:r>
    </w:p>
    <w:p w14:paraId="6D41B429" w14:textId="24B4AACD" w:rsidR="002832DB" w:rsidRPr="002832DB" w:rsidRDefault="002832DB" w:rsidP="002832DB">
      <w:pPr>
        <w:pStyle w:val="ListParagraph"/>
        <w:numPr>
          <w:ilvl w:val="0"/>
          <w:numId w:val="3"/>
        </w:numPr>
        <w:rPr>
          <w:rFonts w:ascii="Times New Roman" w:hAnsi="Times New Roman" w:cs="Times New Roman"/>
        </w:rPr>
      </w:pPr>
      <w:r w:rsidRPr="002832DB">
        <w:rPr>
          <w:rFonts w:ascii="Times New Roman" w:hAnsi="Times New Roman" w:cs="Times New Roman"/>
        </w:rPr>
        <w:t>Losing track</w:t>
      </w:r>
    </w:p>
    <w:p w14:paraId="0CA97A31" w14:textId="14CA91F9" w:rsidR="002832DB" w:rsidRPr="002832DB" w:rsidRDefault="002832DB" w:rsidP="002832DB">
      <w:pPr>
        <w:pStyle w:val="ListParagraph"/>
        <w:numPr>
          <w:ilvl w:val="0"/>
          <w:numId w:val="3"/>
        </w:numPr>
        <w:rPr>
          <w:rFonts w:ascii="Times New Roman" w:hAnsi="Times New Roman" w:cs="Times New Roman"/>
        </w:rPr>
      </w:pPr>
      <w:r w:rsidRPr="002832DB">
        <w:rPr>
          <w:rFonts w:ascii="Times New Roman" w:hAnsi="Times New Roman" w:cs="Times New Roman"/>
        </w:rPr>
        <w:t>Spending more than one really intended in the first place.</w:t>
      </w:r>
    </w:p>
    <w:p w14:paraId="5CC14F7D" w14:textId="77777777" w:rsidR="002832DB" w:rsidRPr="00C10ADF" w:rsidRDefault="002832DB" w:rsidP="00C10ADF">
      <w:pPr>
        <w:pStyle w:val="Heading2"/>
        <w:rPr>
          <w:rFonts w:ascii="Arial" w:hAnsi="Arial" w:cs="Arial"/>
          <w:b/>
          <w:bCs/>
          <w:color w:val="auto"/>
          <w:sz w:val="36"/>
          <w:szCs w:val="36"/>
        </w:rPr>
      </w:pPr>
      <w:r w:rsidRPr="00C10ADF">
        <w:rPr>
          <w:rFonts w:ascii="Arial" w:hAnsi="Arial" w:cs="Arial"/>
          <w:b/>
          <w:bCs/>
          <w:color w:val="auto"/>
          <w:sz w:val="36"/>
          <w:szCs w:val="36"/>
        </w:rPr>
        <w:t>BetGuard Adds Centralized Self-Exclusion</w:t>
      </w:r>
    </w:p>
    <w:p w14:paraId="7F135642" w14:textId="77777777" w:rsidR="002832DB" w:rsidRPr="002832DB" w:rsidRDefault="002832DB" w:rsidP="002832DB">
      <w:pPr>
        <w:pStyle w:val="NormalWeb"/>
        <w:spacing w:before="0" w:beforeAutospacing="0" w:after="160" w:afterAutospacing="0"/>
      </w:pPr>
      <w:r w:rsidRPr="002832DB">
        <w:rPr>
          <w:color w:val="000000"/>
        </w:rPr>
        <w:t>One of the most significant developments in responsible gambling within Ontario in 2026 has been BetGuard - a centralized self-exclusion tool launched by iGaming Ontario in May.</w:t>
      </w:r>
    </w:p>
    <w:p w14:paraId="23E118BD" w14:textId="77777777" w:rsidR="002832DB" w:rsidRPr="002832DB" w:rsidRDefault="002832DB" w:rsidP="002832DB">
      <w:pPr>
        <w:pStyle w:val="NormalWeb"/>
        <w:spacing w:before="0" w:beforeAutospacing="0" w:after="160" w:afterAutospacing="0"/>
      </w:pPr>
      <w:r w:rsidRPr="002832DB">
        <w:rPr>
          <w:color w:val="000000"/>
        </w:rPr>
        <w:t>The tool allows anyone 19 years or older to opt out of all regulated online gambling platforms through a single portal. The length of exclusion may be for six months, one year, five years, or a custom period. Users cannot access their existing accounts, create new accounts, or receive direct marketing communications from regulated sites once they are enrolled.</w:t>
      </w:r>
    </w:p>
    <w:p w14:paraId="0EE7C6D8" w14:textId="4A7B7E46" w:rsidR="002832DB" w:rsidRPr="002832DB" w:rsidRDefault="002832DB" w:rsidP="002832DB">
      <w:pPr>
        <w:pStyle w:val="NormalWeb"/>
        <w:spacing w:before="0" w:beforeAutospacing="0" w:after="160" w:afterAutospacing="0"/>
      </w:pPr>
      <w:r w:rsidRPr="002832DB">
        <w:rPr>
          <w:color w:val="000000"/>
        </w:rPr>
        <w:lastRenderedPageBreak/>
        <w:t> This is particularly important as players no longer need to make contact with individual operators in order to take a break from the regulated online gambling market.</w:t>
      </w:r>
      <w:r>
        <w:t xml:space="preserve"> </w:t>
      </w:r>
      <w:r w:rsidRPr="002832DB">
        <w:rPr>
          <w:color w:val="000000"/>
        </w:rPr>
        <w:t>iGaming Ontario noted that the government had invested well over $421 million since 2018 into such initiatives - including public education and awareness activities, responsible gambling elements, and research.</w:t>
      </w:r>
    </w:p>
    <w:p w14:paraId="6CC407F6" w14:textId="77777777" w:rsidR="002832DB" w:rsidRPr="00C10ADF" w:rsidRDefault="002832DB" w:rsidP="00C10ADF">
      <w:pPr>
        <w:pStyle w:val="Heading2"/>
        <w:rPr>
          <w:rFonts w:ascii="Arial" w:hAnsi="Arial" w:cs="Arial"/>
          <w:b/>
          <w:bCs/>
          <w:color w:val="auto"/>
          <w:sz w:val="36"/>
          <w:szCs w:val="36"/>
        </w:rPr>
      </w:pPr>
      <w:r w:rsidRPr="00C10ADF">
        <w:rPr>
          <w:rFonts w:ascii="Arial" w:hAnsi="Arial" w:cs="Arial"/>
          <w:b/>
          <w:bCs/>
          <w:color w:val="auto"/>
          <w:sz w:val="36"/>
          <w:szCs w:val="36"/>
        </w:rPr>
        <w:t>Responsible Gambling Rules Apply Across the Market</w:t>
      </w:r>
    </w:p>
    <w:p w14:paraId="37724AC0" w14:textId="77777777" w:rsidR="002832DB" w:rsidRPr="002832DB" w:rsidRDefault="002832DB" w:rsidP="002832DB">
      <w:pPr>
        <w:pStyle w:val="NormalWeb"/>
        <w:spacing w:before="0" w:beforeAutospacing="0" w:after="160" w:afterAutospacing="0"/>
      </w:pPr>
      <w:r w:rsidRPr="002832DB">
        <w:rPr>
          <w:color w:val="000000"/>
        </w:rPr>
        <w:t>Responsible gambling is not simply an optional feature for Ontario operators. iGaming Ontario requires responsible gambling operators to achieve and maintain RG Check accreditation through the Responsible Gambling Council.</w:t>
      </w:r>
    </w:p>
    <w:p w14:paraId="36AA6E42" w14:textId="77777777" w:rsidR="002832DB" w:rsidRPr="002832DB" w:rsidRDefault="002832DB" w:rsidP="002832DB">
      <w:pPr>
        <w:pStyle w:val="NormalWeb"/>
        <w:spacing w:before="0" w:beforeAutospacing="0" w:after="160" w:afterAutospacing="0"/>
      </w:pPr>
      <w:r w:rsidRPr="002832DB">
        <w:rPr>
          <w:color w:val="000000"/>
        </w:rPr>
        <w:t>Such operators must also undertake responsible gambling and problem gambling prevention campaigns and take part in BetGuard. These requirements exist alongside the responsible gambling standards of the Alcohol and Gaming Commission of Ontario (AGCO).</w:t>
      </w:r>
    </w:p>
    <w:p w14:paraId="4354B0E5" w14:textId="77777777" w:rsidR="002832DB" w:rsidRPr="002832DB" w:rsidRDefault="002832DB" w:rsidP="002832DB">
      <w:pPr>
        <w:pStyle w:val="NormalWeb"/>
        <w:spacing w:before="0" w:beforeAutospacing="0" w:after="160" w:afterAutospacing="0"/>
      </w:pPr>
      <w:r w:rsidRPr="002832DB">
        <w:rPr>
          <w:color w:val="000000"/>
        </w:rPr>
        <w:t>The Responsible Gambling Council currently lists numerous Ontario-based online gambling sites that feature RG Check accreditation - including major brands like FanDuel, BetMGM, DraftKings, BetRivers, PointsBet, and NorthStarBets. Accreditation periods naturally vary between operators. This framework is designed to offer players access to tools and information that can enable them to make informed decisions about their gambling.</w:t>
      </w:r>
    </w:p>
    <w:p w14:paraId="23130FA5" w14:textId="77777777" w:rsidR="002832DB" w:rsidRPr="00C10ADF" w:rsidRDefault="002832DB" w:rsidP="00C10ADF">
      <w:pPr>
        <w:pStyle w:val="Heading2"/>
        <w:rPr>
          <w:rFonts w:ascii="Arial" w:hAnsi="Arial" w:cs="Arial"/>
          <w:b/>
          <w:bCs/>
          <w:color w:val="auto"/>
          <w:sz w:val="36"/>
          <w:szCs w:val="36"/>
        </w:rPr>
      </w:pPr>
      <w:r w:rsidRPr="00C10ADF">
        <w:rPr>
          <w:rFonts w:ascii="Arial" w:hAnsi="Arial" w:cs="Arial"/>
          <w:b/>
          <w:bCs/>
          <w:color w:val="auto"/>
          <w:sz w:val="36"/>
          <w:szCs w:val="36"/>
        </w:rPr>
        <w:t>Why Player Protection Matters as Competition Increases</w:t>
      </w:r>
    </w:p>
    <w:p w14:paraId="2D4BE73D" w14:textId="77777777" w:rsidR="002832DB" w:rsidRPr="002832DB" w:rsidRDefault="002832DB" w:rsidP="002832DB">
      <w:pPr>
        <w:pStyle w:val="NormalWeb"/>
        <w:spacing w:before="0" w:beforeAutospacing="0" w:after="160" w:afterAutospacing="0"/>
      </w:pPr>
      <w:r w:rsidRPr="002832DB">
        <w:rPr>
          <w:color w:val="000000"/>
        </w:rPr>
        <w:t>The growing number of gambling websites means more choice for Ontarians - but also implies that responsible gambling measures should work consistently across a larger market.</w:t>
      </w:r>
    </w:p>
    <w:p w14:paraId="53F2CEC6" w14:textId="77777777" w:rsidR="002832DB" w:rsidRPr="002832DB" w:rsidRDefault="002832DB" w:rsidP="002832DB">
      <w:pPr>
        <w:pStyle w:val="NormalWeb"/>
        <w:spacing w:before="0" w:beforeAutospacing="0" w:after="160" w:afterAutospacing="0"/>
      </w:pPr>
      <w:r w:rsidRPr="002832DB">
        <w:rPr>
          <w:color w:val="000000"/>
        </w:rPr>
        <w:t>The latest directory of regulated markets shows 84 gaming websites operated by 49 operators - offering casino, sports betting, poker, and other forms of online gambling.</w:t>
      </w:r>
    </w:p>
    <w:p w14:paraId="24F363F0" w14:textId="77777777" w:rsidR="002832DB" w:rsidRPr="002832DB" w:rsidRDefault="002832DB" w:rsidP="002832DB">
      <w:pPr>
        <w:pStyle w:val="NormalWeb"/>
        <w:spacing w:before="0" w:beforeAutospacing="0" w:after="160" w:afterAutospacing="0"/>
      </w:pPr>
      <w:r w:rsidRPr="002832DB">
        <w:rPr>
          <w:color w:val="000000"/>
        </w:rPr>
        <w:t>Responsible gambling involves;</w:t>
      </w:r>
    </w:p>
    <w:p w14:paraId="284DB825" w14:textId="0E250549" w:rsidR="002832DB" w:rsidRPr="002832DB" w:rsidRDefault="002832DB" w:rsidP="002832DB">
      <w:pPr>
        <w:pStyle w:val="ListParagraph"/>
        <w:numPr>
          <w:ilvl w:val="0"/>
          <w:numId w:val="1"/>
        </w:numPr>
        <w:rPr>
          <w:rFonts w:ascii="Times New Roman" w:hAnsi="Times New Roman" w:cs="Times New Roman"/>
        </w:rPr>
      </w:pPr>
      <w:r w:rsidRPr="002832DB">
        <w:rPr>
          <w:rFonts w:ascii="Times New Roman" w:hAnsi="Times New Roman" w:cs="Times New Roman"/>
        </w:rPr>
        <w:t>Setting spending and time limits</w:t>
      </w:r>
    </w:p>
    <w:p w14:paraId="489E21A2" w14:textId="2DE1F104" w:rsidR="002832DB" w:rsidRPr="002832DB" w:rsidRDefault="002832DB" w:rsidP="002832DB">
      <w:pPr>
        <w:pStyle w:val="ListParagraph"/>
        <w:numPr>
          <w:ilvl w:val="0"/>
          <w:numId w:val="1"/>
        </w:numPr>
        <w:rPr>
          <w:rFonts w:ascii="Times New Roman" w:hAnsi="Times New Roman" w:cs="Times New Roman"/>
        </w:rPr>
      </w:pPr>
      <w:r w:rsidRPr="002832DB">
        <w:rPr>
          <w:rFonts w:ascii="Times New Roman" w:hAnsi="Times New Roman" w:cs="Times New Roman"/>
        </w:rPr>
        <w:t>Understanding that gambling outcomes are uncertain</w:t>
      </w:r>
    </w:p>
    <w:p w14:paraId="757D148C" w14:textId="08E255BA" w:rsidR="002832DB" w:rsidRPr="002832DB" w:rsidRDefault="002832DB" w:rsidP="002832DB">
      <w:pPr>
        <w:pStyle w:val="ListParagraph"/>
        <w:numPr>
          <w:ilvl w:val="0"/>
          <w:numId w:val="1"/>
        </w:numPr>
        <w:rPr>
          <w:rFonts w:ascii="Times New Roman" w:hAnsi="Times New Roman" w:cs="Times New Roman"/>
        </w:rPr>
      </w:pPr>
      <w:r w:rsidRPr="002832DB">
        <w:rPr>
          <w:rFonts w:ascii="Times New Roman" w:hAnsi="Times New Roman" w:cs="Times New Roman"/>
        </w:rPr>
        <w:t>Taking regular breaks</w:t>
      </w:r>
    </w:p>
    <w:p w14:paraId="5A8A30C0" w14:textId="32152254" w:rsidR="002832DB" w:rsidRPr="002832DB" w:rsidRDefault="002832DB" w:rsidP="002832DB">
      <w:pPr>
        <w:pStyle w:val="ListParagraph"/>
        <w:numPr>
          <w:ilvl w:val="0"/>
          <w:numId w:val="1"/>
        </w:numPr>
        <w:rPr>
          <w:rFonts w:ascii="Times New Roman" w:hAnsi="Times New Roman" w:cs="Times New Roman"/>
        </w:rPr>
      </w:pPr>
      <w:r w:rsidRPr="002832DB">
        <w:rPr>
          <w:rFonts w:ascii="Times New Roman" w:hAnsi="Times New Roman" w:cs="Times New Roman"/>
        </w:rPr>
        <w:t>Avoiding attempts to recover losses by placing additional bets.</w:t>
      </w:r>
    </w:p>
    <w:p w14:paraId="027D1331" w14:textId="77777777" w:rsidR="002832DB" w:rsidRPr="002832DB" w:rsidRDefault="002832DB" w:rsidP="002832DB">
      <w:pPr>
        <w:pStyle w:val="NormalWeb"/>
        <w:spacing w:before="0" w:beforeAutospacing="0" w:after="160" w:afterAutospacing="0"/>
      </w:pPr>
      <w:r w:rsidRPr="002832DB">
        <w:rPr>
          <w:color w:val="000000"/>
        </w:rPr>
        <w:t>The Responsible Gambling Council estimates problem gambling prevalence in Canada is somewhere in the range of 1% to 2% - though it varies between provinces. It also identifies young adults as a group requiring particular attention - with online gambling identified as such a strong predictor of gambling problems among young adults.</w:t>
      </w:r>
    </w:p>
    <w:p w14:paraId="1355DF53" w14:textId="77777777" w:rsidR="002832DB" w:rsidRPr="00C10ADF" w:rsidRDefault="002832DB" w:rsidP="00C10ADF">
      <w:pPr>
        <w:pStyle w:val="Heading2"/>
        <w:rPr>
          <w:rFonts w:ascii="Arial" w:hAnsi="Arial" w:cs="Arial"/>
          <w:b/>
          <w:bCs/>
          <w:color w:val="auto"/>
          <w:sz w:val="36"/>
          <w:szCs w:val="36"/>
        </w:rPr>
      </w:pPr>
      <w:r w:rsidRPr="00C10ADF">
        <w:rPr>
          <w:rFonts w:ascii="Arial" w:hAnsi="Arial" w:cs="Arial"/>
          <w:b/>
          <w:bCs/>
          <w:color w:val="auto"/>
          <w:sz w:val="36"/>
          <w:szCs w:val="36"/>
        </w:rPr>
        <w:t>What Comes Next for Ontario Online Gambling</w:t>
      </w:r>
    </w:p>
    <w:p w14:paraId="6065202F" w14:textId="77777777" w:rsidR="002832DB" w:rsidRPr="002832DB" w:rsidRDefault="002832DB" w:rsidP="002832DB">
      <w:pPr>
        <w:pStyle w:val="NormalWeb"/>
        <w:spacing w:before="0" w:beforeAutospacing="0" w:after="160" w:afterAutospacing="0"/>
      </w:pPr>
      <w:r w:rsidRPr="002832DB">
        <w:rPr>
          <w:color w:val="000000"/>
        </w:rPr>
        <w:t>Responsible gambling is very much likely to remain an important part of Ontario’s iGaming strategy as the market matures.</w:t>
      </w:r>
    </w:p>
    <w:p w14:paraId="2290A24A" w14:textId="77777777" w:rsidR="002832DB" w:rsidRPr="002832DB" w:rsidRDefault="002832DB" w:rsidP="002832DB">
      <w:pPr>
        <w:pStyle w:val="NormalWeb"/>
        <w:spacing w:before="0" w:beforeAutospacing="0" w:after="160" w:afterAutospacing="0"/>
      </w:pPr>
      <w:r w:rsidRPr="002832DB">
        <w:rPr>
          <w:color w:val="000000"/>
        </w:rPr>
        <w:lastRenderedPageBreak/>
        <w:t>The centralized self-exclusion function is among the player-protection initiatives included in the plan for 2026-2029, which focuses on using market data to understand player behavior and trends.</w:t>
      </w:r>
    </w:p>
    <w:p w14:paraId="21AEA3FC" w14:textId="77777777" w:rsidR="002832DB" w:rsidRPr="002832DB" w:rsidRDefault="002832DB" w:rsidP="002832DB">
      <w:pPr>
        <w:pStyle w:val="NormalWeb"/>
        <w:spacing w:before="0" w:beforeAutospacing="0" w:after="160" w:afterAutospacing="0"/>
      </w:pPr>
      <w:r w:rsidRPr="002832DB">
        <w:rPr>
          <w:color w:val="000000"/>
        </w:rPr>
        <w:t>The key message for consumers is simple: a regulated gambling site is not automatically a guarantee that gambling will remain harmless. Players have to monitor their own time and spending - and use safeguards when needed.</w:t>
      </w:r>
    </w:p>
    <w:p w14:paraId="43D5CFBE" w14:textId="77777777" w:rsidR="002832DB" w:rsidRDefault="002832DB" w:rsidP="002832DB">
      <w:pPr>
        <w:pStyle w:val="NormalWeb"/>
        <w:spacing w:before="0" w:beforeAutospacing="0" w:after="160" w:afterAutospacing="0"/>
        <w:rPr>
          <w:color w:val="000000"/>
        </w:rPr>
      </w:pPr>
      <w:r w:rsidRPr="002832DB">
        <w:rPr>
          <w:color w:val="000000"/>
        </w:rPr>
        <w:t>As Ontario’s online betting market develops, the success of the province’s responsible gambling approach will depend on whether these tools are easy to access, widely understood, and consistently applied across the expanding regulated market.</w:t>
      </w:r>
    </w:p>
    <w:p w14:paraId="0A17EE5C" w14:textId="755569B1" w:rsidR="00B54D32" w:rsidRDefault="00B54D32" w:rsidP="002832DB">
      <w:pPr>
        <w:pStyle w:val="NormalWeb"/>
        <w:spacing w:before="0" w:beforeAutospacing="0" w:after="160" w:afterAutospacing="0"/>
        <w:rPr>
          <w:color w:val="000000"/>
        </w:rPr>
      </w:pPr>
    </w:p>
    <w:p w14:paraId="0DF7F93C" w14:textId="1767ECC3" w:rsidR="00B54D32" w:rsidRDefault="00D95282" w:rsidP="002832DB">
      <w:pPr>
        <w:pStyle w:val="NormalWeb"/>
        <w:spacing w:before="0" w:beforeAutospacing="0" w:after="160" w:afterAutospacing="0"/>
        <w:rPr>
          <w:color w:val="000000"/>
        </w:rPr>
      </w:pPr>
      <w:r>
        <w:rPr>
          <w:noProof/>
        </w:rPr>
        <w:drawing>
          <wp:inline distT="0" distB="0" distL="0" distR="0" wp14:anchorId="08F2C11F" wp14:editId="05627B87">
            <wp:extent cx="5943600" cy="3341370"/>
            <wp:effectExtent l="0" t="0" r="0" b="0"/>
            <wp:docPr id="17753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5308" name=""/>
                    <pic:cNvPicPr/>
                  </pic:nvPicPr>
                  <pic:blipFill>
                    <a:blip r:embed="rId5"/>
                    <a:stretch>
                      <a:fillRect/>
                    </a:stretch>
                  </pic:blipFill>
                  <pic:spPr>
                    <a:xfrm>
                      <a:off x="0" y="0"/>
                      <a:ext cx="5943600" cy="3341370"/>
                    </a:xfrm>
                    <a:prstGeom prst="rect">
                      <a:avLst/>
                    </a:prstGeom>
                  </pic:spPr>
                </pic:pic>
              </a:graphicData>
            </a:graphic>
          </wp:inline>
        </w:drawing>
      </w:r>
    </w:p>
    <w:p w14:paraId="7E0DA2D8" w14:textId="77777777" w:rsidR="00B54D32" w:rsidRDefault="00B54D32" w:rsidP="002832DB">
      <w:pPr>
        <w:pStyle w:val="NormalWeb"/>
        <w:spacing w:before="0" w:beforeAutospacing="0" w:after="160" w:afterAutospacing="0"/>
        <w:rPr>
          <w:color w:val="000000"/>
        </w:rPr>
      </w:pPr>
    </w:p>
    <w:p w14:paraId="63C027F6" w14:textId="3384A174" w:rsidR="00652BF2" w:rsidRDefault="00652BF2" w:rsidP="002832DB">
      <w:pPr>
        <w:pStyle w:val="NormalWeb"/>
        <w:spacing w:before="0" w:beforeAutospacing="0" w:after="160" w:afterAutospacing="0"/>
        <w:rPr>
          <w:color w:val="000000"/>
        </w:rPr>
      </w:pPr>
    </w:p>
    <w:p w14:paraId="2833B7AF" w14:textId="77777777" w:rsidR="00652BF2" w:rsidRDefault="00652BF2" w:rsidP="002832DB">
      <w:pPr>
        <w:pStyle w:val="NormalWeb"/>
        <w:spacing w:before="0" w:beforeAutospacing="0" w:after="160" w:afterAutospacing="0"/>
        <w:rPr>
          <w:color w:val="000000"/>
        </w:rPr>
      </w:pPr>
    </w:p>
    <w:p w14:paraId="07614909" w14:textId="77777777" w:rsidR="00652BF2" w:rsidRDefault="00652BF2" w:rsidP="002832DB">
      <w:pPr>
        <w:pStyle w:val="NormalWeb"/>
        <w:spacing w:before="0" w:beforeAutospacing="0" w:after="160" w:afterAutospacing="0"/>
        <w:rPr>
          <w:color w:val="000000"/>
        </w:rPr>
      </w:pPr>
    </w:p>
    <w:p w14:paraId="1B729121" w14:textId="77777777" w:rsidR="00652BF2" w:rsidRPr="002832DB" w:rsidRDefault="00652BF2" w:rsidP="002832DB">
      <w:pPr>
        <w:pStyle w:val="NormalWeb"/>
        <w:spacing w:before="0" w:beforeAutospacing="0" w:after="160" w:afterAutospacing="0"/>
      </w:pPr>
    </w:p>
    <w:p w14:paraId="7C8F73A7" w14:textId="39038BE0" w:rsidR="002832DB" w:rsidRPr="002832DB" w:rsidRDefault="002832DB" w:rsidP="002832DB">
      <w:pPr>
        <w:pStyle w:val="NormalWeb"/>
        <w:spacing w:before="0" w:beforeAutospacing="0" w:after="160" w:afterAutospacing="0"/>
      </w:pPr>
      <w:r w:rsidRPr="002832DB">
        <w:rPr>
          <w:color w:val="000000"/>
        </w:rPr>
        <w:t> </w:t>
      </w:r>
    </w:p>
    <w:p w14:paraId="4915F9B5" w14:textId="77777777" w:rsidR="004952DD" w:rsidRPr="002832DB" w:rsidRDefault="004952DD"/>
    <w:sectPr w:rsidR="004952DD" w:rsidRPr="00283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23E11"/>
    <w:multiLevelType w:val="hybridMultilevel"/>
    <w:tmpl w:val="88D847A2"/>
    <w:lvl w:ilvl="0" w:tplc="7B1676AE">
      <w:numFmt w:val="bullet"/>
      <w:lvlText w:val="·"/>
      <w:lvlJc w:val="left"/>
      <w:pPr>
        <w:ind w:left="915" w:hanging="555"/>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E47C2"/>
    <w:multiLevelType w:val="hybridMultilevel"/>
    <w:tmpl w:val="6876FEC4"/>
    <w:lvl w:ilvl="0" w:tplc="13ACF3B8">
      <w:numFmt w:val="bullet"/>
      <w:lvlText w:val="·"/>
      <w:lvlJc w:val="left"/>
      <w:pPr>
        <w:ind w:left="720" w:hanging="360"/>
      </w:pPr>
      <w:rPr>
        <w:rFonts w:ascii="Arial" w:eastAsiaTheme="minorHAnsi" w:hAnsi="Arial" w:cs="Aria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0D5D2E"/>
    <w:multiLevelType w:val="hybridMultilevel"/>
    <w:tmpl w:val="FE70B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527F18"/>
    <w:multiLevelType w:val="hybridMultilevel"/>
    <w:tmpl w:val="11DA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703088">
    <w:abstractNumId w:val="2"/>
  </w:num>
  <w:num w:numId="2" w16cid:durableId="1972007271">
    <w:abstractNumId w:val="0"/>
  </w:num>
  <w:num w:numId="3" w16cid:durableId="1024940567">
    <w:abstractNumId w:val="3"/>
  </w:num>
  <w:num w:numId="4" w16cid:durableId="559946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DB"/>
    <w:rsid w:val="001D2DDD"/>
    <w:rsid w:val="002150F2"/>
    <w:rsid w:val="002832DB"/>
    <w:rsid w:val="003E031C"/>
    <w:rsid w:val="00430639"/>
    <w:rsid w:val="004952DD"/>
    <w:rsid w:val="00586AC8"/>
    <w:rsid w:val="00652BF2"/>
    <w:rsid w:val="00680E43"/>
    <w:rsid w:val="008A2BB0"/>
    <w:rsid w:val="00A342E3"/>
    <w:rsid w:val="00B4708C"/>
    <w:rsid w:val="00B54D32"/>
    <w:rsid w:val="00C10ADF"/>
    <w:rsid w:val="00C57428"/>
    <w:rsid w:val="00D95282"/>
    <w:rsid w:val="00EE2ED0"/>
    <w:rsid w:val="00F0742A"/>
    <w:rsid w:val="00FD3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9A5AE"/>
  <w15:chartTrackingRefBased/>
  <w15:docId w15:val="{E1806550-CE58-4358-BF6E-E3DF4784C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3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3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DB"/>
    <w:rPr>
      <w:rFonts w:eastAsiaTheme="majorEastAsia" w:cstheme="majorBidi"/>
      <w:color w:val="272727" w:themeColor="text1" w:themeTint="D8"/>
    </w:rPr>
  </w:style>
  <w:style w:type="paragraph" w:styleId="Title">
    <w:name w:val="Title"/>
    <w:basedOn w:val="Normal"/>
    <w:next w:val="Normal"/>
    <w:link w:val="TitleChar"/>
    <w:uiPriority w:val="10"/>
    <w:qFormat/>
    <w:rsid w:val="00283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DB"/>
    <w:pPr>
      <w:spacing w:before="160"/>
      <w:jc w:val="center"/>
    </w:pPr>
    <w:rPr>
      <w:i/>
      <w:iCs/>
      <w:color w:val="404040" w:themeColor="text1" w:themeTint="BF"/>
    </w:rPr>
  </w:style>
  <w:style w:type="character" w:customStyle="1" w:styleId="QuoteChar">
    <w:name w:val="Quote Char"/>
    <w:basedOn w:val="DefaultParagraphFont"/>
    <w:link w:val="Quote"/>
    <w:uiPriority w:val="29"/>
    <w:rsid w:val="002832DB"/>
    <w:rPr>
      <w:i/>
      <w:iCs/>
      <w:color w:val="404040" w:themeColor="text1" w:themeTint="BF"/>
    </w:rPr>
  </w:style>
  <w:style w:type="paragraph" w:styleId="ListParagraph">
    <w:name w:val="List Paragraph"/>
    <w:basedOn w:val="Normal"/>
    <w:uiPriority w:val="34"/>
    <w:qFormat/>
    <w:rsid w:val="002832DB"/>
    <w:pPr>
      <w:ind w:left="720"/>
      <w:contextualSpacing/>
    </w:pPr>
  </w:style>
  <w:style w:type="character" w:styleId="IntenseEmphasis">
    <w:name w:val="Intense Emphasis"/>
    <w:basedOn w:val="DefaultParagraphFont"/>
    <w:uiPriority w:val="21"/>
    <w:qFormat/>
    <w:rsid w:val="002832DB"/>
    <w:rPr>
      <w:i/>
      <w:iCs/>
      <w:color w:val="2F5496" w:themeColor="accent1" w:themeShade="BF"/>
    </w:rPr>
  </w:style>
  <w:style w:type="paragraph" w:styleId="IntenseQuote">
    <w:name w:val="Intense Quote"/>
    <w:basedOn w:val="Normal"/>
    <w:next w:val="Normal"/>
    <w:link w:val="IntenseQuoteChar"/>
    <w:uiPriority w:val="30"/>
    <w:qFormat/>
    <w:rsid w:val="00283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2DB"/>
    <w:rPr>
      <w:i/>
      <w:iCs/>
      <w:color w:val="2F5496" w:themeColor="accent1" w:themeShade="BF"/>
    </w:rPr>
  </w:style>
  <w:style w:type="character" w:styleId="IntenseReference">
    <w:name w:val="Intense Reference"/>
    <w:basedOn w:val="DefaultParagraphFont"/>
    <w:uiPriority w:val="32"/>
    <w:qFormat/>
    <w:rsid w:val="002832DB"/>
    <w:rPr>
      <w:b/>
      <w:bCs/>
      <w:smallCaps/>
      <w:color w:val="2F5496" w:themeColor="accent1" w:themeShade="BF"/>
      <w:spacing w:val="5"/>
    </w:rPr>
  </w:style>
  <w:style w:type="paragraph" w:styleId="NormalWeb">
    <w:name w:val="Normal (Web)"/>
    <w:basedOn w:val="Normal"/>
    <w:uiPriority w:val="99"/>
    <w:semiHidden/>
    <w:unhideWhenUsed/>
    <w:rsid w:val="002832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14</cp:revision>
  <dcterms:created xsi:type="dcterms:W3CDTF">2026-09-11T11:43:00Z</dcterms:created>
  <dcterms:modified xsi:type="dcterms:W3CDTF">2026-09-11T12:09:00Z</dcterms:modified>
</cp:coreProperties>
</file>