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13500" w14:textId="77777777" w:rsidR="00CE3C91" w:rsidRPr="00395F7F" w:rsidRDefault="00CE3C91" w:rsidP="00395F7F">
      <w:pPr>
        <w:pStyle w:val="Heading1"/>
        <w:rPr>
          <w:rFonts w:ascii="Arial" w:hAnsi="Arial" w:cs="Arial"/>
          <w:b/>
          <w:bCs/>
          <w:color w:val="auto"/>
          <w:sz w:val="48"/>
          <w:szCs w:val="48"/>
        </w:rPr>
      </w:pPr>
      <w:r w:rsidRPr="00395F7F">
        <w:rPr>
          <w:rFonts w:ascii="Arial" w:hAnsi="Arial" w:cs="Arial"/>
          <w:b/>
          <w:bCs/>
          <w:color w:val="auto"/>
          <w:sz w:val="48"/>
          <w:szCs w:val="48"/>
        </w:rPr>
        <w:t>As Ontario’s iGaming Market Grows, What Comes Next for Online Casinos and Sports Betting in 2026?</w:t>
      </w:r>
    </w:p>
    <w:p w14:paraId="728F15D2" w14:textId="1D4224C6" w:rsidR="0002213B" w:rsidRDefault="00CE3C91" w:rsidP="0002213B">
      <w:pPr>
        <w:pStyle w:val="NormalWeb"/>
        <w:rPr>
          <w:color w:val="000000"/>
        </w:rPr>
      </w:pPr>
      <w:r w:rsidRPr="00CE3C91">
        <w:rPr>
          <w:color w:val="000000"/>
        </w:rPr>
        <w:t xml:space="preserve">The regulated iGaming market within Ontario continues to expand in 2026 </w:t>
      </w:r>
      <w:r w:rsidR="008A078B">
        <w:rPr>
          <w:color w:val="000000"/>
        </w:rPr>
        <w:t>–</w:t>
      </w:r>
      <w:r w:rsidRPr="00CE3C91">
        <w:rPr>
          <w:color w:val="000000"/>
        </w:rPr>
        <w:t xml:space="preserve"> </w:t>
      </w:r>
      <w:r w:rsidR="008A078B">
        <w:rPr>
          <w:color w:val="000000"/>
        </w:rPr>
        <w:t>with online casinos and sports betting both recording strong activity. L</w:t>
      </w:r>
      <w:r w:rsidRPr="00CE3C91">
        <w:rPr>
          <w:color w:val="000000"/>
        </w:rPr>
        <w:t>atest figures for the market show that consumers wagered C$9.46 billion in June 2026</w:t>
      </w:r>
      <w:r w:rsidR="00232969">
        <w:rPr>
          <w:color w:val="000000"/>
        </w:rPr>
        <w:t>.</w:t>
      </w:r>
      <w:r w:rsidR="00A666D2" w:rsidRPr="00A666D2">
        <w:t xml:space="preserve"> </w:t>
      </w:r>
      <w:r w:rsidR="00A666D2" w:rsidRPr="00A666D2">
        <w:rPr>
          <w:color w:val="000000"/>
        </w:rPr>
        <w:t>That being said, the industry generated C$400.6</w:t>
      </w:r>
      <w:r w:rsidR="00DF5382">
        <w:rPr>
          <w:color w:val="000000"/>
        </w:rPr>
        <w:t xml:space="preserve"> </w:t>
      </w:r>
      <w:r w:rsidR="00A666D2" w:rsidRPr="00A666D2">
        <w:rPr>
          <w:color w:val="000000"/>
        </w:rPr>
        <w:t xml:space="preserve"> million</w:t>
      </w:r>
      <w:r w:rsidR="00DF5382">
        <w:rPr>
          <w:color w:val="000000"/>
        </w:rPr>
        <w:t xml:space="preserve"> in </w:t>
      </w:r>
      <w:r w:rsidR="00A666D2" w:rsidRPr="00A666D2">
        <w:rPr>
          <w:color w:val="000000"/>
        </w:rPr>
        <w:t>non-adjusted gross gaming revenue. Betting was up 30.3 percent compared to June 2025, while revenue increased by 30.6%.</w:t>
      </w:r>
    </w:p>
    <w:p w14:paraId="6329B9F7" w14:textId="7DB3B762" w:rsidR="00CE3C91" w:rsidRPr="0002213B" w:rsidRDefault="00A666D2" w:rsidP="0002213B">
      <w:pPr>
        <w:pStyle w:val="NormalWeb"/>
        <w:rPr>
          <w:color w:val="000000"/>
        </w:rPr>
      </w:pPr>
      <w:r w:rsidRPr="00A666D2">
        <w:rPr>
          <w:color w:val="000000"/>
        </w:rPr>
        <w:t>The growth takes place within a market that is becoming</w:t>
      </w:r>
      <w:r w:rsidR="0002213B">
        <w:rPr>
          <w:color w:val="000000"/>
        </w:rPr>
        <w:t xml:space="preserve"> </w:t>
      </w:r>
      <w:r w:rsidRPr="00A666D2">
        <w:rPr>
          <w:color w:val="000000"/>
        </w:rPr>
        <w:t xml:space="preserve"> competitive</w:t>
      </w:r>
      <w:r w:rsidR="0002213B">
        <w:rPr>
          <w:color w:val="000000"/>
        </w:rPr>
        <w:t xml:space="preserve"> by the day.</w:t>
      </w:r>
      <w:r w:rsidR="00CE3C91" w:rsidRPr="00CE3C91">
        <w:rPr>
          <w:color w:val="000000"/>
        </w:rPr>
        <w:t xml:space="preserve"> As of August 6, the province listed 48 regulated operators and 83 gaming websites. Additionally, new brands continue to enter the market - suggesting that competition is likely to remain an important theme throughout 2026.</w:t>
      </w:r>
    </w:p>
    <w:p w14:paraId="52D02527" w14:textId="77777777" w:rsidR="00CE3C91" w:rsidRPr="00395F7F" w:rsidRDefault="00CE3C91" w:rsidP="00395F7F">
      <w:pPr>
        <w:pStyle w:val="Heading2"/>
        <w:rPr>
          <w:rFonts w:ascii="Arial" w:hAnsi="Arial" w:cs="Arial"/>
          <w:b/>
          <w:bCs/>
          <w:color w:val="auto"/>
          <w:sz w:val="36"/>
          <w:szCs w:val="36"/>
        </w:rPr>
      </w:pPr>
      <w:r w:rsidRPr="00395F7F">
        <w:rPr>
          <w:rFonts w:ascii="Arial" w:hAnsi="Arial" w:cs="Arial"/>
          <w:b/>
          <w:bCs/>
          <w:color w:val="auto"/>
          <w:sz w:val="36"/>
          <w:szCs w:val="36"/>
        </w:rPr>
        <w:t>Online Casinos Continue to Lead</w:t>
      </w:r>
    </w:p>
    <w:p w14:paraId="020D8065" w14:textId="2510F554" w:rsidR="00CE3C91" w:rsidRPr="00CE3C91" w:rsidRDefault="00CE3C91" w:rsidP="00CE3C91">
      <w:pPr>
        <w:pStyle w:val="NormalWeb"/>
        <w:spacing w:before="0" w:beforeAutospacing="0" w:after="160" w:afterAutospacing="0"/>
      </w:pPr>
      <w:r w:rsidRPr="00CE3C91">
        <w:rPr>
          <w:color w:val="000000"/>
        </w:rPr>
        <w:t>Online casino games remain the biggest part of the province’s regulated iGaming market.</w:t>
      </w:r>
      <w:r w:rsidR="00967A12">
        <w:t xml:space="preserve"> </w:t>
      </w:r>
      <w:r w:rsidRPr="00CE3C91">
        <w:rPr>
          <w:color w:val="000000"/>
        </w:rPr>
        <w:t>Casino games accounted for 88% of the total wagering for June - around C$8.3 billion. Revenue from casinos reached about C$316.8 million, which is roughly 79% of total market revenue for the month.</w:t>
      </w:r>
    </w:p>
    <w:p w14:paraId="5B035ABD" w14:textId="77777777" w:rsidR="00CE3C91" w:rsidRPr="00CE3C91" w:rsidRDefault="00CE3C91" w:rsidP="00CE3C91">
      <w:pPr>
        <w:pStyle w:val="NormalWeb"/>
        <w:spacing w:before="0" w:beforeAutospacing="0" w:after="160" w:afterAutospacing="0"/>
      </w:pPr>
      <w:r w:rsidRPr="00CE3C91">
        <w:rPr>
          <w:color w:val="000000"/>
        </w:rPr>
        <w:t>Such strong casino activity provides a solid reason to invest in online casino products. Future competition within this market will almost certainly on elements like:</w:t>
      </w:r>
    </w:p>
    <w:p w14:paraId="2ABCD968" w14:textId="5E1F7C6E" w:rsidR="00CE3C91" w:rsidRPr="00844473" w:rsidRDefault="00CE3C91" w:rsidP="00844473">
      <w:pPr>
        <w:pStyle w:val="ListParagraph"/>
        <w:numPr>
          <w:ilvl w:val="0"/>
          <w:numId w:val="3"/>
        </w:numPr>
        <w:rPr>
          <w:rFonts w:ascii="Times New Roman" w:hAnsi="Times New Roman" w:cs="Times New Roman"/>
        </w:rPr>
      </w:pPr>
      <w:r w:rsidRPr="00844473">
        <w:rPr>
          <w:rFonts w:ascii="Times New Roman" w:hAnsi="Times New Roman" w:cs="Times New Roman"/>
        </w:rPr>
        <w:t>Gaming selection,</w:t>
      </w:r>
    </w:p>
    <w:p w14:paraId="29ED45F8" w14:textId="658016A5" w:rsidR="00CE3C91" w:rsidRPr="00844473" w:rsidRDefault="00CE3C91" w:rsidP="00844473">
      <w:pPr>
        <w:pStyle w:val="ListParagraph"/>
        <w:numPr>
          <w:ilvl w:val="0"/>
          <w:numId w:val="3"/>
        </w:numPr>
        <w:rPr>
          <w:rFonts w:ascii="Times New Roman" w:hAnsi="Times New Roman" w:cs="Times New Roman"/>
        </w:rPr>
      </w:pPr>
      <w:r w:rsidRPr="00844473">
        <w:rPr>
          <w:rFonts w:ascii="Times New Roman" w:hAnsi="Times New Roman" w:cs="Times New Roman"/>
        </w:rPr>
        <w:t>Mobile functionality,</w:t>
      </w:r>
    </w:p>
    <w:p w14:paraId="0EA2171C" w14:textId="260D4EB4" w:rsidR="00CE3C91" w:rsidRPr="00844473" w:rsidRDefault="00CE3C91" w:rsidP="00844473">
      <w:pPr>
        <w:pStyle w:val="ListParagraph"/>
        <w:numPr>
          <w:ilvl w:val="0"/>
          <w:numId w:val="3"/>
        </w:numPr>
        <w:rPr>
          <w:rFonts w:ascii="Times New Roman" w:hAnsi="Times New Roman" w:cs="Times New Roman"/>
        </w:rPr>
      </w:pPr>
      <w:r w:rsidRPr="00844473">
        <w:rPr>
          <w:rFonts w:ascii="Times New Roman" w:hAnsi="Times New Roman" w:cs="Times New Roman"/>
        </w:rPr>
        <w:t>Payments options</w:t>
      </w:r>
    </w:p>
    <w:p w14:paraId="7B5D42BE" w14:textId="60D07479" w:rsidR="00CE3C91" w:rsidRPr="00844473" w:rsidRDefault="00CE3C91" w:rsidP="00844473">
      <w:pPr>
        <w:pStyle w:val="ListParagraph"/>
        <w:numPr>
          <w:ilvl w:val="0"/>
          <w:numId w:val="3"/>
        </w:numPr>
        <w:rPr>
          <w:rFonts w:ascii="Times New Roman" w:hAnsi="Times New Roman" w:cs="Times New Roman"/>
        </w:rPr>
      </w:pPr>
      <w:r w:rsidRPr="00844473">
        <w:rPr>
          <w:rFonts w:ascii="Times New Roman" w:hAnsi="Times New Roman" w:cs="Times New Roman"/>
        </w:rPr>
        <w:t>Customer service</w:t>
      </w:r>
    </w:p>
    <w:p w14:paraId="43D66E5B" w14:textId="1C6AA957" w:rsidR="00CE3C91" w:rsidRPr="00844473" w:rsidRDefault="00CE3C91" w:rsidP="00844473">
      <w:pPr>
        <w:pStyle w:val="ListParagraph"/>
        <w:numPr>
          <w:ilvl w:val="0"/>
          <w:numId w:val="3"/>
        </w:numPr>
        <w:rPr>
          <w:rFonts w:ascii="Times New Roman" w:hAnsi="Times New Roman" w:cs="Times New Roman"/>
        </w:rPr>
      </w:pPr>
      <w:r w:rsidRPr="00844473">
        <w:rPr>
          <w:rFonts w:ascii="Times New Roman" w:hAnsi="Times New Roman" w:cs="Times New Roman"/>
        </w:rPr>
        <w:t>Responsible-gambling features.</w:t>
      </w:r>
    </w:p>
    <w:p w14:paraId="1454724D" w14:textId="77777777" w:rsidR="00CE3C91" w:rsidRPr="00CE3C91" w:rsidRDefault="00CE3C91" w:rsidP="00CE3C91">
      <w:pPr>
        <w:pStyle w:val="NormalWeb"/>
        <w:spacing w:before="0" w:beforeAutospacing="0" w:after="160" w:afterAutospacing="0"/>
      </w:pPr>
      <w:r w:rsidRPr="00CE3C91">
        <w:rPr>
          <w:color w:val="000000"/>
        </w:rPr>
        <w:t>May 2026 was revealed as another record month for Ontario online casinos – showing that the sector’s growth has not been limited to one unusually strong month.</w:t>
      </w:r>
    </w:p>
    <w:p w14:paraId="06B1B444" w14:textId="77777777" w:rsidR="00CE3C91" w:rsidRPr="00395F7F" w:rsidRDefault="00CE3C91" w:rsidP="00395F7F">
      <w:pPr>
        <w:pStyle w:val="Heading2"/>
        <w:rPr>
          <w:rFonts w:ascii="Arial" w:hAnsi="Arial" w:cs="Arial"/>
          <w:b/>
          <w:bCs/>
          <w:color w:val="auto"/>
          <w:sz w:val="36"/>
          <w:szCs w:val="36"/>
        </w:rPr>
      </w:pPr>
      <w:r w:rsidRPr="00395F7F">
        <w:rPr>
          <w:rFonts w:ascii="Arial" w:hAnsi="Arial" w:cs="Arial"/>
          <w:b/>
          <w:bCs/>
          <w:color w:val="auto"/>
          <w:sz w:val="36"/>
          <w:szCs w:val="36"/>
        </w:rPr>
        <w:t>Sports Betting Passes Another Milestone</w:t>
      </w:r>
    </w:p>
    <w:p w14:paraId="16C6A879" w14:textId="05FF93B7" w:rsidR="00CE3C91" w:rsidRPr="00CE3C91" w:rsidRDefault="00CE3C91" w:rsidP="00CE3C91">
      <w:pPr>
        <w:pStyle w:val="NormalWeb"/>
        <w:spacing w:before="0" w:beforeAutospacing="0" w:after="160" w:afterAutospacing="0"/>
      </w:pPr>
      <w:r w:rsidRPr="00CE3C91">
        <w:rPr>
          <w:color w:val="000000"/>
        </w:rPr>
        <w:t>Sports betting is also becoming a larger part of the market.</w:t>
      </w:r>
      <w:r w:rsidR="00294A31">
        <w:rPr>
          <w:color w:val="000000"/>
        </w:rPr>
        <w:t xml:space="preserve"> </w:t>
      </w:r>
      <w:r w:rsidRPr="00CE3C91">
        <w:rPr>
          <w:color w:val="000000"/>
        </w:rPr>
        <w:t>Ontario sportsbooks recorded approximately C$1.03 billion in wagers during June - the fourth such instance in six months when handle figures passed the C$1 billion mark. The sports betting revenue reached around C$78.6 million, according to market data reported from iGaming Ontario.</w:t>
      </w:r>
    </w:p>
    <w:p w14:paraId="5E39EB85" w14:textId="77777777" w:rsidR="00CE3C91" w:rsidRPr="00CE3C91" w:rsidRDefault="00CE3C91" w:rsidP="00CE3C91">
      <w:pPr>
        <w:pStyle w:val="NormalWeb"/>
        <w:spacing w:before="0" w:beforeAutospacing="0" w:after="160" w:afterAutospacing="0"/>
      </w:pPr>
      <w:r w:rsidRPr="00CE3C91">
        <w:rPr>
          <w:color w:val="000000"/>
        </w:rPr>
        <w:lastRenderedPageBreak/>
        <w:t>That’s another very major opportunity for the operators - offering both casino and sports betting, which means you can compete in two rapidly-expanding markets instead of one.  The sports calendar could inform what occurs during the second half of the year - though each month’s returns will ultimately feature sporting events, consumer demand and operator activity.</w:t>
      </w:r>
    </w:p>
    <w:p w14:paraId="6F0D24AE" w14:textId="77777777" w:rsidR="00CE3C91" w:rsidRPr="00395F7F" w:rsidRDefault="00CE3C91" w:rsidP="00395F7F">
      <w:pPr>
        <w:pStyle w:val="Heading2"/>
        <w:rPr>
          <w:rFonts w:ascii="Arial" w:hAnsi="Arial" w:cs="Arial"/>
          <w:b/>
          <w:bCs/>
          <w:color w:val="auto"/>
          <w:sz w:val="36"/>
          <w:szCs w:val="36"/>
        </w:rPr>
      </w:pPr>
      <w:r w:rsidRPr="00395F7F">
        <w:rPr>
          <w:rFonts w:ascii="Arial" w:hAnsi="Arial" w:cs="Arial"/>
          <w:b/>
          <w:bCs/>
          <w:color w:val="auto"/>
          <w:sz w:val="36"/>
          <w:szCs w:val="36"/>
        </w:rPr>
        <w:t>More Competition Is Coming</w:t>
      </w:r>
    </w:p>
    <w:p w14:paraId="66451F78" w14:textId="77777777" w:rsidR="00CE3C91" w:rsidRPr="00CE3C91" w:rsidRDefault="00CE3C91" w:rsidP="00CE3C91">
      <w:pPr>
        <w:pStyle w:val="NormalWeb"/>
        <w:spacing w:before="0" w:beforeAutospacing="0" w:after="160" w:afterAutospacing="0"/>
      </w:pPr>
      <w:r w:rsidRPr="00CE3C91">
        <w:rPr>
          <w:color w:val="000000"/>
        </w:rPr>
        <w:t>The competitive environment is still evolving, even though Ontario was already a very crowded market. Fanatics Betting &amp; Gaming received approval from the Alcohol and Gaming Commission of Ontario on August 11, 2026  - to offer both online sports betting and casino gaming. That said, the company is yet to finalize its operating agreement with iGaming Ontario prior to commencing operations within the province.</w:t>
      </w:r>
    </w:p>
    <w:p w14:paraId="04D52CF8" w14:textId="77777777" w:rsidR="00CE3C91" w:rsidRPr="00CE3C91" w:rsidRDefault="00CE3C91" w:rsidP="00CE3C91">
      <w:pPr>
        <w:pStyle w:val="NormalWeb"/>
        <w:spacing w:before="0" w:beforeAutospacing="0" w:after="160" w:afterAutospacing="0"/>
      </w:pPr>
      <w:r w:rsidRPr="00CE3C91">
        <w:rPr>
          <w:color w:val="000000"/>
        </w:rPr>
        <w:t>The entry of Fanatics is particularly important, given that it is such an established brand in the United States in both sports and digital commerce. Its arrival adds another major competitor to a market that already includes well-known international and Canadian gambling brands.</w:t>
      </w:r>
    </w:p>
    <w:p w14:paraId="012AC891" w14:textId="77777777" w:rsidR="00CE3C91" w:rsidRPr="00CE3C91" w:rsidRDefault="00CE3C91" w:rsidP="00CE3C91">
      <w:pPr>
        <w:pStyle w:val="NormalWeb"/>
        <w:spacing w:before="0" w:beforeAutospacing="0" w:after="160" w:afterAutospacing="0"/>
      </w:pPr>
      <w:r w:rsidRPr="00CE3C91">
        <w:rPr>
          <w:color w:val="000000"/>
        </w:rPr>
        <w:t>Such developments have followed those of other recent entries into the Ontario market - DAZN Bet came into the province in June, while Hard Rock Bet showed up in July - introducing yet further competitive elements into both sports betting and online casino gaming.</w:t>
      </w:r>
    </w:p>
    <w:p w14:paraId="615D0511" w14:textId="77777777" w:rsidR="00CE3C91" w:rsidRPr="00395F7F" w:rsidRDefault="00CE3C91" w:rsidP="00395F7F">
      <w:pPr>
        <w:pStyle w:val="Heading2"/>
        <w:rPr>
          <w:rFonts w:ascii="Arial" w:hAnsi="Arial" w:cs="Arial"/>
          <w:b/>
          <w:bCs/>
          <w:color w:val="auto"/>
          <w:sz w:val="36"/>
          <w:szCs w:val="36"/>
        </w:rPr>
      </w:pPr>
      <w:r w:rsidRPr="00395F7F">
        <w:rPr>
          <w:rFonts w:ascii="Arial" w:hAnsi="Arial" w:cs="Arial"/>
          <w:b/>
          <w:bCs/>
          <w:color w:val="auto"/>
          <w:sz w:val="36"/>
          <w:szCs w:val="36"/>
        </w:rPr>
        <w:t>Established Operators Must Adapt</w:t>
      </w:r>
    </w:p>
    <w:p w14:paraId="14A878E4" w14:textId="0D8041A5" w:rsidR="00CE3C91" w:rsidRPr="00CE3C91" w:rsidRDefault="00CE3C91" w:rsidP="00CE3C91">
      <w:pPr>
        <w:pStyle w:val="NormalWeb"/>
        <w:spacing w:before="0" w:beforeAutospacing="0" w:after="160" w:afterAutospacing="0"/>
      </w:pPr>
      <w:r w:rsidRPr="00CE3C91">
        <w:rPr>
          <w:color w:val="000000"/>
        </w:rPr>
        <w:t>The expanding market means that even well-established operators cannot rely solely on having a recognizable brand.</w:t>
      </w:r>
      <w:r w:rsidR="00761925">
        <w:t xml:space="preserve"> </w:t>
      </w:r>
      <w:r w:rsidRPr="00CE3C91">
        <w:rPr>
          <w:color w:val="000000"/>
        </w:rPr>
        <w:t>Companies operating in Ontario now face competition within a market that features dozens of regulated operators and more than 80 gaming websites. The country’s iGaming directory currently features 83 websites - though exact figures can change with market developments relating to operators and offerings.</w:t>
      </w:r>
    </w:p>
    <w:p w14:paraId="1E328059" w14:textId="77777777" w:rsidR="00CE3C91" w:rsidRPr="00CE3C91" w:rsidRDefault="00CE3C91" w:rsidP="00CE3C91">
      <w:pPr>
        <w:pStyle w:val="NormalWeb"/>
        <w:spacing w:before="0" w:beforeAutospacing="0" w:after="160" w:afterAutospacing="0"/>
      </w:pPr>
      <w:r w:rsidRPr="00CE3C91">
        <w:rPr>
          <w:color w:val="000000"/>
        </w:rPr>
        <w:t>Operators now have to place greater emphasis on product quality and customer experience. Factors like mobile platforms, live dealer games, sports betting interfaces, fast payment processing as well as responsible gambling tools can influence how operators stand out from the rest.</w:t>
      </w:r>
    </w:p>
    <w:p w14:paraId="12728EAE" w14:textId="77777777" w:rsidR="00CE3C91" w:rsidRPr="00CE3C91" w:rsidRDefault="00CE3C91" w:rsidP="00CE3C91">
      <w:pPr>
        <w:pStyle w:val="NormalWeb"/>
        <w:spacing w:before="0" w:beforeAutospacing="0" w:after="160" w:afterAutospacing="0"/>
      </w:pPr>
      <w:r w:rsidRPr="00CE3C91">
        <w:rPr>
          <w:color w:val="000000"/>
        </w:rPr>
        <w:t>Some companies have opted for acquisitions to strengthen their positions. Betsson is a good example. It completed its acquisition of Rhino Entertainment’s Canadian assets in August, including the Ontario-licensed Casino Days brand. The deal was valued at €64.5 million.</w:t>
      </w:r>
    </w:p>
    <w:p w14:paraId="4FD87377" w14:textId="77777777" w:rsidR="00CE3C91" w:rsidRPr="00395F7F" w:rsidRDefault="00CE3C91" w:rsidP="00395F7F">
      <w:pPr>
        <w:pStyle w:val="Heading2"/>
        <w:rPr>
          <w:rFonts w:ascii="Arial" w:hAnsi="Arial" w:cs="Arial"/>
          <w:b/>
          <w:bCs/>
          <w:color w:val="auto"/>
          <w:sz w:val="36"/>
          <w:szCs w:val="36"/>
        </w:rPr>
      </w:pPr>
      <w:r w:rsidRPr="00395F7F">
        <w:rPr>
          <w:rFonts w:ascii="Arial" w:hAnsi="Arial" w:cs="Arial"/>
          <w:b/>
          <w:bCs/>
          <w:color w:val="auto"/>
          <w:sz w:val="36"/>
          <w:szCs w:val="36"/>
        </w:rPr>
        <w:t>Regulation Remains a Major Focus</w:t>
      </w:r>
    </w:p>
    <w:p w14:paraId="4E1101D3" w14:textId="7BEA5D7A" w:rsidR="00CE3C91" w:rsidRPr="00CE3C91" w:rsidRDefault="00CE3C91" w:rsidP="00CE3C91">
      <w:pPr>
        <w:pStyle w:val="NormalWeb"/>
        <w:spacing w:before="0" w:beforeAutospacing="0" w:after="160" w:afterAutospacing="0"/>
      </w:pPr>
      <w:r w:rsidRPr="00CE3C91">
        <w:rPr>
          <w:color w:val="000000"/>
        </w:rPr>
        <w:t>Growth is not the only issue facing the Ontario gambling industry - regulatory compliance continues to be closely monitored.</w:t>
      </w:r>
      <w:r w:rsidR="00241331">
        <w:t xml:space="preserve"> </w:t>
      </w:r>
      <w:r w:rsidRPr="00CE3C91">
        <w:rPr>
          <w:color w:val="000000"/>
        </w:rPr>
        <w:t>On August 6, the AGCO announced a $120,000 penalty against Betty Gaming Ltd as the organization allowed underage individuals to create accounts - nine made deposits and placed wagers. Such cases underline the value of age verification and player protection systems as the industry develops. </w:t>
      </w:r>
    </w:p>
    <w:p w14:paraId="2A428A90" w14:textId="1EB6D9D1" w:rsidR="00CE3C91" w:rsidRPr="00CE3C91" w:rsidRDefault="00CE3C91" w:rsidP="00CE3C91">
      <w:pPr>
        <w:pStyle w:val="NormalWeb"/>
        <w:spacing w:before="0" w:beforeAutospacing="0" w:after="160" w:afterAutospacing="0"/>
      </w:pPr>
      <w:r w:rsidRPr="00CE3C91">
        <w:rPr>
          <w:color w:val="000000"/>
        </w:rPr>
        <w:t>This kind of action is even more relevant with the increasing number of operators. More websites mean regulators have to keep on monitoring compliance across a broad and changing market.</w:t>
      </w:r>
      <w:r w:rsidR="00BD70B5">
        <w:t xml:space="preserve"> </w:t>
      </w:r>
      <w:r w:rsidRPr="00CE3C91">
        <w:rPr>
          <w:color w:val="000000"/>
        </w:rPr>
        <w:t xml:space="preserve">For consumers, the regulated market helps to separate authorized operators from offshore gambling sites. The iGaming Ontario directory features regulated websites - players must be 19 </w:t>
      </w:r>
      <w:r w:rsidRPr="00CE3C91">
        <w:rPr>
          <w:color w:val="000000"/>
        </w:rPr>
        <w:lastRenderedPageBreak/>
        <w:t>years old and physically located in Ontario so that they can start gambling in the regulated market.</w:t>
      </w:r>
    </w:p>
    <w:p w14:paraId="55CA7793" w14:textId="77777777" w:rsidR="00CE3C91" w:rsidRPr="00395F7F" w:rsidRDefault="00CE3C91" w:rsidP="00395F7F">
      <w:pPr>
        <w:pStyle w:val="Heading2"/>
        <w:rPr>
          <w:rFonts w:ascii="Arial" w:hAnsi="Arial" w:cs="Arial"/>
          <w:b/>
          <w:bCs/>
          <w:color w:val="auto"/>
          <w:sz w:val="36"/>
          <w:szCs w:val="36"/>
        </w:rPr>
      </w:pPr>
      <w:r w:rsidRPr="00395F7F">
        <w:rPr>
          <w:rFonts w:ascii="Arial" w:hAnsi="Arial" w:cs="Arial"/>
          <w:b/>
          <w:bCs/>
          <w:color w:val="auto"/>
          <w:sz w:val="36"/>
          <w:szCs w:val="36"/>
        </w:rPr>
        <w:t>What Could Happen During the Rest of 2026?</w:t>
      </w:r>
    </w:p>
    <w:p w14:paraId="442DDA5C" w14:textId="0469090D" w:rsidR="00CE3C91" w:rsidRPr="00CE3C91" w:rsidRDefault="00CE3C91" w:rsidP="00CE3C91">
      <w:pPr>
        <w:pStyle w:val="NormalWeb"/>
        <w:spacing w:before="0" w:beforeAutospacing="0" w:after="160" w:afterAutospacing="0"/>
      </w:pPr>
      <w:r w:rsidRPr="00CE3C91">
        <w:rPr>
          <w:color w:val="000000"/>
        </w:rPr>
        <w:t>The remaining months of 2026 are likely to bring further competition between online casino and sports betting brands.</w:t>
      </w:r>
      <w:r w:rsidR="00B93484">
        <w:t xml:space="preserve"> </w:t>
      </w:r>
      <w:r w:rsidRPr="00CE3C91">
        <w:rPr>
          <w:color w:val="000000"/>
        </w:rPr>
        <w:t>Fanatics’ upcoming launch is particularly important - the brand provides another major option, which could encourage existing operators to improve their casino and sportsbook offerings.</w:t>
      </w:r>
    </w:p>
    <w:p w14:paraId="2E1EC1DB" w14:textId="77777777" w:rsidR="00CE3C91" w:rsidRPr="00CE3C91" w:rsidRDefault="00CE3C91" w:rsidP="00CE3C91">
      <w:pPr>
        <w:pStyle w:val="NormalWeb"/>
        <w:spacing w:before="0" w:beforeAutospacing="0" w:after="160" w:afterAutospacing="0"/>
      </w:pPr>
      <w:r w:rsidRPr="00CE3C91">
        <w:rPr>
          <w:color w:val="000000"/>
        </w:rPr>
        <w:t>Ontario’s strong market figures present plenty of incentive for operators to remain active - the C$9.46 billion total for June reveals substantial demand, while 30% year-over-year growth reveals that the market has not yet reached a period of flat growth.</w:t>
      </w:r>
    </w:p>
    <w:p w14:paraId="6CFFBE81" w14:textId="77777777" w:rsidR="00CE3C91" w:rsidRPr="00395F7F" w:rsidRDefault="00CE3C91" w:rsidP="00395F7F">
      <w:pPr>
        <w:pStyle w:val="Heading2"/>
        <w:rPr>
          <w:rFonts w:ascii="Arial" w:hAnsi="Arial" w:cs="Arial"/>
          <w:b/>
          <w:bCs/>
          <w:color w:val="auto"/>
          <w:sz w:val="36"/>
          <w:szCs w:val="36"/>
        </w:rPr>
      </w:pPr>
      <w:r w:rsidRPr="00395F7F">
        <w:rPr>
          <w:rFonts w:ascii="Arial" w:hAnsi="Arial" w:cs="Arial"/>
          <w:b/>
          <w:bCs/>
          <w:color w:val="auto"/>
          <w:sz w:val="36"/>
          <w:szCs w:val="36"/>
        </w:rPr>
        <w:t>Ontario's iGaming Market Enters Its Next Phase</w:t>
      </w:r>
    </w:p>
    <w:p w14:paraId="51848332" w14:textId="77777777" w:rsidR="00561468" w:rsidRDefault="00CE3C91" w:rsidP="00CE3C91">
      <w:pPr>
        <w:pStyle w:val="NormalWeb"/>
        <w:spacing w:before="0" w:beforeAutospacing="0" w:after="160" w:afterAutospacing="0"/>
      </w:pPr>
      <w:r w:rsidRPr="00CE3C91">
        <w:rPr>
          <w:color w:val="000000"/>
        </w:rPr>
        <w:t>The regulated iGaming market of Ontario has developed significantly since its launch in April 2022. That market now features 48 operators, 83 gaming websites and billions of dollars in monthly wagering.</w:t>
      </w:r>
      <w:r w:rsidR="00561468">
        <w:t xml:space="preserve"> </w:t>
      </w:r>
    </w:p>
    <w:p w14:paraId="6767998A" w14:textId="1C21A35A" w:rsidR="00CE3C91" w:rsidRPr="00CE3C91" w:rsidRDefault="00CE3C91" w:rsidP="00CE3C91">
      <w:pPr>
        <w:pStyle w:val="NormalWeb"/>
        <w:spacing w:before="0" w:beforeAutospacing="0" w:after="160" w:afterAutospacing="0"/>
      </w:pPr>
      <w:r w:rsidRPr="00CE3C91">
        <w:rPr>
          <w:color w:val="000000"/>
        </w:rPr>
        <w:t>For online casinos, growth will depend on securing customers within an increasingly crowded market. As for sportsbooks, surpassing that C$1 billion figure more frequently indicates that sports betting is becoming an increasingly important part of the industry.</w:t>
      </w:r>
    </w:p>
    <w:p w14:paraId="3E67C7A8" w14:textId="2E63461C" w:rsidR="006800DE" w:rsidRDefault="00CE3C91" w:rsidP="00CE3C91">
      <w:pPr>
        <w:pStyle w:val="NormalWeb"/>
        <w:spacing w:before="0" w:beforeAutospacing="0" w:after="160" w:afterAutospacing="0"/>
        <w:rPr>
          <w:color w:val="000000"/>
        </w:rPr>
      </w:pPr>
      <w:r w:rsidRPr="00CE3C91">
        <w:rPr>
          <w:color w:val="000000"/>
        </w:rPr>
        <w:t>The next phase of the market will be defined by competition, new market entrants, regulatory scrutiny, and continued consumer demand. With Fanatics preparing to enter and existing brands expanding their strategies, Ontario’s market is likely to remain one of the most closely watched iGaming sectors within Canada through the rest of 2026.</w:t>
      </w:r>
    </w:p>
    <w:p w14:paraId="6463E5D3" w14:textId="44F07613" w:rsidR="006800DE" w:rsidRPr="00CE3C91" w:rsidRDefault="006800DE" w:rsidP="00CE3C91">
      <w:pPr>
        <w:pStyle w:val="NormalWeb"/>
        <w:spacing w:before="0" w:beforeAutospacing="0" w:after="160" w:afterAutospacing="0"/>
      </w:pPr>
      <w:r>
        <w:rPr>
          <w:noProof/>
        </w:rPr>
        <w:drawing>
          <wp:inline distT="0" distB="0" distL="0" distR="0" wp14:anchorId="57EE94DC" wp14:editId="2180DAA1">
            <wp:extent cx="5943600" cy="3341370"/>
            <wp:effectExtent l="0" t="0" r="0" b="0"/>
            <wp:docPr id="211397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71444" name=""/>
                    <pic:cNvPicPr/>
                  </pic:nvPicPr>
                  <pic:blipFill>
                    <a:blip r:embed="rId5"/>
                    <a:stretch>
                      <a:fillRect/>
                    </a:stretch>
                  </pic:blipFill>
                  <pic:spPr>
                    <a:xfrm>
                      <a:off x="0" y="0"/>
                      <a:ext cx="5943600" cy="3341370"/>
                    </a:xfrm>
                    <a:prstGeom prst="rect">
                      <a:avLst/>
                    </a:prstGeom>
                  </pic:spPr>
                </pic:pic>
              </a:graphicData>
            </a:graphic>
          </wp:inline>
        </w:drawing>
      </w:r>
    </w:p>
    <w:p w14:paraId="4707C653" w14:textId="67500D9B" w:rsidR="004952DD" w:rsidRPr="00CE3C91" w:rsidRDefault="004952DD">
      <w:pPr>
        <w:rPr>
          <w:rFonts w:ascii="Times New Roman" w:hAnsi="Times New Roman" w:cs="Times New Roman"/>
        </w:rPr>
      </w:pPr>
    </w:p>
    <w:sectPr w:rsidR="004952DD" w:rsidRPr="00CE3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54A8"/>
    <w:multiLevelType w:val="hybridMultilevel"/>
    <w:tmpl w:val="EDB60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C654BE"/>
    <w:multiLevelType w:val="hybridMultilevel"/>
    <w:tmpl w:val="A978EFC8"/>
    <w:lvl w:ilvl="0" w:tplc="BB2C39DA">
      <w:start w:val="50"/>
      <w:numFmt w:val="bullet"/>
      <w:lvlText w:val="·"/>
      <w:lvlJc w:val="left"/>
      <w:pPr>
        <w:ind w:left="975" w:hanging="615"/>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0D6B1C"/>
    <w:multiLevelType w:val="hybridMultilevel"/>
    <w:tmpl w:val="399EEABC"/>
    <w:lvl w:ilvl="0" w:tplc="04090001">
      <w:start w:val="1"/>
      <w:numFmt w:val="bullet"/>
      <w:lvlText w:val=""/>
      <w:lvlJc w:val="left"/>
      <w:pPr>
        <w:ind w:left="975" w:hanging="615"/>
      </w:pPr>
      <w:rPr>
        <w:rFonts w:ascii="Symbol" w:hAnsi="Symbo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84328953">
    <w:abstractNumId w:val="0"/>
  </w:num>
  <w:num w:numId="2" w16cid:durableId="35858980">
    <w:abstractNumId w:val="1"/>
  </w:num>
  <w:num w:numId="3" w16cid:durableId="1846049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C91"/>
    <w:rsid w:val="0002213B"/>
    <w:rsid w:val="00067A9C"/>
    <w:rsid w:val="000A77DC"/>
    <w:rsid w:val="001D2DDD"/>
    <w:rsid w:val="00232969"/>
    <w:rsid w:val="00241331"/>
    <w:rsid w:val="00294A31"/>
    <w:rsid w:val="002C4A9A"/>
    <w:rsid w:val="00395F7F"/>
    <w:rsid w:val="00451A6C"/>
    <w:rsid w:val="004952DD"/>
    <w:rsid w:val="00561468"/>
    <w:rsid w:val="00591663"/>
    <w:rsid w:val="006517BF"/>
    <w:rsid w:val="006800DE"/>
    <w:rsid w:val="00680E43"/>
    <w:rsid w:val="007612F2"/>
    <w:rsid w:val="00761925"/>
    <w:rsid w:val="00844473"/>
    <w:rsid w:val="008A078B"/>
    <w:rsid w:val="00967A12"/>
    <w:rsid w:val="00A41495"/>
    <w:rsid w:val="00A666D2"/>
    <w:rsid w:val="00B93484"/>
    <w:rsid w:val="00BD70B5"/>
    <w:rsid w:val="00CE3C91"/>
    <w:rsid w:val="00D07F64"/>
    <w:rsid w:val="00DF5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1E197"/>
  <w15:chartTrackingRefBased/>
  <w15:docId w15:val="{14FC634C-2CAE-49A2-8205-22712BD26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3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3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C91"/>
    <w:rPr>
      <w:rFonts w:eastAsiaTheme="majorEastAsia" w:cstheme="majorBidi"/>
      <w:color w:val="272727" w:themeColor="text1" w:themeTint="D8"/>
    </w:rPr>
  </w:style>
  <w:style w:type="paragraph" w:styleId="Title">
    <w:name w:val="Title"/>
    <w:basedOn w:val="Normal"/>
    <w:next w:val="Normal"/>
    <w:link w:val="TitleChar"/>
    <w:uiPriority w:val="10"/>
    <w:qFormat/>
    <w:rsid w:val="00CE3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C91"/>
    <w:pPr>
      <w:spacing w:before="160"/>
      <w:jc w:val="center"/>
    </w:pPr>
    <w:rPr>
      <w:i/>
      <w:iCs/>
      <w:color w:val="404040" w:themeColor="text1" w:themeTint="BF"/>
    </w:rPr>
  </w:style>
  <w:style w:type="character" w:customStyle="1" w:styleId="QuoteChar">
    <w:name w:val="Quote Char"/>
    <w:basedOn w:val="DefaultParagraphFont"/>
    <w:link w:val="Quote"/>
    <w:uiPriority w:val="29"/>
    <w:rsid w:val="00CE3C91"/>
    <w:rPr>
      <w:i/>
      <w:iCs/>
      <w:color w:val="404040" w:themeColor="text1" w:themeTint="BF"/>
    </w:rPr>
  </w:style>
  <w:style w:type="paragraph" w:styleId="ListParagraph">
    <w:name w:val="List Paragraph"/>
    <w:basedOn w:val="Normal"/>
    <w:uiPriority w:val="34"/>
    <w:qFormat/>
    <w:rsid w:val="00CE3C91"/>
    <w:pPr>
      <w:ind w:left="720"/>
      <w:contextualSpacing/>
    </w:pPr>
  </w:style>
  <w:style w:type="character" w:styleId="IntenseEmphasis">
    <w:name w:val="Intense Emphasis"/>
    <w:basedOn w:val="DefaultParagraphFont"/>
    <w:uiPriority w:val="21"/>
    <w:qFormat/>
    <w:rsid w:val="00CE3C91"/>
    <w:rPr>
      <w:i/>
      <w:iCs/>
      <w:color w:val="2F5496" w:themeColor="accent1" w:themeShade="BF"/>
    </w:rPr>
  </w:style>
  <w:style w:type="paragraph" w:styleId="IntenseQuote">
    <w:name w:val="Intense Quote"/>
    <w:basedOn w:val="Normal"/>
    <w:next w:val="Normal"/>
    <w:link w:val="IntenseQuoteChar"/>
    <w:uiPriority w:val="30"/>
    <w:qFormat/>
    <w:rsid w:val="00CE3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C91"/>
    <w:rPr>
      <w:i/>
      <w:iCs/>
      <w:color w:val="2F5496" w:themeColor="accent1" w:themeShade="BF"/>
    </w:rPr>
  </w:style>
  <w:style w:type="character" w:styleId="IntenseReference">
    <w:name w:val="Intense Reference"/>
    <w:basedOn w:val="DefaultParagraphFont"/>
    <w:uiPriority w:val="32"/>
    <w:qFormat/>
    <w:rsid w:val="00CE3C91"/>
    <w:rPr>
      <w:b/>
      <w:bCs/>
      <w:smallCaps/>
      <w:color w:val="2F5496" w:themeColor="accent1" w:themeShade="BF"/>
      <w:spacing w:val="5"/>
    </w:rPr>
  </w:style>
  <w:style w:type="paragraph" w:styleId="NormalWeb">
    <w:name w:val="Normal (Web)"/>
    <w:basedOn w:val="Normal"/>
    <w:uiPriority w:val="99"/>
    <w:semiHidden/>
    <w:unhideWhenUsed/>
    <w:rsid w:val="00CE3C9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48</cp:revision>
  <dcterms:created xsi:type="dcterms:W3CDTF">2026-08-13T15:37:00Z</dcterms:created>
  <dcterms:modified xsi:type="dcterms:W3CDTF">2026-08-13T16:03:00Z</dcterms:modified>
</cp:coreProperties>
</file>