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F178" w14:textId="77777777" w:rsidR="00C02315" w:rsidRPr="00476515" w:rsidRDefault="00C02315" w:rsidP="00476515">
      <w:pPr>
        <w:pStyle w:val="Heading1"/>
        <w:rPr>
          <w:rFonts w:ascii="Arial" w:hAnsi="Arial" w:cs="Arial"/>
          <w:b/>
          <w:bCs/>
          <w:color w:val="auto"/>
          <w:sz w:val="48"/>
          <w:szCs w:val="48"/>
        </w:rPr>
      </w:pPr>
      <w:r w:rsidRPr="00476515">
        <w:rPr>
          <w:rFonts w:ascii="Arial" w:hAnsi="Arial" w:cs="Arial"/>
          <w:b/>
          <w:bCs/>
          <w:color w:val="auto"/>
          <w:sz w:val="48"/>
          <w:szCs w:val="48"/>
        </w:rPr>
        <w:t>Could Alberta’s New Online Gambling Market Put More Pressure on Ontario Operators and Regulators?</w:t>
      </w:r>
    </w:p>
    <w:p w14:paraId="59CC60C8" w14:textId="77777777" w:rsidR="00C02315" w:rsidRPr="0035461D" w:rsidRDefault="00C02315" w:rsidP="00C02315">
      <w:pPr>
        <w:pStyle w:val="NormalWeb"/>
        <w:spacing w:before="0" w:beforeAutospacing="0" w:after="160" w:afterAutospacing="0"/>
      </w:pPr>
      <w:r w:rsidRPr="0035461D">
        <w:rPr>
          <w:color w:val="000000"/>
        </w:rPr>
        <w:t>Alberta’s regulated online gambling market has now been operating for almost two months - creating a new competitive market for Canadian operators but a new regulatory challenge for the country’s gambling industry.</w:t>
      </w:r>
    </w:p>
    <w:p w14:paraId="10A9D0D8" w14:textId="77777777" w:rsidR="00C02315" w:rsidRPr="0035461D" w:rsidRDefault="00C02315" w:rsidP="00C02315">
      <w:pPr>
        <w:pStyle w:val="NormalWeb"/>
        <w:spacing w:before="0" w:beforeAutospacing="0" w:after="160" w:afterAutospacing="0"/>
      </w:pPr>
      <w:r w:rsidRPr="0035461D">
        <w:rPr>
          <w:color w:val="000000"/>
        </w:rPr>
        <w:t>For context purposes, the Alberta iGaming market officially launched on July 13, 2026, making the province the second in Canada (after Ontario) to allow private operators to provide regulated online casino and sports betting services.</w:t>
      </w:r>
    </w:p>
    <w:p w14:paraId="5DBDAF6E" w14:textId="77777777" w:rsidR="00C02315" w:rsidRPr="0035461D" w:rsidRDefault="00C02315" w:rsidP="00C02315">
      <w:pPr>
        <w:pStyle w:val="NormalWeb"/>
        <w:spacing w:before="0" w:beforeAutospacing="0" w:after="160" w:afterAutospacing="0"/>
      </w:pPr>
      <w:r w:rsidRPr="0035461D">
        <w:rPr>
          <w:color w:val="000000"/>
        </w:rPr>
        <w:t>The timing is especially significant for Ontario, given that the market has continued to expand - the arrival of Alberta provides major operators with another province to target while providing regulators with a second model to compare.</w:t>
      </w:r>
    </w:p>
    <w:p w14:paraId="50FFFB4E" w14:textId="77777777" w:rsidR="00C02315" w:rsidRPr="00476515" w:rsidRDefault="00C02315" w:rsidP="00476515">
      <w:pPr>
        <w:pStyle w:val="Heading2"/>
        <w:rPr>
          <w:rFonts w:ascii="Arial" w:hAnsi="Arial" w:cs="Arial"/>
          <w:b/>
          <w:bCs/>
          <w:color w:val="auto"/>
          <w:sz w:val="36"/>
          <w:szCs w:val="36"/>
        </w:rPr>
      </w:pPr>
      <w:r w:rsidRPr="00476515">
        <w:rPr>
          <w:rFonts w:ascii="Arial" w:hAnsi="Arial" w:cs="Arial"/>
          <w:b/>
          <w:bCs/>
          <w:color w:val="auto"/>
          <w:sz w:val="36"/>
          <w:szCs w:val="36"/>
        </w:rPr>
        <w:t>Alberta Creates a New Competitive Market</w:t>
      </w:r>
    </w:p>
    <w:p w14:paraId="0758D234" w14:textId="77777777" w:rsidR="00C02315" w:rsidRPr="0035461D" w:rsidRDefault="00C02315" w:rsidP="00C02315">
      <w:pPr>
        <w:pStyle w:val="NormalWeb"/>
        <w:spacing w:before="0" w:beforeAutospacing="0" w:after="160" w:afterAutospacing="0"/>
      </w:pPr>
      <w:r w:rsidRPr="0035461D">
        <w:rPr>
          <w:color w:val="000000"/>
        </w:rPr>
        <w:t>Alberta entered the market with 22 operator sites live on launch day - plus the government-owned Play Alberta platform. More than 50 online sports betting and casino sites have received licensing approval, according to launch reporting.</w:t>
      </w:r>
    </w:p>
    <w:p w14:paraId="7584D9D2" w14:textId="77777777" w:rsidR="00C02315" w:rsidRPr="0035461D" w:rsidRDefault="00C02315" w:rsidP="00C02315">
      <w:pPr>
        <w:pStyle w:val="NormalWeb"/>
        <w:spacing w:before="0" w:beforeAutospacing="0" w:after="160" w:afterAutospacing="0"/>
      </w:pPr>
      <w:r w:rsidRPr="0035461D">
        <w:rPr>
          <w:color w:val="000000"/>
        </w:rPr>
        <w:t>The market is overseen through a two-part structure. The Alberta iGaming Corporation manages the commercial aspects of relationships with operators and suppliers, while the Alberta Gaming Liquor and Cannabis Commission regulates the market.</w:t>
      </w:r>
    </w:p>
    <w:p w14:paraId="04A551B1" w14:textId="77777777" w:rsidR="00C02315" w:rsidRPr="0035461D" w:rsidRDefault="00C02315" w:rsidP="00C02315">
      <w:pPr>
        <w:pStyle w:val="NormalWeb"/>
        <w:spacing w:before="0" w:beforeAutospacing="0" w:after="160" w:afterAutospacing="0"/>
      </w:pPr>
      <w:r w:rsidRPr="0035461D">
        <w:rPr>
          <w:color w:val="000000"/>
        </w:rPr>
        <w:t>This is somewhat similar to Ontario’s system - where iGaming Ontario manages commercial relationships with private operators while the Alcohol and Gaming Commission of Ontario handles regulatory oversight.</w:t>
      </w:r>
    </w:p>
    <w:p w14:paraId="553BA547" w14:textId="77777777" w:rsidR="00C02315" w:rsidRPr="0035461D" w:rsidRDefault="00C02315" w:rsidP="00C02315">
      <w:pPr>
        <w:pStyle w:val="NormalWeb"/>
        <w:spacing w:before="0" w:beforeAutospacing="0" w:after="160" w:afterAutospacing="0"/>
      </w:pPr>
      <w:r w:rsidRPr="0035461D">
        <w:rPr>
          <w:color w:val="000000"/>
        </w:rPr>
        <w:t>The government estimates that unregulated operators previously took up around 70% of the province’s total iGaming market. Bringing some of that activity into the regulated websites is thus a major objective of this framework.</w:t>
      </w:r>
    </w:p>
    <w:p w14:paraId="6C40748D" w14:textId="77777777" w:rsidR="00C02315" w:rsidRPr="00476515" w:rsidRDefault="00C02315" w:rsidP="00476515">
      <w:pPr>
        <w:pStyle w:val="Heading2"/>
        <w:rPr>
          <w:rFonts w:ascii="Arial" w:hAnsi="Arial" w:cs="Arial"/>
          <w:b/>
          <w:bCs/>
          <w:color w:val="auto"/>
          <w:sz w:val="36"/>
          <w:szCs w:val="36"/>
        </w:rPr>
      </w:pPr>
      <w:r w:rsidRPr="00476515">
        <w:rPr>
          <w:rFonts w:ascii="Arial" w:hAnsi="Arial" w:cs="Arial"/>
          <w:b/>
          <w:bCs/>
          <w:color w:val="auto"/>
          <w:sz w:val="36"/>
          <w:szCs w:val="36"/>
        </w:rPr>
        <w:t>Ontario Operators Face More Competition</w:t>
      </w:r>
    </w:p>
    <w:p w14:paraId="7FC4244E" w14:textId="77777777" w:rsidR="00C02315" w:rsidRPr="0035461D" w:rsidRDefault="00C02315" w:rsidP="00C02315">
      <w:pPr>
        <w:pStyle w:val="NormalWeb"/>
        <w:spacing w:before="0" w:beforeAutospacing="0" w:after="160" w:afterAutospacing="0"/>
      </w:pPr>
      <w:r w:rsidRPr="0035461D">
        <w:rPr>
          <w:color w:val="000000"/>
        </w:rPr>
        <w:t>While Ontario remains the larger and better-established market, Alberta gives operators another large Canadian audience. As of September 1, 2026,  iGaming Ontario listed 49 operators and 84 gaming websites within the province.</w:t>
      </w:r>
    </w:p>
    <w:p w14:paraId="22B1B182" w14:textId="77777777" w:rsidR="00C02315" w:rsidRPr="0035461D" w:rsidRDefault="00C02315" w:rsidP="00C02315">
      <w:pPr>
        <w:pStyle w:val="NormalWeb"/>
        <w:spacing w:before="0" w:beforeAutospacing="0" w:after="160" w:afterAutospacing="0"/>
      </w:pPr>
      <w:r w:rsidRPr="0035461D">
        <w:rPr>
          <w:color w:val="000000"/>
        </w:rPr>
        <w:t>Such competition means that those already active in Ontario must now consider how to invest in Alberta. Each element - marketing, technology, customer support, compliance systems and game portfolios - requires resources. For some companies, Alberta presents room for expansion. That said, for others, the cost of competing in two regulated markets could increase pressure on margins.</w:t>
      </w:r>
    </w:p>
    <w:p w14:paraId="15F394BB" w14:textId="77777777" w:rsidR="00C02315" w:rsidRPr="0035461D" w:rsidRDefault="00C02315" w:rsidP="00C02315">
      <w:pPr>
        <w:pStyle w:val="NormalWeb"/>
        <w:spacing w:before="0" w:beforeAutospacing="0" w:after="160" w:afterAutospacing="0"/>
      </w:pPr>
      <w:r w:rsidRPr="0035461D">
        <w:rPr>
          <w:color w:val="000000"/>
        </w:rPr>
        <w:lastRenderedPageBreak/>
        <w:t>The competitive effect could also extend to suppliers. Game studios, sportsbook technology companies and payment providers now have another regulated market in which their products can be deployed. That is likely to encourage suppliers to build products that meet requirements across both provinces.</w:t>
      </w:r>
    </w:p>
    <w:p w14:paraId="3C9D8EDE" w14:textId="77777777" w:rsidR="00C02315" w:rsidRPr="00476515" w:rsidRDefault="00C02315" w:rsidP="00476515">
      <w:pPr>
        <w:pStyle w:val="Heading2"/>
        <w:rPr>
          <w:rFonts w:ascii="Arial" w:hAnsi="Arial" w:cs="Arial"/>
          <w:b/>
          <w:bCs/>
          <w:color w:val="auto"/>
          <w:sz w:val="36"/>
          <w:szCs w:val="36"/>
        </w:rPr>
      </w:pPr>
      <w:r w:rsidRPr="00476515">
        <w:rPr>
          <w:rFonts w:ascii="Arial" w:hAnsi="Arial" w:cs="Arial"/>
          <w:b/>
          <w:bCs/>
          <w:color w:val="auto"/>
          <w:sz w:val="36"/>
          <w:szCs w:val="36"/>
        </w:rPr>
        <w:t>Ontario’s Market Is Still Growing</w:t>
      </w:r>
    </w:p>
    <w:p w14:paraId="037EB8B0" w14:textId="77777777" w:rsidR="00C02315" w:rsidRPr="0035461D" w:rsidRDefault="00C02315" w:rsidP="00C02315">
      <w:pPr>
        <w:pStyle w:val="NormalWeb"/>
        <w:spacing w:before="0" w:beforeAutospacing="0" w:after="160" w:afterAutospacing="0"/>
      </w:pPr>
      <w:r w:rsidRPr="0035461D">
        <w:rPr>
          <w:color w:val="000000"/>
        </w:rPr>
        <w:t>The evidence suggests that Alberta's market launch has not yet weakened Ontario’s market.</w:t>
      </w:r>
    </w:p>
    <w:p w14:paraId="2F7FE9D7" w14:textId="77777777" w:rsidR="00C02315" w:rsidRPr="0035461D" w:rsidRDefault="00C02315" w:rsidP="00C02315">
      <w:pPr>
        <w:pStyle w:val="NormalWeb"/>
        <w:spacing w:before="0" w:beforeAutospacing="0" w:after="160" w:afterAutospacing="0"/>
      </w:pPr>
      <w:r w:rsidRPr="0035461D">
        <w:rPr>
          <w:color w:val="000000"/>
        </w:rPr>
        <w:t>Ontario recorded $9.88 billion in total wagers in July 2026 - the highest total for the market since its launch in April 2022, according to reporting on the latest iGaming Ontario figures.</w:t>
      </w:r>
    </w:p>
    <w:p w14:paraId="593AB5E5" w14:textId="77777777" w:rsidR="00C02315" w:rsidRPr="0035461D" w:rsidRDefault="00C02315" w:rsidP="00C02315">
      <w:pPr>
        <w:pStyle w:val="NormalWeb"/>
        <w:spacing w:before="0" w:beforeAutospacing="0" w:after="160" w:afterAutospacing="0"/>
      </w:pPr>
      <w:r w:rsidRPr="0035461D">
        <w:rPr>
          <w:color w:val="000000"/>
        </w:rPr>
        <w:t>The province’s market is also becoming more crowded. iGaming Ontario\s latest operator directory shows that the number of operators reached 49 by September 1 – compared with 50 operators and 83 gambling websites recorded during the 3</w:t>
      </w:r>
      <w:r w:rsidRPr="0035461D">
        <w:rPr>
          <w:color w:val="000000"/>
          <w:vertAlign w:val="superscript"/>
        </w:rPr>
        <w:t>rd</w:t>
      </w:r>
      <w:r w:rsidRPr="0035461D">
        <w:rPr>
          <w:color w:val="000000"/>
        </w:rPr>
        <w:t xml:space="preserve"> quarter of fiscal 2024-25.</w:t>
      </w:r>
    </w:p>
    <w:p w14:paraId="3C60F566" w14:textId="77777777" w:rsidR="00C02315" w:rsidRPr="0035461D" w:rsidRDefault="00C02315" w:rsidP="00C02315">
      <w:pPr>
        <w:pStyle w:val="NormalWeb"/>
        <w:spacing w:before="0" w:beforeAutospacing="0" w:after="160" w:afterAutospacing="0"/>
      </w:pPr>
      <w:r w:rsidRPr="0035461D">
        <w:rPr>
          <w:color w:val="000000"/>
        </w:rPr>
        <w:t>Casino gambling continues to represent the largest part of Ontario’s regulated market. As a matter of fact, Casino games generated $18.9 billion in wagers, or 83% of total wagers. That said, betting accounted for $3.4 billion or 15%. These figures highlight why Ontario remains so important even as Alberta develops its own market.</w:t>
      </w:r>
    </w:p>
    <w:p w14:paraId="6EB31069" w14:textId="77777777" w:rsidR="00C02315" w:rsidRPr="00476515" w:rsidRDefault="00C02315" w:rsidP="00476515">
      <w:pPr>
        <w:pStyle w:val="Heading2"/>
        <w:rPr>
          <w:rFonts w:ascii="Arial" w:hAnsi="Arial" w:cs="Arial"/>
          <w:b/>
          <w:bCs/>
          <w:color w:val="auto"/>
          <w:sz w:val="36"/>
          <w:szCs w:val="36"/>
        </w:rPr>
      </w:pPr>
      <w:r w:rsidRPr="00476515">
        <w:rPr>
          <w:rFonts w:ascii="Arial" w:hAnsi="Arial" w:cs="Arial"/>
          <w:b/>
          <w:bCs/>
          <w:color w:val="auto"/>
          <w:sz w:val="36"/>
          <w:szCs w:val="36"/>
        </w:rPr>
        <w:t>Could Regulation Become the Bigger Challenge?</w:t>
      </w:r>
    </w:p>
    <w:p w14:paraId="66897B7C" w14:textId="77777777" w:rsidR="00C02315" w:rsidRPr="0035461D" w:rsidRDefault="00C02315" w:rsidP="00C02315">
      <w:pPr>
        <w:pStyle w:val="NormalWeb"/>
        <w:spacing w:before="0" w:beforeAutospacing="0" w:after="160" w:afterAutospacing="0"/>
      </w:pPr>
      <w:r w:rsidRPr="0035461D">
        <w:rPr>
          <w:color w:val="000000"/>
        </w:rPr>
        <w:t>The main pressure may not come from competition alone. Alberta’s launch offers regulators yet another market where responsible gambling, compliance, advertising and consumer protection policies will be tested.</w:t>
      </w:r>
    </w:p>
    <w:p w14:paraId="43534141" w14:textId="77777777" w:rsidR="00C02315" w:rsidRPr="0035461D" w:rsidRDefault="00C02315" w:rsidP="00C02315">
      <w:pPr>
        <w:pStyle w:val="NormalWeb"/>
        <w:spacing w:before="0" w:beforeAutospacing="0" w:after="160" w:afterAutospacing="0"/>
      </w:pPr>
      <w:r w:rsidRPr="0035461D">
        <w:rPr>
          <w:color w:val="000000"/>
        </w:rPr>
        <w:t>Ontario had spent well over four years creating its regulatory framework - Alberta benefits from that experience while Ontario observes how Alberta’s approach to channelization and player protection develops.</w:t>
      </w:r>
    </w:p>
    <w:p w14:paraId="6BFB2218" w14:textId="77777777" w:rsidR="00C02315" w:rsidRPr="0035461D" w:rsidRDefault="00C02315" w:rsidP="00C02315">
      <w:pPr>
        <w:pStyle w:val="NormalWeb"/>
        <w:spacing w:before="0" w:beforeAutospacing="0" w:after="160" w:afterAutospacing="0"/>
      </w:pPr>
      <w:r w:rsidRPr="0035461D">
        <w:rPr>
          <w:color w:val="000000"/>
        </w:rPr>
        <w:t>Alberta is allocating 80% of net iGaming revenue to operators, with the remainder going to the government - an additional 3% of gross gaming revenue allocated to First Nations and social responsibility funding.</w:t>
      </w:r>
    </w:p>
    <w:p w14:paraId="1C57D780" w14:textId="77777777" w:rsidR="00C02315" w:rsidRPr="0035461D" w:rsidRDefault="00C02315" w:rsidP="00C02315">
      <w:pPr>
        <w:pStyle w:val="NormalWeb"/>
        <w:spacing w:before="0" w:beforeAutospacing="0" w:after="160" w:afterAutospacing="0"/>
      </w:pPr>
      <w:r w:rsidRPr="0035461D">
        <w:rPr>
          <w:color w:val="000000"/>
        </w:rPr>
        <w:t>The two Canadian provinces may thus continue to compare approaches to taxation, advertising, responsible gambling and enforcement. For Ontario’s regulators, Alberta’s developments suggest continued pressure to uphold strong standards without making the province less attractive to licensed operators.</w:t>
      </w:r>
    </w:p>
    <w:p w14:paraId="70F308D0" w14:textId="77777777" w:rsidR="00C02315" w:rsidRPr="00476515" w:rsidRDefault="00C02315" w:rsidP="00476515">
      <w:pPr>
        <w:pStyle w:val="Heading2"/>
        <w:rPr>
          <w:rFonts w:ascii="Arial" w:hAnsi="Arial" w:cs="Arial"/>
          <w:b/>
          <w:bCs/>
          <w:color w:val="auto"/>
          <w:sz w:val="36"/>
          <w:szCs w:val="36"/>
        </w:rPr>
      </w:pPr>
      <w:r w:rsidRPr="00476515">
        <w:rPr>
          <w:rFonts w:ascii="Arial" w:hAnsi="Arial" w:cs="Arial"/>
          <w:b/>
          <w:bCs/>
          <w:color w:val="auto"/>
          <w:sz w:val="36"/>
          <w:szCs w:val="36"/>
        </w:rPr>
        <w:t>What Alberta Means for Ontario Players and Operators</w:t>
      </w:r>
    </w:p>
    <w:p w14:paraId="195D19E4" w14:textId="4518F9FB" w:rsidR="00C02315" w:rsidRPr="0035461D" w:rsidRDefault="00C02315" w:rsidP="00C02315">
      <w:pPr>
        <w:pStyle w:val="NormalWeb"/>
        <w:spacing w:before="0" w:beforeAutospacing="0" w:after="160" w:afterAutospacing="0"/>
      </w:pPr>
      <w:r w:rsidRPr="0035461D">
        <w:rPr>
          <w:color w:val="000000"/>
        </w:rPr>
        <w:t>For players in Alberta, the entry does not immediately mean a change to Ontario gambling rules. Ontario players will continue within their regulated market - using only websites listed by iGaming Ontario.</w:t>
      </w:r>
      <w:r w:rsidR="00EE70C9">
        <w:t xml:space="preserve"> However, </w:t>
      </w:r>
      <w:r w:rsidR="00EE70C9">
        <w:rPr>
          <w:color w:val="000000"/>
        </w:rPr>
        <w:t>f</w:t>
      </w:r>
      <w:r w:rsidRPr="0035461D">
        <w:rPr>
          <w:color w:val="000000"/>
        </w:rPr>
        <w:t>or operators, Canada’s online gambling sector has changed permanently. Ontario is no longer the nation’s only (major) competitive market.</w:t>
      </w:r>
    </w:p>
    <w:p w14:paraId="23B6FC86" w14:textId="77777777" w:rsidR="00C02315" w:rsidRPr="0035461D" w:rsidRDefault="00C02315" w:rsidP="00C02315">
      <w:pPr>
        <w:pStyle w:val="NormalWeb"/>
        <w:spacing w:before="0" w:beforeAutospacing="0" w:after="160" w:afterAutospacing="0"/>
      </w:pPr>
      <w:r w:rsidRPr="0035461D">
        <w:rPr>
          <w:color w:val="000000"/>
        </w:rPr>
        <w:t>The likely result is greater competition for customers, technology and investment. It could also produce stronger regulatory expectations as Ontario and Alberta develop two different approaches to the same challenges.</w:t>
      </w:r>
    </w:p>
    <w:p w14:paraId="3E02591A" w14:textId="77777777" w:rsidR="00C02315" w:rsidRDefault="00C02315" w:rsidP="00C02315">
      <w:pPr>
        <w:pStyle w:val="NormalWeb"/>
        <w:spacing w:before="0" w:beforeAutospacing="0" w:after="160" w:afterAutospacing="0"/>
        <w:rPr>
          <w:color w:val="000000"/>
        </w:rPr>
      </w:pPr>
      <w:r w:rsidRPr="0035461D">
        <w:rPr>
          <w:color w:val="000000"/>
        </w:rPr>
        <w:lastRenderedPageBreak/>
        <w:t>As of September 12, 2026, Alberta’s market is still too new to determine if it will materially reduce Ontario’s market share. The arrival of the second market, however, provides more opportunities for operators - and more reasons to scrutinize the developing Canadian online gambling industry.</w:t>
      </w:r>
    </w:p>
    <w:p w14:paraId="315F0B35" w14:textId="77777777" w:rsidR="00120595" w:rsidRPr="0035461D" w:rsidRDefault="00120595" w:rsidP="00C02315">
      <w:pPr>
        <w:pStyle w:val="NormalWeb"/>
        <w:spacing w:before="0" w:beforeAutospacing="0" w:after="160" w:afterAutospacing="0"/>
      </w:pPr>
    </w:p>
    <w:p w14:paraId="13D93D90" w14:textId="76D2ED09" w:rsidR="004952DD" w:rsidRPr="0035461D" w:rsidRDefault="00120595">
      <w:r>
        <w:rPr>
          <w:noProof/>
        </w:rPr>
        <w:drawing>
          <wp:inline distT="0" distB="0" distL="0" distR="0" wp14:anchorId="14DC72ED" wp14:editId="75727125">
            <wp:extent cx="5943600" cy="3341370"/>
            <wp:effectExtent l="0" t="0" r="0" b="0"/>
            <wp:docPr id="799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5251" name=""/>
                    <pic:cNvPicPr/>
                  </pic:nvPicPr>
                  <pic:blipFill>
                    <a:blip r:embed="rId4"/>
                    <a:stretch>
                      <a:fillRect/>
                    </a:stretch>
                  </pic:blipFill>
                  <pic:spPr>
                    <a:xfrm>
                      <a:off x="0" y="0"/>
                      <a:ext cx="5943600" cy="3341370"/>
                    </a:xfrm>
                    <a:prstGeom prst="rect">
                      <a:avLst/>
                    </a:prstGeom>
                  </pic:spPr>
                </pic:pic>
              </a:graphicData>
            </a:graphic>
          </wp:inline>
        </w:drawing>
      </w:r>
    </w:p>
    <w:sectPr w:rsidR="004952DD" w:rsidRPr="003546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15"/>
    <w:rsid w:val="00120595"/>
    <w:rsid w:val="001D2DDD"/>
    <w:rsid w:val="0035461D"/>
    <w:rsid w:val="00476515"/>
    <w:rsid w:val="004952DD"/>
    <w:rsid w:val="00680E43"/>
    <w:rsid w:val="007A766A"/>
    <w:rsid w:val="00A14760"/>
    <w:rsid w:val="00A342E3"/>
    <w:rsid w:val="00A92FD5"/>
    <w:rsid w:val="00B5745F"/>
    <w:rsid w:val="00C02315"/>
    <w:rsid w:val="00E43B87"/>
    <w:rsid w:val="00EE7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6B4B"/>
  <w15:chartTrackingRefBased/>
  <w15:docId w15:val="{3905A8B6-2251-4C96-B773-F3B15D2EE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2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2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315"/>
    <w:rPr>
      <w:rFonts w:eastAsiaTheme="majorEastAsia" w:cstheme="majorBidi"/>
      <w:color w:val="272727" w:themeColor="text1" w:themeTint="D8"/>
    </w:rPr>
  </w:style>
  <w:style w:type="paragraph" w:styleId="Title">
    <w:name w:val="Title"/>
    <w:basedOn w:val="Normal"/>
    <w:next w:val="Normal"/>
    <w:link w:val="TitleChar"/>
    <w:uiPriority w:val="10"/>
    <w:qFormat/>
    <w:rsid w:val="00C02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315"/>
    <w:pPr>
      <w:spacing w:before="160"/>
      <w:jc w:val="center"/>
    </w:pPr>
    <w:rPr>
      <w:i/>
      <w:iCs/>
      <w:color w:val="404040" w:themeColor="text1" w:themeTint="BF"/>
    </w:rPr>
  </w:style>
  <w:style w:type="character" w:customStyle="1" w:styleId="QuoteChar">
    <w:name w:val="Quote Char"/>
    <w:basedOn w:val="DefaultParagraphFont"/>
    <w:link w:val="Quote"/>
    <w:uiPriority w:val="29"/>
    <w:rsid w:val="00C02315"/>
    <w:rPr>
      <w:i/>
      <w:iCs/>
      <w:color w:val="404040" w:themeColor="text1" w:themeTint="BF"/>
    </w:rPr>
  </w:style>
  <w:style w:type="paragraph" w:styleId="ListParagraph">
    <w:name w:val="List Paragraph"/>
    <w:basedOn w:val="Normal"/>
    <w:uiPriority w:val="34"/>
    <w:qFormat/>
    <w:rsid w:val="00C02315"/>
    <w:pPr>
      <w:ind w:left="720"/>
      <w:contextualSpacing/>
    </w:pPr>
  </w:style>
  <w:style w:type="character" w:styleId="IntenseEmphasis">
    <w:name w:val="Intense Emphasis"/>
    <w:basedOn w:val="DefaultParagraphFont"/>
    <w:uiPriority w:val="21"/>
    <w:qFormat/>
    <w:rsid w:val="00C02315"/>
    <w:rPr>
      <w:i/>
      <w:iCs/>
      <w:color w:val="2F5496" w:themeColor="accent1" w:themeShade="BF"/>
    </w:rPr>
  </w:style>
  <w:style w:type="paragraph" w:styleId="IntenseQuote">
    <w:name w:val="Intense Quote"/>
    <w:basedOn w:val="Normal"/>
    <w:next w:val="Normal"/>
    <w:link w:val="IntenseQuoteChar"/>
    <w:uiPriority w:val="30"/>
    <w:qFormat/>
    <w:rsid w:val="00C02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315"/>
    <w:rPr>
      <w:i/>
      <w:iCs/>
      <w:color w:val="2F5496" w:themeColor="accent1" w:themeShade="BF"/>
    </w:rPr>
  </w:style>
  <w:style w:type="character" w:styleId="IntenseReference">
    <w:name w:val="Intense Reference"/>
    <w:basedOn w:val="DefaultParagraphFont"/>
    <w:uiPriority w:val="32"/>
    <w:qFormat/>
    <w:rsid w:val="00C02315"/>
    <w:rPr>
      <w:b/>
      <w:bCs/>
      <w:smallCaps/>
      <w:color w:val="2F5496" w:themeColor="accent1" w:themeShade="BF"/>
      <w:spacing w:val="5"/>
    </w:rPr>
  </w:style>
  <w:style w:type="paragraph" w:styleId="NormalWeb">
    <w:name w:val="Normal (Web)"/>
    <w:basedOn w:val="Normal"/>
    <w:uiPriority w:val="99"/>
    <w:semiHidden/>
    <w:unhideWhenUsed/>
    <w:rsid w:val="00C023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24</cp:revision>
  <dcterms:created xsi:type="dcterms:W3CDTF">2026-09-12T18:34:00Z</dcterms:created>
  <dcterms:modified xsi:type="dcterms:W3CDTF">2026-09-12T19:11:00Z</dcterms:modified>
</cp:coreProperties>
</file>