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5A86" w14:textId="77777777" w:rsidR="000F4D15" w:rsidRPr="003134EA" w:rsidRDefault="000F4D15" w:rsidP="003134EA">
      <w:pPr>
        <w:pStyle w:val="Heading1"/>
        <w:rPr>
          <w:rFonts w:ascii="Arial" w:hAnsi="Arial" w:cs="Arial"/>
          <w:b/>
          <w:bCs/>
          <w:color w:val="auto"/>
          <w:sz w:val="48"/>
          <w:szCs w:val="48"/>
        </w:rPr>
      </w:pPr>
      <w:r w:rsidRPr="003134EA">
        <w:rPr>
          <w:rFonts w:ascii="Arial" w:hAnsi="Arial" w:cs="Arial"/>
          <w:b/>
          <w:bCs/>
          <w:color w:val="auto"/>
          <w:sz w:val="48"/>
          <w:szCs w:val="48"/>
        </w:rPr>
        <w:t>Ontario Sports Betting vs Online Casino: How Gambling Trends Are Shifting Across the Province in 2026</w:t>
      </w:r>
    </w:p>
    <w:p w14:paraId="5BA1A4B7" w14:textId="77777777" w:rsidR="000F4D15" w:rsidRPr="009615FA" w:rsidRDefault="000F4D15" w:rsidP="000F4D15">
      <w:pPr>
        <w:pStyle w:val="NormalWeb"/>
        <w:spacing w:before="0" w:beforeAutospacing="0" w:after="160" w:afterAutospacing="0"/>
      </w:pPr>
      <w:r w:rsidRPr="009615FA">
        <w:rPr>
          <w:color w:val="000000"/>
        </w:rPr>
        <w:t>Ontario’s regulated online gambling market is expanding in 2026 - with online casinos continuing to account for a much larger share of activity than sports betting. Sports wagering remains an important part of the market – especially during major sporting events – while casino games generate most of Ontario’s online wagers and gaming revenue.</w:t>
      </w:r>
    </w:p>
    <w:p w14:paraId="6338D8BF" w14:textId="77777777" w:rsidR="000F4D15" w:rsidRPr="009615FA" w:rsidRDefault="000F4D15" w:rsidP="000F4D15">
      <w:pPr>
        <w:pStyle w:val="NormalWeb"/>
        <w:spacing w:before="0" w:beforeAutospacing="0" w:after="160" w:afterAutospacing="0"/>
      </w:pPr>
      <w:r w:rsidRPr="009615FA">
        <w:rPr>
          <w:color w:val="000000"/>
        </w:rPr>
        <w:t>As of September 1, 2026, Ontario’s regulated market features 49 operators and 84 gaming websites - according to iGaming Ontario. The market features online casinos, sports betting, poker, bingo, and betting exchanges.</w:t>
      </w:r>
    </w:p>
    <w:p w14:paraId="16DFF02E" w14:textId="77777777" w:rsidR="000F4D15" w:rsidRPr="003134EA" w:rsidRDefault="000F4D15" w:rsidP="003134EA">
      <w:pPr>
        <w:pStyle w:val="Heading2"/>
        <w:rPr>
          <w:rFonts w:ascii="Arial" w:hAnsi="Arial" w:cs="Arial"/>
          <w:b/>
          <w:bCs/>
          <w:color w:val="auto"/>
          <w:sz w:val="36"/>
          <w:szCs w:val="36"/>
        </w:rPr>
      </w:pPr>
      <w:r w:rsidRPr="003134EA">
        <w:rPr>
          <w:rFonts w:ascii="Arial" w:hAnsi="Arial" w:cs="Arial"/>
          <w:b/>
          <w:bCs/>
          <w:color w:val="auto"/>
          <w:sz w:val="36"/>
          <w:szCs w:val="36"/>
        </w:rPr>
        <w:t>Online Casino Still Leads Ontario's Gambling Market</w:t>
      </w:r>
    </w:p>
    <w:p w14:paraId="352CFAF2" w14:textId="742F4CF4" w:rsidR="000F4D15" w:rsidRPr="009615FA" w:rsidRDefault="000F4D15" w:rsidP="000F4D15">
      <w:pPr>
        <w:pStyle w:val="NormalWeb"/>
        <w:spacing w:before="0" w:beforeAutospacing="0" w:after="160" w:afterAutospacing="0"/>
      </w:pPr>
      <w:r w:rsidRPr="009615FA">
        <w:rPr>
          <w:color w:val="000000"/>
        </w:rPr>
        <w:t>The latest available iGaming Ontario market data reveals a clear difference between casino and betting activity.</w:t>
      </w:r>
      <w:r w:rsidR="009E2F55">
        <w:t xml:space="preserve"> </w:t>
      </w:r>
      <w:r w:rsidRPr="009615FA">
        <w:rPr>
          <w:color w:val="000000"/>
        </w:rPr>
        <w:t>In the third quarter of fiscal 2024-25,casino games generated $18.9 billion in wagers - representing 83% of total wagers. Casino products also generated approximately $644 million in gaming revenue - 78% of the market total.</w:t>
      </w:r>
    </w:p>
    <w:p w14:paraId="1BE630A9" w14:textId="77777777" w:rsidR="009E2F55" w:rsidRDefault="000F4D15" w:rsidP="000F4D15">
      <w:pPr>
        <w:pStyle w:val="NormalWeb"/>
        <w:spacing w:before="0" w:beforeAutospacing="0" w:after="160" w:afterAutospacing="0"/>
        <w:rPr>
          <w:color w:val="000000"/>
        </w:rPr>
      </w:pPr>
      <w:r w:rsidRPr="009615FA">
        <w:rPr>
          <w:color w:val="000000"/>
        </w:rPr>
        <w:t xml:space="preserve">That category included slots, live casino games, computer-based table games, and peer-to-peer bingo. Betting activity - including sports, esports, proposition and novelty bets, and exchange betting - generated $3.4 billion in wagers during this quarter. </w:t>
      </w:r>
    </w:p>
    <w:p w14:paraId="19A3DEE6" w14:textId="05F5AC3A" w:rsidR="000F4D15" w:rsidRPr="009615FA" w:rsidRDefault="000F4D15" w:rsidP="000F4D15">
      <w:pPr>
        <w:pStyle w:val="NormalWeb"/>
        <w:spacing w:before="0" w:beforeAutospacing="0" w:after="160" w:afterAutospacing="0"/>
      </w:pPr>
      <w:r w:rsidRPr="009615FA">
        <w:rPr>
          <w:color w:val="000000"/>
        </w:rPr>
        <w:t>This represented around 15% of total wagers within the market. Betting generated $166 million in gaming revenue - roughly 20% of total. Such figures indicate that sports betting has indeed become an established part of Ontario’s regulated gambling market. However, online casino remains the dominant product category</w:t>
      </w:r>
      <w:r w:rsidR="007A7698">
        <w:rPr>
          <w:color w:val="000000"/>
        </w:rPr>
        <w:t>.</w:t>
      </w:r>
    </w:p>
    <w:p w14:paraId="3EAACDE2" w14:textId="77777777" w:rsidR="000F4D15" w:rsidRPr="003134EA" w:rsidRDefault="000F4D15" w:rsidP="003134EA">
      <w:pPr>
        <w:pStyle w:val="Heading2"/>
        <w:rPr>
          <w:rFonts w:ascii="Arial" w:hAnsi="Arial" w:cs="Arial"/>
          <w:b/>
          <w:bCs/>
          <w:color w:val="auto"/>
          <w:sz w:val="36"/>
          <w:szCs w:val="36"/>
        </w:rPr>
      </w:pPr>
      <w:r w:rsidRPr="003134EA">
        <w:rPr>
          <w:rFonts w:ascii="Arial" w:hAnsi="Arial" w:cs="Arial"/>
          <w:b/>
          <w:bCs/>
          <w:color w:val="auto"/>
          <w:sz w:val="36"/>
          <w:szCs w:val="36"/>
        </w:rPr>
        <w:t>Sports Betting Has a Different Growth Pattern</w:t>
      </w:r>
    </w:p>
    <w:p w14:paraId="39A93703" w14:textId="77777777" w:rsidR="000F4D15" w:rsidRPr="009615FA" w:rsidRDefault="000F4D15" w:rsidP="000F4D15">
      <w:pPr>
        <w:pStyle w:val="NormalWeb"/>
        <w:spacing w:before="0" w:beforeAutospacing="0" w:after="160" w:afterAutospacing="0"/>
      </w:pPr>
      <w:r w:rsidRPr="009615FA">
        <w:rPr>
          <w:color w:val="000000"/>
        </w:rPr>
        <w:t>Sports betting tends to behave differently from online casino gambling - the two are linked to sporting calendars. Major events draw interest in sports betting. Sports like football, hockey, basketball, baseball, or even international competitions all have an impact on wagering activity, while casino games are available throughout the year.</w:t>
      </w:r>
    </w:p>
    <w:p w14:paraId="2BB034C0" w14:textId="77777777" w:rsidR="000F4D15" w:rsidRPr="009615FA" w:rsidRDefault="000F4D15" w:rsidP="000F4D15">
      <w:pPr>
        <w:pStyle w:val="NormalWeb"/>
        <w:spacing w:before="0" w:beforeAutospacing="0" w:after="160" w:afterAutospacing="0"/>
      </w:pPr>
      <w:r w:rsidRPr="009615FA">
        <w:rPr>
          <w:color w:val="000000"/>
        </w:rPr>
        <w:t>Ontario’s regulated market gives users a growing range of betting products. The current operator directory features both traditional sports betting and betting exchanges, as well as casino offerings.</w:t>
      </w:r>
    </w:p>
    <w:p w14:paraId="21E4683E" w14:textId="77777777" w:rsidR="000F4D15" w:rsidRPr="009615FA" w:rsidRDefault="000F4D15" w:rsidP="000F4D15">
      <w:pPr>
        <w:pStyle w:val="NormalWeb"/>
        <w:spacing w:before="0" w:beforeAutospacing="0" w:after="160" w:afterAutospacing="0"/>
      </w:pPr>
      <w:r w:rsidRPr="009615FA">
        <w:rPr>
          <w:color w:val="000000"/>
        </w:rPr>
        <w:t>This distinction is important when looking at total wagers. A high handle does not necessarily mean sports betting has overtaken casino gambling in Ontario. As a matter of fact, published figures show that casino wagers overshadow betting wagers.</w:t>
      </w:r>
    </w:p>
    <w:p w14:paraId="527FD8BB" w14:textId="77777777" w:rsidR="000F4D15" w:rsidRPr="003134EA" w:rsidRDefault="000F4D15" w:rsidP="003134EA">
      <w:pPr>
        <w:pStyle w:val="Heading2"/>
        <w:rPr>
          <w:rFonts w:ascii="Arial" w:hAnsi="Arial" w:cs="Arial"/>
          <w:b/>
          <w:bCs/>
          <w:color w:val="auto"/>
          <w:sz w:val="36"/>
          <w:szCs w:val="36"/>
        </w:rPr>
      </w:pPr>
      <w:r w:rsidRPr="003134EA">
        <w:rPr>
          <w:rFonts w:ascii="Arial" w:hAnsi="Arial" w:cs="Arial"/>
          <w:b/>
          <w:bCs/>
          <w:color w:val="auto"/>
          <w:sz w:val="36"/>
          <w:szCs w:val="36"/>
        </w:rPr>
        <w:lastRenderedPageBreak/>
        <w:t>More Operators Are Competing for Ontario Players</w:t>
      </w:r>
    </w:p>
    <w:p w14:paraId="0DAA5F58" w14:textId="77777777" w:rsidR="000F4D15" w:rsidRPr="009615FA" w:rsidRDefault="000F4D15" w:rsidP="000F4D15">
      <w:pPr>
        <w:pStyle w:val="NormalWeb"/>
        <w:spacing w:before="0" w:beforeAutospacing="0" w:after="160" w:afterAutospacing="0"/>
      </w:pPr>
      <w:r w:rsidRPr="009615FA">
        <w:rPr>
          <w:color w:val="000000"/>
        </w:rPr>
        <w:t>Competition is another major feature of the Ontario gambling market in 2026. The September 1 directory showed 49 regulated operators and 84 gaming websites. Many offer both casino and sports betting, while others offer just one product.</w:t>
      </w:r>
    </w:p>
    <w:p w14:paraId="2FE26C4B" w14:textId="49FF0D4A" w:rsidR="000F4D15" w:rsidRPr="009615FA" w:rsidRDefault="000F4D15" w:rsidP="000F4D15">
      <w:pPr>
        <w:pStyle w:val="NormalWeb"/>
        <w:spacing w:before="0" w:beforeAutospacing="0" w:after="160" w:afterAutospacing="0"/>
      </w:pPr>
      <w:r w:rsidRPr="009615FA">
        <w:rPr>
          <w:color w:val="000000"/>
        </w:rPr>
        <w:t>The regulated directory includes operators that offer both casino and sports betting under the same brand - while other sites focus on either casino games or sports wagering.</w:t>
      </w:r>
      <w:r w:rsidR="009E2F55">
        <w:t xml:space="preserve"> </w:t>
      </w:r>
      <w:r w:rsidRPr="009615FA">
        <w:rPr>
          <w:color w:val="000000"/>
        </w:rPr>
        <w:t>Such factors indicate a market in which operators are competing in several different areas - game selection, sports markets, mobile products and payments tools, as well as responsible gambling offerings. It also means that consumers now have more choices than they did when Ontario’s regulated online gambling market launched in April 2022.</w:t>
      </w:r>
    </w:p>
    <w:p w14:paraId="1C6146F3" w14:textId="77777777" w:rsidR="000F4D15" w:rsidRPr="003134EA" w:rsidRDefault="000F4D15" w:rsidP="003134EA">
      <w:pPr>
        <w:pStyle w:val="Heading2"/>
        <w:rPr>
          <w:rFonts w:ascii="Arial" w:hAnsi="Arial" w:cs="Arial"/>
          <w:b/>
          <w:bCs/>
          <w:color w:val="auto"/>
          <w:sz w:val="36"/>
          <w:szCs w:val="36"/>
        </w:rPr>
      </w:pPr>
      <w:r w:rsidRPr="003134EA">
        <w:rPr>
          <w:rFonts w:ascii="Arial" w:hAnsi="Arial" w:cs="Arial"/>
          <w:b/>
          <w:bCs/>
          <w:color w:val="auto"/>
          <w:sz w:val="36"/>
          <w:szCs w:val="36"/>
        </w:rPr>
        <w:t>Why Casino and Sports Betting Trends Matter</w:t>
      </w:r>
    </w:p>
    <w:p w14:paraId="5AEB999D" w14:textId="77777777" w:rsidR="000F4D15" w:rsidRPr="009615FA" w:rsidRDefault="000F4D15" w:rsidP="000F4D15">
      <w:pPr>
        <w:pStyle w:val="NormalWeb"/>
        <w:spacing w:before="0" w:beforeAutospacing="0" w:after="160" w:afterAutospacing="0"/>
      </w:pPr>
      <w:r w:rsidRPr="009615FA">
        <w:rPr>
          <w:color w:val="000000"/>
        </w:rPr>
        <w:t>The difference between Ontario sports betting and online casino gambling is useful for understanding where the market’s revenue comes from. Casino products largely provide continuous gameplay – while sports betting is tied to events and schedules. Each one of them generates different player activity patterns.</w:t>
      </w:r>
    </w:p>
    <w:p w14:paraId="1B7104DD" w14:textId="77777777" w:rsidR="000F4D15" w:rsidRPr="009615FA" w:rsidRDefault="000F4D15" w:rsidP="000F4D15">
      <w:pPr>
        <w:pStyle w:val="NormalWeb"/>
        <w:spacing w:before="0" w:beforeAutospacing="0" w:after="160" w:afterAutospacing="0"/>
      </w:pPr>
      <w:r w:rsidRPr="009615FA">
        <w:rPr>
          <w:color w:val="000000"/>
        </w:rPr>
        <w:t>iGaming Ontario data helps to explain why those who wager need not be confused with gaming revenue. For distinction, gaming revenue is normally calculated from cash wagers and player winnings and does not represent an operator’s profit after expenses. The agency makes clear that these are unaudited figures that may require adjustment.</w:t>
      </w:r>
    </w:p>
    <w:p w14:paraId="59D44A2E" w14:textId="77777777" w:rsidR="000F4D15" w:rsidRPr="009615FA" w:rsidRDefault="000F4D15" w:rsidP="000F4D15">
      <w:pPr>
        <w:pStyle w:val="NormalWeb"/>
        <w:spacing w:before="0" w:beforeAutospacing="0" w:after="160" w:afterAutospacing="0"/>
      </w:pPr>
      <w:r w:rsidRPr="009615FA">
        <w:rPr>
          <w:color w:val="000000"/>
        </w:rPr>
        <w:t>It is also imperative to note that the number of active player accounts does not equate to the players gambling in the province. To put this into perspective, players can have accounts with multiple operators. Therefore, account figures will not automatically be treated as the number of players gambling in Ontario.</w:t>
      </w:r>
    </w:p>
    <w:p w14:paraId="402EB3E2" w14:textId="77777777" w:rsidR="000F4D15" w:rsidRPr="003134EA" w:rsidRDefault="000F4D15" w:rsidP="003134EA">
      <w:pPr>
        <w:pStyle w:val="Heading2"/>
        <w:rPr>
          <w:rFonts w:ascii="Arial" w:hAnsi="Arial" w:cs="Arial"/>
          <w:b/>
          <w:bCs/>
          <w:color w:val="auto"/>
          <w:sz w:val="36"/>
          <w:szCs w:val="36"/>
        </w:rPr>
      </w:pPr>
      <w:r w:rsidRPr="003134EA">
        <w:rPr>
          <w:rFonts w:ascii="Arial" w:hAnsi="Arial" w:cs="Arial"/>
          <w:b/>
          <w:bCs/>
          <w:color w:val="auto"/>
          <w:sz w:val="36"/>
          <w:szCs w:val="36"/>
        </w:rPr>
        <w:t>What Ontario's Gambling Market Could Look Like Next</w:t>
      </w:r>
    </w:p>
    <w:p w14:paraId="5AB7B187" w14:textId="77777777" w:rsidR="000F4D15" w:rsidRPr="009615FA" w:rsidRDefault="000F4D15" w:rsidP="000F4D15">
      <w:pPr>
        <w:pStyle w:val="NormalWeb"/>
        <w:spacing w:before="0" w:beforeAutospacing="0" w:after="160" w:afterAutospacing="0"/>
      </w:pPr>
      <w:r w:rsidRPr="009615FA">
        <w:rPr>
          <w:color w:val="000000"/>
        </w:rPr>
        <w:t>The available evidence points to sports betting as an important segment of Ontario’s online gambling market - but one with little indication of having come to displace online casino gambling as the leading market segment.</w:t>
      </w:r>
    </w:p>
    <w:p w14:paraId="54226C5F" w14:textId="77777777" w:rsidR="000F4D15" w:rsidRPr="009615FA" w:rsidRDefault="000F4D15" w:rsidP="000F4D15">
      <w:pPr>
        <w:pStyle w:val="NormalWeb"/>
        <w:spacing w:before="0" w:beforeAutospacing="0" w:after="160" w:afterAutospacing="0"/>
      </w:pPr>
      <w:r w:rsidRPr="009615FA">
        <w:rPr>
          <w:color w:val="000000"/>
        </w:rPr>
        <w:t>The two forms of gambling appear to be developing somewhat alongside each other - with casino gambling still seeing most wagers and revenues, while sports betting brings yet another major component of activity during busy sporting periods.</w:t>
      </w:r>
    </w:p>
    <w:p w14:paraId="47A45AAB" w14:textId="77777777" w:rsidR="000F4D15" w:rsidRPr="009615FA" w:rsidRDefault="000F4D15" w:rsidP="000F4D15">
      <w:pPr>
        <w:pStyle w:val="NormalWeb"/>
        <w:spacing w:before="0" w:beforeAutospacing="0" w:after="160" w:afterAutospacing="0"/>
      </w:pPr>
      <w:r w:rsidRPr="009615FA">
        <w:rPr>
          <w:color w:val="000000"/>
        </w:rPr>
        <w:t>The continued arrival of gaming operators suggests competition will remain high within the market. With 84 regulated gaming websites available as of September 1st, consumers have more options - and operators must maintain compliant, competitive, and responsible gambling services.</w:t>
      </w:r>
    </w:p>
    <w:p w14:paraId="07372A04" w14:textId="77777777" w:rsidR="000F4D15" w:rsidRDefault="000F4D15" w:rsidP="000F4D15">
      <w:pPr>
        <w:pStyle w:val="NormalWeb"/>
        <w:spacing w:before="0" w:beforeAutospacing="0" w:after="160" w:afterAutospacing="0"/>
        <w:rPr>
          <w:color w:val="000000"/>
        </w:rPr>
      </w:pPr>
      <w:r w:rsidRPr="009615FA">
        <w:rPr>
          <w:color w:val="000000"/>
        </w:rPr>
        <w:t>For those tracking Ontario gambling trends in 2026, the main takeaway is clear: while sports betting has become an increasingly important market segment, online casino gambling remains the dominant force within the province. The balance between the two categories will thus be one of the key trends to watch as the regulated iGaming market enters its next stage of growth.</w:t>
      </w:r>
    </w:p>
    <w:p w14:paraId="20764422" w14:textId="46F5A27F" w:rsidR="00E52BB5" w:rsidRPr="009615FA" w:rsidRDefault="00E52BB5" w:rsidP="000F4D15">
      <w:pPr>
        <w:pStyle w:val="NormalWeb"/>
        <w:spacing w:before="0" w:beforeAutospacing="0" w:after="160" w:afterAutospacing="0"/>
      </w:pPr>
      <w:r>
        <w:rPr>
          <w:noProof/>
        </w:rPr>
        <w:lastRenderedPageBreak/>
        <w:drawing>
          <wp:inline distT="0" distB="0" distL="0" distR="0" wp14:anchorId="5867C3EB" wp14:editId="02A7F7E3">
            <wp:extent cx="5943600" cy="3341370"/>
            <wp:effectExtent l="0" t="0" r="0" b="0"/>
            <wp:docPr id="34222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4942" name=""/>
                    <pic:cNvPicPr/>
                  </pic:nvPicPr>
                  <pic:blipFill>
                    <a:blip r:embed="rId4"/>
                    <a:stretch>
                      <a:fillRect/>
                    </a:stretch>
                  </pic:blipFill>
                  <pic:spPr>
                    <a:xfrm>
                      <a:off x="0" y="0"/>
                      <a:ext cx="5943600" cy="3341370"/>
                    </a:xfrm>
                    <a:prstGeom prst="rect">
                      <a:avLst/>
                    </a:prstGeom>
                  </pic:spPr>
                </pic:pic>
              </a:graphicData>
            </a:graphic>
          </wp:inline>
        </w:drawing>
      </w:r>
    </w:p>
    <w:p w14:paraId="54AF0D86" w14:textId="77777777" w:rsidR="004952DD" w:rsidRPr="009615FA" w:rsidRDefault="004952DD"/>
    <w:sectPr w:rsidR="004952DD" w:rsidRPr="00961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15"/>
    <w:rsid w:val="000F4D15"/>
    <w:rsid w:val="001D2DDD"/>
    <w:rsid w:val="00252029"/>
    <w:rsid w:val="00305EC6"/>
    <w:rsid w:val="003134EA"/>
    <w:rsid w:val="004952DD"/>
    <w:rsid w:val="00680E43"/>
    <w:rsid w:val="007A7698"/>
    <w:rsid w:val="00906234"/>
    <w:rsid w:val="009615FA"/>
    <w:rsid w:val="009E2F55"/>
    <w:rsid w:val="00A342E3"/>
    <w:rsid w:val="00E52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DC64"/>
  <w15:chartTrackingRefBased/>
  <w15:docId w15:val="{D743EC9C-DF2E-4F99-900F-139FF264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4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4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15"/>
    <w:rPr>
      <w:rFonts w:eastAsiaTheme="majorEastAsia" w:cstheme="majorBidi"/>
      <w:color w:val="272727" w:themeColor="text1" w:themeTint="D8"/>
    </w:rPr>
  </w:style>
  <w:style w:type="paragraph" w:styleId="Title">
    <w:name w:val="Title"/>
    <w:basedOn w:val="Normal"/>
    <w:next w:val="Normal"/>
    <w:link w:val="TitleChar"/>
    <w:uiPriority w:val="10"/>
    <w:qFormat/>
    <w:rsid w:val="000F4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15"/>
    <w:pPr>
      <w:spacing w:before="160"/>
      <w:jc w:val="center"/>
    </w:pPr>
    <w:rPr>
      <w:i/>
      <w:iCs/>
      <w:color w:val="404040" w:themeColor="text1" w:themeTint="BF"/>
    </w:rPr>
  </w:style>
  <w:style w:type="character" w:customStyle="1" w:styleId="QuoteChar">
    <w:name w:val="Quote Char"/>
    <w:basedOn w:val="DefaultParagraphFont"/>
    <w:link w:val="Quote"/>
    <w:uiPriority w:val="29"/>
    <w:rsid w:val="000F4D15"/>
    <w:rPr>
      <w:i/>
      <w:iCs/>
      <w:color w:val="404040" w:themeColor="text1" w:themeTint="BF"/>
    </w:rPr>
  </w:style>
  <w:style w:type="paragraph" w:styleId="ListParagraph">
    <w:name w:val="List Paragraph"/>
    <w:basedOn w:val="Normal"/>
    <w:uiPriority w:val="34"/>
    <w:qFormat/>
    <w:rsid w:val="000F4D15"/>
    <w:pPr>
      <w:ind w:left="720"/>
      <w:contextualSpacing/>
    </w:pPr>
  </w:style>
  <w:style w:type="character" w:styleId="IntenseEmphasis">
    <w:name w:val="Intense Emphasis"/>
    <w:basedOn w:val="DefaultParagraphFont"/>
    <w:uiPriority w:val="21"/>
    <w:qFormat/>
    <w:rsid w:val="000F4D15"/>
    <w:rPr>
      <w:i/>
      <w:iCs/>
      <w:color w:val="2F5496" w:themeColor="accent1" w:themeShade="BF"/>
    </w:rPr>
  </w:style>
  <w:style w:type="paragraph" w:styleId="IntenseQuote">
    <w:name w:val="Intense Quote"/>
    <w:basedOn w:val="Normal"/>
    <w:next w:val="Normal"/>
    <w:link w:val="IntenseQuoteChar"/>
    <w:uiPriority w:val="30"/>
    <w:qFormat/>
    <w:rsid w:val="000F4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D15"/>
    <w:rPr>
      <w:i/>
      <w:iCs/>
      <w:color w:val="2F5496" w:themeColor="accent1" w:themeShade="BF"/>
    </w:rPr>
  </w:style>
  <w:style w:type="character" w:styleId="IntenseReference">
    <w:name w:val="Intense Reference"/>
    <w:basedOn w:val="DefaultParagraphFont"/>
    <w:uiPriority w:val="32"/>
    <w:qFormat/>
    <w:rsid w:val="000F4D15"/>
    <w:rPr>
      <w:b/>
      <w:bCs/>
      <w:smallCaps/>
      <w:color w:val="2F5496" w:themeColor="accent1" w:themeShade="BF"/>
      <w:spacing w:val="5"/>
    </w:rPr>
  </w:style>
  <w:style w:type="paragraph" w:styleId="NormalWeb">
    <w:name w:val="Normal (Web)"/>
    <w:basedOn w:val="Normal"/>
    <w:uiPriority w:val="99"/>
    <w:semiHidden/>
    <w:unhideWhenUsed/>
    <w:rsid w:val="000F4D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21</cp:revision>
  <dcterms:created xsi:type="dcterms:W3CDTF">2026-09-11T20:07:00Z</dcterms:created>
  <dcterms:modified xsi:type="dcterms:W3CDTF">2026-09-11T20:20:00Z</dcterms:modified>
</cp:coreProperties>
</file>