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D661C" w14:textId="03235E37" w:rsidR="00FD71F8" w:rsidRDefault="00361AE5">
      <w:r w:rsidRPr="00361AE5">
        <w:rPr>
          <w:noProof/>
        </w:rPr>
        <w:drawing>
          <wp:anchor distT="0" distB="0" distL="114300" distR="114300" simplePos="0" relativeHeight="251658240" behindDoc="1" locked="0" layoutInCell="1" allowOverlap="1" wp14:anchorId="132410DC" wp14:editId="2947AEB0">
            <wp:simplePos x="0" y="0"/>
            <wp:positionH relativeFrom="column">
              <wp:posOffset>-4445</wp:posOffset>
            </wp:positionH>
            <wp:positionV relativeFrom="paragraph">
              <wp:posOffset>0</wp:posOffset>
            </wp:positionV>
            <wp:extent cx="1676400" cy="1676400"/>
            <wp:effectExtent l="0" t="0" r="0" b="0"/>
            <wp:wrapTight wrapText="bothSides">
              <wp:wrapPolygon edited="0">
                <wp:start x="0" y="0"/>
                <wp:lineTo x="0" y="21436"/>
                <wp:lineTo x="21436" y="21436"/>
                <wp:lineTo x="21436" y="0"/>
                <wp:lineTo x="0" y="0"/>
              </wp:wrapPolygon>
            </wp:wrapTight>
            <wp:docPr id="2052" name="Picture 4" descr="Logotipo, nombre de la empresa&#10;&#10;Descripción generada automáticamente">
              <a:extLst xmlns:a="http://schemas.openxmlformats.org/drawingml/2006/main">
                <a:ext uri="{FF2B5EF4-FFF2-40B4-BE49-F238E27FC236}">
                  <a16:creationId xmlns:a16="http://schemas.microsoft.com/office/drawing/2014/main" id="{ECCE91B3-1F53-B343-99C8-43246778A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Logotipo, nombre de la empresa&#10;&#10;Descripción generada automáticamente">
                      <a:extLst>
                        <a:ext uri="{FF2B5EF4-FFF2-40B4-BE49-F238E27FC236}">
                          <a16:creationId xmlns:a16="http://schemas.microsoft.com/office/drawing/2014/main" id="{ECCE91B3-1F53-B343-99C8-43246778A53E}"/>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pic:spPr>
                </pic:pic>
              </a:graphicData>
            </a:graphic>
            <wp14:sizeRelH relativeFrom="page">
              <wp14:pctWidth>0</wp14:pctWidth>
            </wp14:sizeRelH>
            <wp14:sizeRelV relativeFrom="page">
              <wp14:pctHeight>0</wp14:pctHeight>
            </wp14:sizeRelV>
          </wp:anchor>
        </w:drawing>
      </w:r>
    </w:p>
    <w:p w14:paraId="2F0DF7AA" w14:textId="77777777" w:rsidR="00361AE5" w:rsidRPr="00361AE5" w:rsidRDefault="00361AE5" w:rsidP="00361AE5">
      <w:pPr>
        <w:shd w:val="clear" w:color="auto" w:fill="FFFFFF"/>
        <w:spacing w:line="660" w:lineRule="atLeast"/>
        <w:jc w:val="both"/>
        <w:outlineLvl w:val="0"/>
        <w:rPr>
          <w:rFonts w:ascii="PT Serif" w:eastAsia="Times New Roman" w:hAnsi="PT Serif" w:cs="Times New Roman"/>
          <w:b/>
          <w:bCs/>
          <w:color w:val="201D17"/>
          <w:kern w:val="36"/>
          <w:lang w:val="es-CL" w:eastAsia="es-ES_tradnl"/>
        </w:rPr>
      </w:pPr>
      <w:r w:rsidRPr="00361AE5">
        <w:rPr>
          <w:rFonts w:ascii="PT Serif" w:eastAsia="Times New Roman" w:hAnsi="PT Serif" w:cs="Times New Roman"/>
          <w:b/>
          <w:bCs/>
          <w:color w:val="201D17"/>
          <w:kern w:val="36"/>
          <w:lang w:val="es-CL" w:eastAsia="es-ES_tradnl"/>
        </w:rPr>
        <w:t xml:space="preserve">El juego del arte. Pedagogías, arte y diseño. </w:t>
      </w:r>
    </w:p>
    <w:p w14:paraId="54083D33" w14:textId="3E055A46" w:rsidR="00361AE5" w:rsidRPr="00813FDE" w:rsidRDefault="00361AE5" w:rsidP="00361AE5">
      <w:pPr>
        <w:shd w:val="clear" w:color="auto" w:fill="FFFFFF"/>
        <w:spacing w:line="660" w:lineRule="atLeast"/>
        <w:jc w:val="both"/>
        <w:outlineLvl w:val="0"/>
        <w:rPr>
          <w:rFonts w:ascii="PT Serif" w:eastAsia="Times New Roman" w:hAnsi="PT Serif" w:cs="Times New Roman"/>
          <w:color w:val="201D17"/>
          <w:kern w:val="36"/>
          <w:sz w:val="22"/>
          <w:szCs w:val="22"/>
          <w:lang w:val="es-CL" w:eastAsia="es-ES_tradnl"/>
        </w:rPr>
      </w:pPr>
      <w:r w:rsidRPr="00813FDE">
        <w:rPr>
          <w:rFonts w:ascii="PT Serif" w:eastAsia="Times New Roman" w:hAnsi="PT Serif" w:cs="Times New Roman"/>
          <w:color w:val="201D17"/>
          <w:kern w:val="36"/>
          <w:sz w:val="22"/>
          <w:szCs w:val="22"/>
          <w:lang w:val="es-CL" w:eastAsia="es-ES_tradnl"/>
        </w:rPr>
        <w:t xml:space="preserve">Fundación Juan </w:t>
      </w:r>
      <w:proofErr w:type="spellStart"/>
      <w:r w:rsidRPr="00813FDE">
        <w:rPr>
          <w:rFonts w:ascii="PT Serif" w:eastAsia="Times New Roman" w:hAnsi="PT Serif" w:cs="Times New Roman"/>
          <w:color w:val="201D17"/>
          <w:kern w:val="36"/>
          <w:sz w:val="22"/>
          <w:szCs w:val="22"/>
          <w:lang w:val="es-CL" w:eastAsia="es-ES_tradnl"/>
        </w:rPr>
        <w:t>March</w:t>
      </w:r>
      <w:proofErr w:type="spellEnd"/>
      <w:r w:rsidRPr="00813FDE">
        <w:rPr>
          <w:rFonts w:ascii="PT Serif" w:eastAsia="Times New Roman" w:hAnsi="PT Serif" w:cs="Times New Roman"/>
          <w:color w:val="201D17"/>
          <w:kern w:val="36"/>
          <w:sz w:val="22"/>
          <w:szCs w:val="22"/>
          <w:lang w:val="es-CL" w:eastAsia="es-ES_tradnl"/>
        </w:rPr>
        <w:t>. Hasta el 23 de junio 2019</w:t>
      </w:r>
      <w:r w:rsidR="00813FDE" w:rsidRPr="00813FDE">
        <w:rPr>
          <w:rFonts w:ascii="PT Serif" w:eastAsia="Times New Roman" w:hAnsi="PT Serif" w:cs="Times New Roman"/>
          <w:color w:val="201D17"/>
          <w:kern w:val="36"/>
          <w:sz w:val="22"/>
          <w:szCs w:val="22"/>
          <w:lang w:val="es-CL" w:eastAsia="es-ES_tradnl"/>
        </w:rPr>
        <w:t>.</w:t>
      </w:r>
    </w:p>
    <w:p w14:paraId="2CC5820D" w14:textId="77777777" w:rsidR="00361AE5" w:rsidRPr="00361AE5" w:rsidRDefault="00361AE5" w:rsidP="00361AE5">
      <w:pPr>
        <w:shd w:val="clear" w:color="auto" w:fill="FFFFFF"/>
        <w:spacing w:before="450" w:after="225" w:line="660" w:lineRule="atLeast"/>
        <w:jc w:val="both"/>
        <w:outlineLvl w:val="0"/>
        <w:rPr>
          <w:rFonts w:ascii="PT Serif" w:eastAsia="Times New Roman" w:hAnsi="PT Serif" w:cs="Times New Roman"/>
          <w:color w:val="201D17"/>
          <w:kern w:val="36"/>
          <w:lang w:val="es-CL" w:eastAsia="es-ES_tradnl"/>
        </w:rPr>
      </w:pPr>
    </w:p>
    <w:p w14:paraId="0E3D58C6"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Entramos en realidad en un cuarto de juegos, de más de 480 metros cuadrados, no en una exposición al uso. Supone una vuelta a la infancia, ya desde el mismo título: </w:t>
      </w:r>
      <w:r w:rsidRPr="00361AE5">
        <w:rPr>
          <w:rFonts w:ascii="Open Sans" w:eastAsia="Times New Roman" w:hAnsi="Open Sans" w:cs="Open Sans"/>
          <w:i/>
          <w:iCs/>
          <w:color w:val="201D17"/>
          <w:lang w:val="es-CL" w:eastAsia="es-ES_tradnl"/>
        </w:rPr>
        <w:t>El juego del arte</w:t>
      </w:r>
      <w:r w:rsidRPr="00361AE5">
        <w:rPr>
          <w:rFonts w:ascii="Open Sans" w:eastAsia="Times New Roman" w:hAnsi="Open Sans" w:cs="Open Sans"/>
          <w:color w:val="201D17"/>
          <w:lang w:val="es-CL" w:eastAsia="es-ES_tradnl"/>
        </w:rPr>
        <w:t>. Pero sobre todo es esta muestra una nueva perspectiva, que conjuga </w:t>
      </w:r>
      <w:r w:rsidRPr="00361AE5">
        <w:rPr>
          <w:rFonts w:ascii="Open Sans" w:eastAsia="Times New Roman" w:hAnsi="Open Sans" w:cs="Open Sans"/>
          <w:i/>
          <w:iCs/>
          <w:color w:val="201D17"/>
          <w:lang w:val="es-CL" w:eastAsia="es-ES_tradnl"/>
        </w:rPr>
        <w:t>Pedagogía , Arte y diseño</w:t>
      </w:r>
      <w:r w:rsidRPr="00361AE5">
        <w:rPr>
          <w:rFonts w:ascii="Open Sans" w:eastAsia="Times New Roman" w:hAnsi="Open Sans" w:cs="Open Sans"/>
          <w:color w:val="201D17"/>
          <w:lang w:val="es-CL" w:eastAsia="es-ES_tradnl"/>
        </w:rPr>
        <w:t> …como sigue rezando el título.</w:t>
      </w:r>
    </w:p>
    <w:p w14:paraId="628354B5"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 xml:space="preserve">El comisario, Manuel </w:t>
      </w:r>
      <w:proofErr w:type="spellStart"/>
      <w:r w:rsidRPr="00361AE5">
        <w:rPr>
          <w:rFonts w:ascii="Open Sans" w:eastAsia="Times New Roman" w:hAnsi="Open Sans" w:cs="Open Sans"/>
          <w:color w:val="201D17"/>
          <w:lang w:val="es-CL" w:eastAsia="es-ES_tradnl"/>
        </w:rPr>
        <w:t>Fontán</w:t>
      </w:r>
      <w:proofErr w:type="spellEnd"/>
      <w:r w:rsidRPr="00361AE5">
        <w:rPr>
          <w:rFonts w:ascii="Open Sans" w:eastAsia="Times New Roman" w:hAnsi="Open Sans" w:cs="Open Sans"/>
          <w:color w:val="201D17"/>
          <w:lang w:val="es-CL" w:eastAsia="es-ES_tradnl"/>
        </w:rPr>
        <w:t xml:space="preserve"> (y sus colaboradores, incluido Juan Bordes) han dispuesto las 900 piezas que componen la exposición para mostrar como las novedosas pedagogías del siglo XIX , radicalmente basadas en el juego y la manipulación de formas, han sido una fuente fundamental para las vanguardias del siglo XX, para el arte y el diseño de los primeros treinta años del siglo XX.</w:t>
      </w:r>
    </w:p>
    <w:p w14:paraId="6355871B"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La exposición se inicia con </w:t>
      </w:r>
      <w:r w:rsidRPr="00361AE5">
        <w:rPr>
          <w:rFonts w:ascii="Open Sans" w:eastAsia="Times New Roman" w:hAnsi="Open Sans" w:cs="Open Sans"/>
          <w:i/>
          <w:iCs/>
          <w:color w:val="201D17"/>
          <w:lang w:val="es-CL" w:eastAsia="es-ES_tradnl"/>
        </w:rPr>
        <w:t>Un museo sintético de arte moderno</w:t>
      </w:r>
      <w:r w:rsidRPr="00361AE5">
        <w:rPr>
          <w:rFonts w:ascii="Open Sans" w:eastAsia="Times New Roman" w:hAnsi="Open Sans" w:cs="Open Sans"/>
          <w:color w:val="201D17"/>
          <w:lang w:val="es-CL" w:eastAsia="es-ES_tradnl"/>
        </w:rPr>
        <w:t xml:space="preserve">, un museo de vanguardia en miniatura: </w:t>
      </w:r>
      <w:proofErr w:type="spellStart"/>
      <w:r w:rsidRPr="00361AE5">
        <w:rPr>
          <w:rFonts w:ascii="Open Sans" w:eastAsia="Times New Roman" w:hAnsi="Open Sans" w:cs="Open Sans"/>
          <w:color w:val="201D17"/>
          <w:lang w:val="es-CL" w:eastAsia="es-ES_tradnl"/>
        </w:rPr>
        <w:t>Malevich</w:t>
      </w:r>
      <w:proofErr w:type="spellEnd"/>
      <w:r w:rsidRPr="00361AE5">
        <w:rPr>
          <w:rFonts w:ascii="Open Sans" w:eastAsia="Times New Roman" w:hAnsi="Open Sans" w:cs="Open Sans"/>
          <w:color w:val="201D17"/>
          <w:lang w:val="es-CL" w:eastAsia="es-ES_tradnl"/>
        </w:rPr>
        <w:t xml:space="preserve">, </w:t>
      </w:r>
      <w:proofErr w:type="spellStart"/>
      <w:r w:rsidRPr="00361AE5">
        <w:rPr>
          <w:rFonts w:ascii="Open Sans" w:eastAsia="Times New Roman" w:hAnsi="Open Sans" w:cs="Open Sans"/>
          <w:color w:val="201D17"/>
          <w:lang w:val="es-CL" w:eastAsia="es-ES_tradnl"/>
        </w:rPr>
        <w:t>Balla</w:t>
      </w:r>
      <w:proofErr w:type="spellEnd"/>
      <w:r w:rsidRPr="00361AE5">
        <w:rPr>
          <w:rFonts w:ascii="Open Sans" w:eastAsia="Times New Roman" w:hAnsi="Open Sans" w:cs="Open Sans"/>
          <w:color w:val="201D17"/>
          <w:lang w:val="es-CL" w:eastAsia="es-ES_tradnl"/>
        </w:rPr>
        <w:t xml:space="preserve">, </w:t>
      </w:r>
      <w:proofErr w:type="spellStart"/>
      <w:r w:rsidRPr="00361AE5">
        <w:rPr>
          <w:rFonts w:ascii="Open Sans" w:eastAsia="Times New Roman" w:hAnsi="Open Sans" w:cs="Open Sans"/>
          <w:color w:val="201D17"/>
          <w:lang w:val="es-CL" w:eastAsia="es-ES_tradnl"/>
        </w:rPr>
        <w:t>Morandi</w:t>
      </w:r>
      <w:proofErr w:type="spellEnd"/>
      <w:r w:rsidRPr="00361AE5">
        <w:rPr>
          <w:rFonts w:ascii="Open Sans" w:eastAsia="Times New Roman" w:hAnsi="Open Sans" w:cs="Open Sans"/>
          <w:color w:val="201D17"/>
          <w:lang w:val="es-CL" w:eastAsia="es-ES_tradnl"/>
        </w:rPr>
        <w:t xml:space="preserve">…nos hacen ponernos en contacto con las nuevas tendencias artísticas del primer tercio del siglo XX. Un botellero de </w:t>
      </w:r>
      <w:proofErr w:type="spellStart"/>
      <w:r w:rsidRPr="00361AE5">
        <w:rPr>
          <w:rFonts w:ascii="Open Sans" w:eastAsia="Times New Roman" w:hAnsi="Open Sans" w:cs="Open Sans"/>
          <w:color w:val="201D17"/>
          <w:lang w:val="es-CL" w:eastAsia="es-ES_tradnl"/>
        </w:rPr>
        <w:t>Duchamp</w:t>
      </w:r>
      <w:proofErr w:type="spellEnd"/>
      <w:r w:rsidRPr="00361AE5">
        <w:rPr>
          <w:rFonts w:ascii="Open Sans" w:eastAsia="Times New Roman" w:hAnsi="Open Sans" w:cs="Open Sans"/>
          <w:color w:val="201D17"/>
          <w:lang w:val="es-CL" w:eastAsia="es-ES_tradnl"/>
        </w:rPr>
        <w:t xml:space="preserve">, dadaísta, el colorido de Sonia </w:t>
      </w:r>
      <w:proofErr w:type="spellStart"/>
      <w:r w:rsidRPr="00361AE5">
        <w:rPr>
          <w:rFonts w:ascii="Open Sans" w:eastAsia="Times New Roman" w:hAnsi="Open Sans" w:cs="Open Sans"/>
          <w:color w:val="201D17"/>
          <w:lang w:val="es-CL" w:eastAsia="es-ES_tradnl"/>
        </w:rPr>
        <w:t>Delaunay</w:t>
      </w:r>
      <w:proofErr w:type="spellEnd"/>
      <w:r w:rsidRPr="00361AE5">
        <w:rPr>
          <w:rFonts w:ascii="Open Sans" w:eastAsia="Times New Roman" w:hAnsi="Open Sans" w:cs="Open Sans"/>
          <w:color w:val="201D17"/>
          <w:lang w:val="es-CL" w:eastAsia="es-ES_tradnl"/>
        </w:rPr>
        <w:t xml:space="preserve">, los floreros de </w:t>
      </w:r>
      <w:proofErr w:type="spellStart"/>
      <w:r w:rsidRPr="00361AE5">
        <w:rPr>
          <w:rFonts w:ascii="Open Sans" w:eastAsia="Times New Roman" w:hAnsi="Open Sans" w:cs="Open Sans"/>
          <w:color w:val="201D17"/>
          <w:lang w:val="es-CL" w:eastAsia="es-ES_tradnl"/>
        </w:rPr>
        <w:t>Hoffmann</w:t>
      </w:r>
      <w:proofErr w:type="spellEnd"/>
      <w:r w:rsidRPr="00361AE5">
        <w:rPr>
          <w:rFonts w:ascii="Open Sans" w:eastAsia="Times New Roman" w:hAnsi="Open Sans" w:cs="Open Sans"/>
          <w:color w:val="201D17"/>
          <w:lang w:val="es-CL" w:eastAsia="es-ES_tradnl"/>
        </w:rPr>
        <w:t xml:space="preserve">, las verticales de </w:t>
      </w:r>
      <w:proofErr w:type="spellStart"/>
      <w:r w:rsidRPr="00361AE5">
        <w:rPr>
          <w:rFonts w:ascii="Open Sans" w:eastAsia="Times New Roman" w:hAnsi="Open Sans" w:cs="Open Sans"/>
          <w:color w:val="201D17"/>
          <w:lang w:val="es-CL" w:eastAsia="es-ES_tradnl"/>
        </w:rPr>
        <w:t>Mondrian</w:t>
      </w:r>
      <w:proofErr w:type="spellEnd"/>
      <w:r w:rsidRPr="00361AE5">
        <w:rPr>
          <w:rFonts w:ascii="Open Sans" w:eastAsia="Times New Roman" w:hAnsi="Open Sans" w:cs="Open Sans"/>
          <w:color w:val="201D17"/>
          <w:lang w:val="es-CL" w:eastAsia="es-ES_tradnl"/>
        </w:rPr>
        <w:t xml:space="preserve"> , pequeña obra de Picasso o de Kandinsky…nos permiten releer de nuevo estas vanguardias.</w:t>
      </w:r>
    </w:p>
    <w:p w14:paraId="632D1177" w14:textId="7E02CAEC"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fldChar w:fldCharType="begin"/>
      </w:r>
      <w:r w:rsidRPr="00361AE5">
        <w:rPr>
          <w:rFonts w:ascii="Open Sans" w:eastAsia="Times New Roman" w:hAnsi="Open Sans" w:cs="Open Sans"/>
          <w:color w:val="201D17"/>
          <w:lang w:val="es-CL" w:eastAsia="es-ES_tradnl"/>
        </w:rPr>
        <w:instrText xml:space="preserve"> INCLUDEPICTURE "https://i2.wp.com/onlyartravel.com/wp-content/uploads/2019/04/foto-per-web.jpg?resize=285%2C156" \* MERGEFORMATINET </w:instrText>
      </w:r>
      <w:r w:rsidRPr="00361AE5">
        <w:rPr>
          <w:rFonts w:ascii="Open Sans" w:eastAsia="Times New Roman" w:hAnsi="Open Sans" w:cs="Open Sans"/>
          <w:color w:val="201D17"/>
          <w:lang w:val="es-CL" w:eastAsia="es-ES_tradnl"/>
        </w:rPr>
        <w:fldChar w:fldCharType="separate"/>
      </w:r>
      <w:r w:rsidRPr="00361AE5">
        <w:rPr>
          <w:rFonts w:ascii="Open Sans" w:eastAsia="Times New Roman" w:hAnsi="Open Sans" w:cs="Open Sans"/>
          <w:noProof/>
          <w:color w:val="201D17"/>
          <w:lang w:val="es-CL" w:eastAsia="es-ES_tradnl"/>
        </w:rPr>
        <w:drawing>
          <wp:inline distT="0" distB="0" distL="0" distR="0" wp14:anchorId="4C2FC362" wp14:editId="5F6765FC">
            <wp:extent cx="3622040" cy="1981200"/>
            <wp:effectExtent l="0" t="0" r="0" b="0"/>
            <wp:docPr id="4" name="Imagen 4" descr="foto-per-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per-w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2040" cy="1981200"/>
                    </a:xfrm>
                    <a:prstGeom prst="rect">
                      <a:avLst/>
                    </a:prstGeom>
                    <a:noFill/>
                    <a:ln>
                      <a:noFill/>
                    </a:ln>
                  </pic:spPr>
                </pic:pic>
              </a:graphicData>
            </a:graphic>
          </wp:inline>
        </w:drawing>
      </w:r>
      <w:r w:rsidRPr="00361AE5">
        <w:rPr>
          <w:rFonts w:ascii="Open Sans" w:eastAsia="Times New Roman" w:hAnsi="Open Sans" w:cs="Open Sans"/>
          <w:color w:val="201D17"/>
          <w:lang w:val="es-CL" w:eastAsia="es-ES_tradnl"/>
        </w:rPr>
        <w:fldChar w:fldCharType="end"/>
      </w:r>
    </w:p>
    <w:p w14:paraId="5303E955" w14:textId="77777777" w:rsidR="00361AE5" w:rsidRPr="00361AE5" w:rsidRDefault="00361AE5" w:rsidP="00361AE5">
      <w:pPr>
        <w:shd w:val="clear" w:color="auto" w:fill="FFFFFF"/>
        <w:spacing w:before="225" w:after="225"/>
        <w:jc w:val="both"/>
        <w:rPr>
          <w:rFonts w:ascii="Open Sans" w:eastAsia="Times New Roman" w:hAnsi="Open Sans" w:cs="Open Sans"/>
          <w:color w:val="000000" w:themeColor="text1"/>
          <w:lang w:val="es-CL" w:eastAsia="es-ES_tradnl"/>
        </w:rPr>
      </w:pPr>
      <w:r w:rsidRPr="00361AE5">
        <w:rPr>
          <w:rFonts w:ascii="Open Sans" w:eastAsia="Times New Roman" w:hAnsi="Open Sans" w:cs="Open Sans"/>
          <w:color w:val="000000" w:themeColor="text1"/>
          <w:lang w:val="es-CL" w:eastAsia="es-ES_tradnl"/>
        </w:rPr>
        <w:t>En la segunda sección, por primera vez se ha tenido en cuenta </w:t>
      </w:r>
      <w:r w:rsidRPr="00361AE5">
        <w:rPr>
          <w:rFonts w:ascii="Open Sans" w:eastAsia="Times New Roman" w:hAnsi="Open Sans" w:cs="Open Sans"/>
          <w:i/>
          <w:iCs/>
          <w:color w:val="000000" w:themeColor="text1"/>
          <w:lang w:val="es-CL" w:eastAsia="es-ES_tradnl"/>
        </w:rPr>
        <w:t>La infancia de los artistas</w:t>
      </w:r>
      <w:r w:rsidRPr="00361AE5">
        <w:rPr>
          <w:rFonts w:ascii="Open Sans" w:eastAsia="Times New Roman" w:hAnsi="Open Sans" w:cs="Open Sans"/>
          <w:color w:val="000000" w:themeColor="text1"/>
          <w:lang w:val="es-CL" w:eastAsia="es-ES_tradnl"/>
        </w:rPr>
        <w:t>, todos ellos educados a finales del siglo XIX, e influidos por las nuevas formas de educar. </w:t>
      </w:r>
      <w:r w:rsidRPr="00361AE5">
        <w:rPr>
          <w:rFonts w:ascii="Open Sans" w:eastAsia="Times New Roman" w:hAnsi="Open Sans" w:cs="Open Sans"/>
          <w:i/>
          <w:iCs/>
          <w:color w:val="000000" w:themeColor="text1"/>
          <w:lang w:val="es-CL" w:eastAsia="es-ES_tradnl"/>
        </w:rPr>
        <w:t xml:space="preserve">¿No habrá pasado algo a finales del XIX que lo explique?…todos escolarizados a finales del siglo XIX…juegan con formas solidas, </w:t>
      </w:r>
      <w:r w:rsidRPr="00361AE5">
        <w:rPr>
          <w:rFonts w:ascii="Open Sans" w:eastAsia="Times New Roman" w:hAnsi="Open Sans" w:cs="Open Sans"/>
          <w:i/>
          <w:iCs/>
          <w:color w:val="000000" w:themeColor="text1"/>
          <w:lang w:val="es-CL" w:eastAsia="es-ES_tradnl"/>
        </w:rPr>
        <w:lastRenderedPageBreak/>
        <w:t>con colores.</w:t>
      </w:r>
      <w:r w:rsidRPr="00361AE5">
        <w:rPr>
          <w:rFonts w:ascii="Open Sans" w:eastAsia="Times New Roman" w:hAnsi="Open Sans" w:cs="Open Sans"/>
          <w:color w:val="000000" w:themeColor="text1"/>
          <w:lang w:val="es-CL" w:eastAsia="es-ES_tradnl"/>
        </w:rPr>
        <w:t> Pedagogías que se basaban en el </w:t>
      </w:r>
      <w:r w:rsidRPr="00361AE5">
        <w:rPr>
          <w:rFonts w:ascii="Open Sans" w:eastAsia="Times New Roman" w:hAnsi="Open Sans" w:cs="Open Sans"/>
          <w:i/>
          <w:iCs/>
          <w:color w:val="000000" w:themeColor="text1"/>
          <w:lang w:val="es-CL" w:eastAsia="es-ES_tradnl"/>
        </w:rPr>
        <w:t>Emilio</w:t>
      </w:r>
      <w:r w:rsidRPr="00361AE5">
        <w:rPr>
          <w:rFonts w:ascii="Open Sans" w:eastAsia="Times New Roman" w:hAnsi="Open Sans" w:cs="Open Sans"/>
          <w:color w:val="000000" w:themeColor="text1"/>
          <w:lang w:val="es-CL" w:eastAsia="es-ES_tradnl"/>
        </w:rPr>
        <w:t> de Rousseau, donde se defendía la idea de “dibujo para todos”, no para ser artistas, sino para ser personas. El dibujo es una herramienta para educar nuestra perfección, según Juan Bordes, refiriéndose de nuevo a Rousseau.</w:t>
      </w:r>
    </w:p>
    <w:p w14:paraId="581B3952"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La colección de Juan Bordes, director de Calcografía Nacional, supone el grueso de la exposición, que nació a partir de su libro de 2007, </w:t>
      </w:r>
      <w:r w:rsidRPr="00361AE5">
        <w:rPr>
          <w:rFonts w:ascii="Open Sans" w:eastAsia="Times New Roman" w:hAnsi="Open Sans" w:cs="Open Sans"/>
          <w:i/>
          <w:iCs/>
          <w:color w:val="201D17"/>
          <w:lang w:val="es-CL" w:eastAsia="es-ES_tradnl"/>
        </w:rPr>
        <w:t>La infancia de las vanguardias, </w:t>
      </w:r>
      <w:r w:rsidRPr="00361AE5">
        <w:rPr>
          <w:rFonts w:ascii="Open Sans" w:eastAsia="Times New Roman" w:hAnsi="Open Sans" w:cs="Open Sans"/>
          <w:color w:val="201D17"/>
          <w:lang w:val="es-CL" w:eastAsia="es-ES_tradnl"/>
        </w:rPr>
        <w:t xml:space="preserve">según palabras del propio Manuel </w:t>
      </w:r>
      <w:proofErr w:type="spellStart"/>
      <w:r w:rsidRPr="00361AE5">
        <w:rPr>
          <w:rFonts w:ascii="Open Sans" w:eastAsia="Times New Roman" w:hAnsi="Open Sans" w:cs="Open Sans"/>
          <w:color w:val="201D17"/>
          <w:lang w:val="es-CL" w:eastAsia="es-ES_tradnl"/>
        </w:rPr>
        <w:t>Fontán</w:t>
      </w:r>
      <w:proofErr w:type="spellEnd"/>
      <w:r w:rsidRPr="00361AE5">
        <w:rPr>
          <w:rFonts w:ascii="Open Sans" w:eastAsia="Times New Roman" w:hAnsi="Open Sans" w:cs="Open Sans"/>
          <w:color w:val="201D17"/>
          <w:lang w:val="es-CL" w:eastAsia="es-ES_tradnl"/>
        </w:rPr>
        <w:t>.</w:t>
      </w:r>
    </w:p>
    <w:p w14:paraId="2772D7A8" w14:textId="1F6BD1FF"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fldChar w:fldCharType="begin"/>
      </w:r>
      <w:r w:rsidRPr="00361AE5">
        <w:rPr>
          <w:rFonts w:ascii="Open Sans" w:eastAsia="Times New Roman" w:hAnsi="Open Sans" w:cs="Open Sans"/>
          <w:color w:val="201D17"/>
          <w:lang w:val="es-CL" w:eastAsia="es-ES_tradnl"/>
        </w:rPr>
        <w:instrText xml:space="preserve"> INCLUDEPICTURE "https://i0.wp.com/onlyartravel.com/wp-content/uploads/2019/04/LDM9061.jpg?resize=324%2C253" \* MERGEFORMATINET </w:instrText>
      </w:r>
      <w:r w:rsidRPr="00361AE5">
        <w:rPr>
          <w:rFonts w:ascii="Open Sans" w:eastAsia="Times New Roman" w:hAnsi="Open Sans" w:cs="Open Sans"/>
          <w:color w:val="201D17"/>
          <w:lang w:val="es-CL" w:eastAsia="es-ES_tradnl"/>
        </w:rPr>
        <w:fldChar w:fldCharType="separate"/>
      </w:r>
      <w:r w:rsidRPr="00361AE5">
        <w:rPr>
          <w:rFonts w:ascii="Open Sans" w:eastAsia="Times New Roman" w:hAnsi="Open Sans" w:cs="Open Sans"/>
          <w:noProof/>
          <w:color w:val="201D17"/>
          <w:lang w:val="es-CL" w:eastAsia="es-ES_tradnl"/>
        </w:rPr>
        <w:drawing>
          <wp:inline distT="0" distB="0" distL="0" distR="0" wp14:anchorId="3388A91A" wp14:editId="55259FAF">
            <wp:extent cx="4114800" cy="3209290"/>
            <wp:effectExtent l="0" t="0" r="0" b="3810"/>
            <wp:docPr id="3" name="Imagen 3" descr="LDM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DM90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209290"/>
                    </a:xfrm>
                    <a:prstGeom prst="rect">
                      <a:avLst/>
                    </a:prstGeom>
                    <a:noFill/>
                    <a:ln>
                      <a:noFill/>
                    </a:ln>
                  </pic:spPr>
                </pic:pic>
              </a:graphicData>
            </a:graphic>
          </wp:inline>
        </w:drawing>
      </w:r>
      <w:r w:rsidRPr="00361AE5">
        <w:rPr>
          <w:rFonts w:ascii="Open Sans" w:eastAsia="Times New Roman" w:hAnsi="Open Sans" w:cs="Open Sans"/>
          <w:color w:val="201D17"/>
          <w:lang w:val="es-CL" w:eastAsia="es-ES_tradnl"/>
        </w:rPr>
        <w:fldChar w:fldCharType="end"/>
      </w:r>
    </w:p>
    <w:p w14:paraId="7BC80BD7"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 xml:space="preserve">Este apartado, casi por completo, está dedicado al otro gran pedagogo, F. </w:t>
      </w:r>
      <w:proofErr w:type="spellStart"/>
      <w:r w:rsidRPr="00361AE5">
        <w:rPr>
          <w:rFonts w:ascii="Open Sans" w:eastAsia="Times New Roman" w:hAnsi="Open Sans" w:cs="Open Sans"/>
          <w:color w:val="201D17"/>
          <w:lang w:val="es-CL" w:eastAsia="es-ES_tradnl"/>
        </w:rPr>
        <w:t>Froebel</w:t>
      </w:r>
      <w:proofErr w:type="spellEnd"/>
      <w:r w:rsidRPr="00361AE5">
        <w:rPr>
          <w:rFonts w:ascii="Open Sans" w:eastAsia="Times New Roman" w:hAnsi="Open Sans" w:cs="Open Sans"/>
          <w:color w:val="201D17"/>
          <w:lang w:val="es-CL" w:eastAsia="es-ES_tradnl"/>
        </w:rPr>
        <w:t xml:space="preserve"> (1782-1852), creador del Kindergarten  Quiso dar importancia a la formación de los niños entre los tres y los seis años (una educación integral que incluía música, gimnasia, jardinería…). Los niños tiene que aprender jugando, en dos y tres dimensiones. Las tres figuras geométricas, esfera, cubo y cilindro, ayudan al desarrollo de la imaginación del niño. Todo acompañado de dibujo libre. Pensaba que los niños son flores que hay que regar. </w:t>
      </w:r>
      <w:proofErr w:type="spellStart"/>
      <w:r w:rsidRPr="00361AE5">
        <w:rPr>
          <w:rFonts w:ascii="Open Sans" w:eastAsia="Times New Roman" w:hAnsi="Open Sans" w:cs="Open Sans"/>
          <w:color w:val="201D17"/>
          <w:lang w:val="es-CL" w:eastAsia="es-ES_tradnl"/>
        </w:rPr>
        <w:t>Froebel</w:t>
      </w:r>
      <w:proofErr w:type="spellEnd"/>
      <w:r w:rsidRPr="00361AE5">
        <w:rPr>
          <w:rFonts w:ascii="Open Sans" w:eastAsia="Times New Roman" w:hAnsi="Open Sans" w:cs="Open Sans"/>
          <w:color w:val="201D17"/>
          <w:lang w:val="es-CL" w:eastAsia="es-ES_tradnl"/>
        </w:rPr>
        <w:t xml:space="preserve"> hablaba de </w:t>
      </w:r>
      <w:r w:rsidRPr="00361AE5">
        <w:rPr>
          <w:rFonts w:ascii="Open Sans" w:eastAsia="Times New Roman" w:hAnsi="Open Sans" w:cs="Open Sans"/>
          <w:i/>
          <w:iCs/>
          <w:color w:val="201D17"/>
          <w:lang w:val="es-CL" w:eastAsia="es-ES_tradnl"/>
        </w:rPr>
        <w:t>Dones</w:t>
      </w:r>
      <w:r w:rsidRPr="00361AE5">
        <w:rPr>
          <w:rFonts w:ascii="Open Sans" w:eastAsia="Times New Roman" w:hAnsi="Open Sans" w:cs="Open Sans"/>
          <w:color w:val="201D17"/>
          <w:lang w:val="es-CL" w:eastAsia="es-ES_tradnl"/>
        </w:rPr>
        <w:t>, ejercicios de coordinación manual y comprensión (basados en formas y colores) y </w:t>
      </w:r>
      <w:r w:rsidRPr="00361AE5">
        <w:rPr>
          <w:rFonts w:ascii="Open Sans" w:eastAsia="Times New Roman" w:hAnsi="Open Sans" w:cs="Open Sans"/>
          <w:i/>
          <w:iCs/>
          <w:color w:val="201D17"/>
          <w:lang w:val="es-CL" w:eastAsia="es-ES_tradnl"/>
        </w:rPr>
        <w:t>Ocupaciones,</w:t>
      </w:r>
      <w:r w:rsidRPr="00361AE5">
        <w:rPr>
          <w:rFonts w:ascii="Open Sans" w:eastAsia="Times New Roman" w:hAnsi="Open Sans" w:cs="Open Sans"/>
          <w:color w:val="201D17"/>
          <w:lang w:val="es-CL" w:eastAsia="es-ES_tradnl"/>
        </w:rPr>
        <w:t> simulacros de trabajo que desarrollan el sentido estético y la libertad de los niños (aprendiendo, por ejemplo, a bordar, a hacer collage, recortar y plegar papel).</w:t>
      </w:r>
    </w:p>
    <w:p w14:paraId="447B1FB5"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Pedagogas como Montessori, también presente en la exposición, defenderá esta idea de que la capacidad del niño no tiene límites. (Destaca su libro para entender las matemáticas, y los bloques matemáticos.).</w:t>
      </w:r>
    </w:p>
    <w:p w14:paraId="427C2C1C"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Esta muestra de materiales pedagógicos se completa en otra sección (</w:t>
      </w:r>
      <w:r w:rsidRPr="00361AE5">
        <w:rPr>
          <w:rFonts w:ascii="Open Sans" w:eastAsia="Times New Roman" w:hAnsi="Open Sans" w:cs="Open Sans"/>
          <w:i/>
          <w:iCs/>
          <w:color w:val="201D17"/>
          <w:lang w:val="es-CL" w:eastAsia="es-ES_tradnl"/>
        </w:rPr>
        <w:t>La educación como juego y el arte moderno) </w:t>
      </w:r>
      <w:r w:rsidRPr="00361AE5">
        <w:rPr>
          <w:rFonts w:ascii="Open Sans" w:eastAsia="Times New Roman" w:hAnsi="Open Sans" w:cs="Open Sans"/>
          <w:color w:val="201D17"/>
          <w:lang w:val="es-CL" w:eastAsia="es-ES_tradnl"/>
        </w:rPr>
        <w:t xml:space="preserve">en la que se agolpan, literalmente, en </w:t>
      </w:r>
      <w:r w:rsidRPr="00361AE5">
        <w:rPr>
          <w:rFonts w:ascii="Open Sans" w:eastAsia="Times New Roman" w:hAnsi="Open Sans" w:cs="Open Sans"/>
          <w:color w:val="201D17"/>
          <w:lang w:val="es-CL" w:eastAsia="es-ES_tradnl"/>
        </w:rPr>
        <w:lastRenderedPageBreak/>
        <w:t xml:space="preserve">vitrinas, manuales de dibujo, monografías y juegos educativos que se comparan con obras de arte, arquitectura y diseño del siglo XX. Es una clara demostración de las conexiones entre la educación y el arte, que ha determinado la aparición de las vanguardias. Es el espacio más amplio, lleno de sorpresas (no hay que perderse la seda de </w:t>
      </w:r>
      <w:proofErr w:type="spellStart"/>
      <w:r w:rsidRPr="00361AE5">
        <w:rPr>
          <w:rFonts w:ascii="Open Sans" w:eastAsia="Times New Roman" w:hAnsi="Open Sans" w:cs="Open Sans"/>
          <w:color w:val="201D17"/>
          <w:lang w:val="es-CL" w:eastAsia="es-ES_tradnl"/>
        </w:rPr>
        <w:t>Matisse</w:t>
      </w:r>
      <w:proofErr w:type="spellEnd"/>
      <w:r w:rsidRPr="00361AE5">
        <w:rPr>
          <w:rFonts w:ascii="Open Sans" w:eastAsia="Times New Roman" w:hAnsi="Open Sans" w:cs="Open Sans"/>
          <w:color w:val="201D17"/>
          <w:lang w:val="es-CL" w:eastAsia="es-ES_tradnl"/>
        </w:rPr>
        <w:t xml:space="preserve">, de grandes dimensiones) y comparaciones, donde arte moderno y juegos infantiles se entrecruzan continuamente. Obras deliciosas, de pequeño tamaño (no dejar de fijarse en las cajas de cerillas con dibujos de Picasso, o el Caleidoscopio de </w:t>
      </w:r>
      <w:proofErr w:type="spellStart"/>
      <w:r w:rsidRPr="00361AE5">
        <w:rPr>
          <w:rFonts w:ascii="Open Sans" w:eastAsia="Times New Roman" w:hAnsi="Open Sans" w:cs="Open Sans"/>
          <w:color w:val="201D17"/>
          <w:lang w:val="es-CL" w:eastAsia="es-ES_tradnl"/>
        </w:rPr>
        <w:t>Vasarely</w:t>
      </w:r>
      <w:proofErr w:type="spellEnd"/>
      <w:r w:rsidRPr="00361AE5">
        <w:rPr>
          <w:rFonts w:ascii="Open Sans" w:eastAsia="Times New Roman" w:hAnsi="Open Sans" w:cs="Open Sans"/>
          <w:color w:val="201D17"/>
          <w:lang w:val="es-CL" w:eastAsia="es-ES_tradnl"/>
        </w:rPr>
        <w:t>).</w:t>
      </w:r>
    </w:p>
    <w:p w14:paraId="30B50158" w14:textId="2CE40D3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fldChar w:fldCharType="begin"/>
      </w:r>
      <w:r w:rsidRPr="00361AE5">
        <w:rPr>
          <w:rFonts w:ascii="Open Sans" w:eastAsia="Times New Roman" w:hAnsi="Open Sans" w:cs="Open Sans"/>
          <w:color w:val="201D17"/>
          <w:lang w:val="es-CL" w:eastAsia="es-ES_tradnl"/>
        </w:rPr>
        <w:instrText xml:space="preserve"> INCLUDEPICTURE "https://i2.wp.com/onlyartravel.com/wp-content/uploads/2019/04/n_juegoarte_march1.jpg?resize=320%2C192" \* MERGEFORMATINET </w:instrText>
      </w:r>
      <w:r w:rsidRPr="00361AE5">
        <w:rPr>
          <w:rFonts w:ascii="Open Sans" w:eastAsia="Times New Roman" w:hAnsi="Open Sans" w:cs="Open Sans"/>
          <w:color w:val="201D17"/>
          <w:lang w:val="es-CL" w:eastAsia="es-ES_tradnl"/>
        </w:rPr>
        <w:fldChar w:fldCharType="separate"/>
      </w:r>
      <w:r w:rsidRPr="00361AE5">
        <w:rPr>
          <w:rFonts w:ascii="Open Sans" w:eastAsia="Times New Roman" w:hAnsi="Open Sans" w:cs="Open Sans"/>
          <w:noProof/>
          <w:color w:val="201D17"/>
          <w:lang w:val="es-CL" w:eastAsia="es-ES_tradnl"/>
        </w:rPr>
        <w:drawing>
          <wp:inline distT="0" distB="0" distL="0" distR="0" wp14:anchorId="1CCC1693" wp14:editId="409846E1">
            <wp:extent cx="4060825" cy="2438400"/>
            <wp:effectExtent l="0" t="0" r="3175" b="0"/>
            <wp:docPr id="2" name="Imagen 2" descr="n_juegoarte_mar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_juegoarte_march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825" cy="2438400"/>
                    </a:xfrm>
                    <a:prstGeom prst="rect">
                      <a:avLst/>
                    </a:prstGeom>
                    <a:noFill/>
                    <a:ln>
                      <a:noFill/>
                    </a:ln>
                  </pic:spPr>
                </pic:pic>
              </a:graphicData>
            </a:graphic>
          </wp:inline>
        </w:drawing>
      </w:r>
      <w:r w:rsidRPr="00361AE5">
        <w:rPr>
          <w:rFonts w:ascii="Open Sans" w:eastAsia="Times New Roman" w:hAnsi="Open Sans" w:cs="Open Sans"/>
          <w:color w:val="201D17"/>
          <w:lang w:val="es-CL" w:eastAsia="es-ES_tradnl"/>
        </w:rPr>
        <w:fldChar w:fldCharType="end"/>
      </w:r>
    </w:p>
    <w:p w14:paraId="2B015846"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 </w:t>
      </w:r>
    </w:p>
    <w:p w14:paraId="6DA43DF5"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En la última parte de este lúdico y artístico recorrido, </w:t>
      </w:r>
      <w:r w:rsidRPr="00361AE5">
        <w:rPr>
          <w:rFonts w:ascii="Open Sans" w:eastAsia="Times New Roman" w:hAnsi="Open Sans" w:cs="Open Sans"/>
          <w:i/>
          <w:iCs/>
          <w:color w:val="201D17"/>
          <w:lang w:val="es-CL" w:eastAsia="es-ES_tradnl"/>
        </w:rPr>
        <w:t>La educación y el arte como juego,</w:t>
      </w:r>
      <w:r w:rsidRPr="00361AE5">
        <w:rPr>
          <w:rFonts w:ascii="Open Sans" w:eastAsia="Times New Roman" w:hAnsi="Open Sans" w:cs="Open Sans"/>
          <w:color w:val="201D17"/>
          <w:lang w:val="es-CL" w:eastAsia="es-ES_tradnl"/>
        </w:rPr>
        <w:t> se observa como todo este arte contamina el futuro, el diseño de objetos domésticos, hechos por artistas, o influidos por el arte. Es la fusión que hace la Bauhaus (cuyos profesores eran llamados “maestros de las formas”…en alemán). La sala tiene apariencia de desván de una casa, donde se juntaran todos los objetos posibles, reconocibles, que recogen las formas y colores del arte de vanguardia. Mobiliario, electrodomésticos, juguetes, proyectos arquitectónicos, fotografías, libros ilustrados para niños, películas…todos ellos de la segunda mitad del siglo XX y deudores de la infancia, la pedagogía y el arte dl primer tercio del siglo.</w:t>
      </w:r>
    </w:p>
    <w:p w14:paraId="50E9D99D"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Es en esta última sala donde encontramos </w:t>
      </w:r>
      <w:r w:rsidRPr="00361AE5">
        <w:rPr>
          <w:rFonts w:ascii="Open Sans" w:eastAsia="Times New Roman" w:hAnsi="Open Sans" w:cs="Open Sans"/>
          <w:i/>
          <w:iCs/>
          <w:color w:val="201D17"/>
          <w:lang w:val="es-CL" w:eastAsia="es-ES_tradnl"/>
        </w:rPr>
        <w:t>El coche dubitativo</w:t>
      </w:r>
      <w:r w:rsidRPr="00361AE5">
        <w:rPr>
          <w:rFonts w:ascii="Open Sans" w:eastAsia="Times New Roman" w:hAnsi="Open Sans" w:cs="Open Sans"/>
          <w:color w:val="201D17"/>
          <w:lang w:val="es-CL" w:eastAsia="es-ES_tradnl"/>
        </w:rPr>
        <w:t xml:space="preserve">, pequeña pieza de madera pintada de H. </w:t>
      </w:r>
      <w:proofErr w:type="spellStart"/>
      <w:r w:rsidRPr="00361AE5">
        <w:rPr>
          <w:rFonts w:ascii="Open Sans" w:eastAsia="Times New Roman" w:hAnsi="Open Sans" w:cs="Open Sans"/>
          <w:color w:val="201D17"/>
          <w:lang w:val="es-CL" w:eastAsia="es-ES_tradnl"/>
        </w:rPr>
        <w:t>Finsterlin</w:t>
      </w:r>
      <w:proofErr w:type="spellEnd"/>
      <w:r w:rsidRPr="00361AE5">
        <w:rPr>
          <w:rFonts w:ascii="Open Sans" w:eastAsia="Times New Roman" w:hAnsi="Open Sans" w:cs="Open Sans"/>
          <w:color w:val="201D17"/>
          <w:lang w:val="es-CL" w:eastAsia="es-ES_tradnl"/>
        </w:rPr>
        <w:t>, de 1928. Se ha convertido en el icono de la exposición, por su doble giro, por la doble visión que esta muestra nos ofrece.</w:t>
      </w:r>
    </w:p>
    <w:p w14:paraId="364E2E62" w14:textId="7295802C"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lastRenderedPageBreak/>
        <w:fldChar w:fldCharType="begin"/>
      </w:r>
      <w:r w:rsidRPr="00361AE5">
        <w:rPr>
          <w:rFonts w:ascii="Open Sans" w:eastAsia="Times New Roman" w:hAnsi="Open Sans" w:cs="Open Sans"/>
          <w:color w:val="201D17"/>
          <w:lang w:val="es-CL" w:eastAsia="es-ES_tradnl"/>
        </w:rPr>
        <w:instrText xml:space="preserve"> INCLUDEPICTURE "https://i0.wp.com/onlyartravel.com/wp-content/uploads/2019/04/arte-madrid-pedagogia-arte-diseno-1.jpg?resize=421%2C231" \* MERGEFORMATINET </w:instrText>
      </w:r>
      <w:r w:rsidRPr="00361AE5">
        <w:rPr>
          <w:rFonts w:ascii="Open Sans" w:eastAsia="Times New Roman" w:hAnsi="Open Sans" w:cs="Open Sans"/>
          <w:color w:val="201D17"/>
          <w:lang w:val="es-CL" w:eastAsia="es-ES_tradnl"/>
        </w:rPr>
        <w:fldChar w:fldCharType="separate"/>
      </w:r>
      <w:r w:rsidRPr="00361AE5">
        <w:rPr>
          <w:rFonts w:ascii="Open Sans" w:eastAsia="Times New Roman" w:hAnsi="Open Sans" w:cs="Open Sans"/>
          <w:noProof/>
          <w:color w:val="201D17"/>
          <w:lang w:val="es-CL" w:eastAsia="es-ES_tradnl"/>
        </w:rPr>
        <w:drawing>
          <wp:inline distT="0" distB="0" distL="0" distR="0" wp14:anchorId="5C8ACDDB" wp14:editId="351E9DB9">
            <wp:extent cx="5342890" cy="2931160"/>
            <wp:effectExtent l="0" t="0" r="3810" b="2540"/>
            <wp:docPr id="1" name="Imagen 1" descr="arte-madrid-pedagogia-arte-disen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te-madrid-pedagogia-arte-diseno-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2890" cy="2931160"/>
                    </a:xfrm>
                    <a:prstGeom prst="rect">
                      <a:avLst/>
                    </a:prstGeom>
                    <a:noFill/>
                    <a:ln>
                      <a:noFill/>
                    </a:ln>
                  </pic:spPr>
                </pic:pic>
              </a:graphicData>
            </a:graphic>
          </wp:inline>
        </w:drawing>
      </w:r>
      <w:r w:rsidRPr="00361AE5">
        <w:rPr>
          <w:rFonts w:ascii="Open Sans" w:eastAsia="Times New Roman" w:hAnsi="Open Sans" w:cs="Open Sans"/>
          <w:color w:val="201D17"/>
          <w:lang w:val="es-CL" w:eastAsia="es-ES_tradnl"/>
        </w:rPr>
        <w:fldChar w:fldCharType="end"/>
      </w:r>
    </w:p>
    <w:p w14:paraId="705630FA"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Nos quedamos con esta exposición</w:t>
      </w:r>
      <w:r w:rsidRPr="00361AE5">
        <w:rPr>
          <w:rFonts w:ascii="Open Sans" w:eastAsia="Times New Roman" w:hAnsi="Open Sans" w:cs="Open Sans"/>
          <w:i/>
          <w:iCs/>
          <w:color w:val="201D17"/>
          <w:lang w:val="es-CL" w:eastAsia="es-ES_tradnl"/>
        </w:rPr>
        <w:t> como una especie de caja que ha permanecido cerrada mucho tiempo…con la idea del juego como un radical humano, el dibujo libre como recurso educativo, la pedagogía basada en el juego.</w:t>
      </w:r>
    </w:p>
    <w:p w14:paraId="35A1DCAF"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Y nos quedamos con la idea de que la educación condiciona el futuro (</w:t>
      </w:r>
      <w:r w:rsidRPr="00361AE5">
        <w:rPr>
          <w:rFonts w:ascii="Open Sans" w:eastAsia="Times New Roman" w:hAnsi="Open Sans" w:cs="Open Sans"/>
          <w:i/>
          <w:iCs/>
          <w:color w:val="201D17"/>
          <w:lang w:val="es-CL" w:eastAsia="es-ES_tradnl"/>
        </w:rPr>
        <w:t>si cambias el modo de educar, cambias el modo de crear, </w:t>
      </w:r>
      <w:r w:rsidRPr="00361AE5">
        <w:rPr>
          <w:rFonts w:ascii="Open Sans" w:eastAsia="Times New Roman" w:hAnsi="Open Sans" w:cs="Open Sans"/>
          <w:color w:val="201D17"/>
          <w:lang w:val="es-CL" w:eastAsia="es-ES_tradnl"/>
        </w:rPr>
        <w:t>según el comisario de la exposición</w:t>
      </w:r>
      <w:r w:rsidRPr="00361AE5">
        <w:rPr>
          <w:rFonts w:ascii="Open Sans" w:eastAsia="Times New Roman" w:hAnsi="Open Sans" w:cs="Open Sans"/>
          <w:i/>
          <w:iCs/>
          <w:color w:val="201D17"/>
          <w:lang w:val="es-CL" w:eastAsia="es-ES_tradnl"/>
        </w:rPr>
        <w:t>.</w:t>
      </w:r>
      <w:r w:rsidRPr="00361AE5">
        <w:rPr>
          <w:rFonts w:ascii="Open Sans" w:eastAsia="Times New Roman" w:hAnsi="Open Sans" w:cs="Open Sans"/>
          <w:color w:val="201D17"/>
          <w:lang w:val="es-CL" w:eastAsia="es-ES_tradnl"/>
        </w:rPr>
        <w:t>) Los educadores pueden cambiar el mundo. Una educación basada en la libertad y la experiencia, frente a la enseñanza rígida y severa basada en la instrucción; los juegos con colores y formas abstractas, sin distinción entre niños y niñas, frente a los juguetes figurativos, que discriminan por sexo a los niños.</w:t>
      </w:r>
    </w:p>
    <w:p w14:paraId="1D9BF4C7" w14:textId="77777777" w:rsidR="00361AE5" w:rsidRPr="00361AE5" w:rsidRDefault="00361AE5" w:rsidP="00361AE5">
      <w:pPr>
        <w:shd w:val="clear" w:color="auto" w:fill="FFFFFF"/>
        <w:spacing w:before="225" w:after="225"/>
        <w:jc w:val="both"/>
        <w:rPr>
          <w:rFonts w:ascii="Open Sans" w:eastAsia="Times New Roman" w:hAnsi="Open Sans" w:cs="Open Sans"/>
          <w:color w:val="201D17"/>
          <w:lang w:val="es-CL" w:eastAsia="es-ES_tradnl"/>
        </w:rPr>
      </w:pPr>
      <w:r w:rsidRPr="00361AE5">
        <w:rPr>
          <w:rFonts w:ascii="Open Sans" w:eastAsia="Times New Roman" w:hAnsi="Open Sans" w:cs="Open Sans"/>
          <w:color w:val="201D17"/>
          <w:lang w:val="es-CL" w:eastAsia="es-ES_tradnl"/>
        </w:rPr>
        <w:t>Idea que incluso podremos adaptar a la educación y las artes en esta era de la digitalización globalizada.</w:t>
      </w:r>
    </w:p>
    <w:p w14:paraId="030A298C" w14:textId="77777777" w:rsidR="00361AE5" w:rsidRPr="00361AE5" w:rsidRDefault="00361AE5" w:rsidP="00361AE5">
      <w:pPr>
        <w:rPr>
          <w:rFonts w:ascii="Times New Roman" w:eastAsia="Times New Roman" w:hAnsi="Times New Roman" w:cs="Times New Roman"/>
          <w:lang w:val="es-CL" w:eastAsia="es-ES_tradnl"/>
        </w:rPr>
      </w:pPr>
    </w:p>
    <w:p w14:paraId="5DF7D178" w14:textId="77777777" w:rsidR="00361AE5" w:rsidRDefault="00361AE5"/>
    <w:sectPr w:rsidR="00361AE5">
      <w:footerReference w:type="even"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4531A8" w14:textId="77777777" w:rsidR="00A355E4" w:rsidRDefault="00A355E4" w:rsidP="00361AE5">
      <w:r>
        <w:separator/>
      </w:r>
    </w:p>
  </w:endnote>
  <w:endnote w:type="continuationSeparator" w:id="0">
    <w:p w14:paraId="362D4B34" w14:textId="77777777" w:rsidR="00A355E4" w:rsidRDefault="00A355E4" w:rsidP="00361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erif">
    <w:altName w:val="﷽﷽﷽﷽﷽﷽﷽﷽"/>
    <w:panose1 w:val="020A0603040505020204"/>
    <w:charset w:val="4D"/>
    <w:family w:val="roman"/>
    <w:pitch w:val="variable"/>
    <w:sig w:usb0="A00002EF" w:usb1="5000204B" w:usb2="00000000" w:usb3="00000000" w:csb0="00000097" w:csb1="00000000"/>
  </w:font>
  <w:font w:name="Open Sans">
    <w:panose1 w:val="020B0604020202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1354500430"/>
      <w:docPartObj>
        <w:docPartGallery w:val="Page Numbers (Bottom of Page)"/>
        <w:docPartUnique/>
      </w:docPartObj>
    </w:sdtPr>
    <w:sdtEndPr>
      <w:rPr>
        <w:rStyle w:val="Nmerodepgina"/>
      </w:rPr>
    </w:sdtEndPr>
    <w:sdtContent>
      <w:p w14:paraId="19D8D3D7" w14:textId="755A81C2" w:rsidR="00361AE5" w:rsidRDefault="00361AE5" w:rsidP="00852AF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5550620" w14:textId="77777777" w:rsidR="00361AE5" w:rsidRDefault="00361AE5" w:rsidP="00361AE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1737150532"/>
      <w:docPartObj>
        <w:docPartGallery w:val="Page Numbers (Bottom of Page)"/>
        <w:docPartUnique/>
      </w:docPartObj>
    </w:sdtPr>
    <w:sdtEndPr>
      <w:rPr>
        <w:rStyle w:val="Nmerodepgina"/>
      </w:rPr>
    </w:sdtEndPr>
    <w:sdtContent>
      <w:p w14:paraId="2E0791FF" w14:textId="025F0D58" w:rsidR="00361AE5" w:rsidRDefault="00361AE5" w:rsidP="00852AF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6C27B78" w14:textId="77777777" w:rsidR="00361AE5" w:rsidRDefault="00361AE5" w:rsidP="00361AE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0F938A" w14:textId="77777777" w:rsidR="00A355E4" w:rsidRDefault="00A355E4" w:rsidP="00361AE5">
      <w:r>
        <w:separator/>
      </w:r>
    </w:p>
  </w:footnote>
  <w:footnote w:type="continuationSeparator" w:id="0">
    <w:p w14:paraId="65B054B5" w14:textId="77777777" w:rsidR="00A355E4" w:rsidRDefault="00A355E4" w:rsidP="00361A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E5"/>
    <w:rsid w:val="002D64B4"/>
    <w:rsid w:val="00361AE5"/>
    <w:rsid w:val="00813FDE"/>
    <w:rsid w:val="00A355E4"/>
    <w:rsid w:val="00FD71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C992"/>
  <w15:chartTrackingRefBased/>
  <w15:docId w15:val="{BE428AD8-901D-7448-879B-EDD7BBB6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link w:val="Ttulo1Car"/>
    <w:uiPriority w:val="9"/>
    <w:qFormat/>
    <w:rsid w:val="00361AE5"/>
    <w:pPr>
      <w:spacing w:before="100" w:beforeAutospacing="1" w:after="100" w:afterAutospacing="1"/>
      <w:outlineLvl w:val="0"/>
    </w:pPr>
    <w:rPr>
      <w:rFonts w:ascii="Times New Roman" w:eastAsia="Times New Roman" w:hAnsi="Times New Roman" w:cs="Times New Roman"/>
      <w:b/>
      <w:bCs/>
      <w:kern w:val="36"/>
      <w:sz w:val="48"/>
      <w:szCs w:val="48"/>
      <w:lang w:val="es-C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AE5"/>
    <w:rPr>
      <w:rFonts w:ascii="Times New Roman" w:eastAsia="Times New Roman" w:hAnsi="Times New Roman" w:cs="Times New Roman"/>
      <w:b/>
      <w:bCs/>
      <w:kern w:val="36"/>
      <w:sz w:val="48"/>
      <w:szCs w:val="48"/>
      <w:lang w:eastAsia="es-ES_tradnl"/>
    </w:rPr>
  </w:style>
  <w:style w:type="paragraph" w:customStyle="1" w:styleId="uk-article-meta">
    <w:name w:val="uk-article-meta"/>
    <w:basedOn w:val="Normal"/>
    <w:rsid w:val="00361AE5"/>
    <w:pPr>
      <w:spacing w:before="100" w:beforeAutospacing="1" w:after="100" w:afterAutospacing="1"/>
    </w:pPr>
    <w:rPr>
      <w:rFonts w:ascii="Times New Roman" w:eastAsia="Times New Roman" w:hAnsi="Times New Roman" w:cs="Times New Roman"/>
      <w:lang w:val="es-CL" w:eastAsia="es-ES_tradnl"/>
    </w:rPr>
  </w:style>
  <w:style w:type="character" w:styleId="Hipervnculo">
    <w:name w:val="Hyperlink"/>
    <w:basedOn w:val="Fuentedeprrafopredeter"/>
    <w:uiPriority w:val="99"/>
    <w:semiHidden/>
    <w:unhideWhenUsed/>
    <w:rsid w:val="00361AE5"/>
    <w:rPr>
      <w:color w:val="0000FF"/>
      <w:u w:val="single"/>
    </w:rPr>
  </w:style>
  <w:style w:type="paragraph" w:styleId="NormalWeb">
    <w:name w:val="Normal (Web)"/>
    <w:basedOn w:val="Normal"/>
    <w:uiPriority w:val="99"/>
    <w:semiHidden/>
    <w:unhideWhenUsed/>
    <w:rsid w:val="00361AE5"/>
    <w:pPr>
      <w:spacing w:before="100" w:beforeAutospacing="1" w:after="100" w:afterAutospacing="1"/>
    </w:pPr>
    <w:rPr>
      <w:rFonts w:ascii="Times New Roman" w:eastAsia="Times New Roman" w:hAnsi="Times New Roman" w:cs="Times New Roman"/>
      <w:lang w:val="es-CL" w:eastAsia="es-ES_tradnl"/>
    </w:rPr>
  </w:style>
  <w:style w:type="character" w:styleId="nfasis">
    <w:name w:val="Emphasis"/>
    <w:basedOn w:val="Fuentedeprrafopredeter"/>
    <w:uiPriority w:val="20"/>
    <w:qFormat/>
    <w:rsid w:val="00361AE5"/>
    <w:rPr>
      <w:i/>
      <w:iCs/>
    </w:rPr>
  </w:style>
  <w:style w:type="paragraph" w:styleId="Piedepgina">
    <w:name w:val="footer"/>
    <w:basedOn w:val="Normal"/>
    <w:link w:val="PiedepginaCar"/>
    <w:uiPriority w:val="99"/>
    <w:unhideWhenUsed/>
    <w:rsid w:val="00361AE5"/>
    <w:pPr>
      <w:tabs>
        <w:tab w:val="center" w:pos="4252"/>
        <w:tab w:val="right" w:pos="8504"/>
      </w:tabs>
    </w:pPr>
  </w:style>
  <w:style w:type="character" w:customStyle="1" w:styleId="PiedepginaCar">
    <w:name w:val="Pie de página Car"/>
    <w:basedOn w:val="Fuentedeprrafopredeter"/>
    <w:link w:val="Piedepgina"/>
    <w:uiPriority w:val="99"/>
    <w:rsid w:val="00361AE5"/>
    <w:rPr>
      <w:lang w:val="es-ES"/>
    </w:rPr>
  </w:style>
  <w:style w:type="character" w:styleId="Nmerodepgina">
    <w:name w:val="page number"/>
    <w:basedOn w:val="Fuentedeprrafopredeter"/>
    <w:uiPriority w:val="99"/>
    <w:semiHidden/>
    <w:unhideWhenUsed/>
    <w:rsid w:val="00361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474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942</Words>
  <Characters>5186</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Rocha Monsalve</dc:creator>
  <cp:keywords/>
  <dc:description/>
  <cp:lastModifiedBy>Víctor Rocha Monsalve</cp:lastModifiedBy>
  <cp:revision>2</cp:revision>
  <dcterms:created xsi:type="dcterms:W3CDTF">2022-03-23T20:19:00Z</dcterms:created>
  <dcterms:modified xsi:type="dcterms:W3CDTF">2022-03-24T02:42:00Z</dcterms:modified>
</cp:coreProperties>
</file>