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Calibri" w:cs="Calibri" w:eastAsia="Calibri" w:hAnsi="Calibri"/>
          <w:b/>
          <w:bCs/>
          <w:color w:val="1A5276"/>
          <w:sz w:val="52"/>
          <w:szCs w:val="52"/>
        </w:rPr>
        <w:t xml:space="preserve">CONCURSO VIU 2026</w:t>
      </w:r>
    </w:p>
    <w:p>
      <w:pPr>
        <w:spacing w:after="80"/>
        <w:jc w:val="center"/>
      </w:pPr>
      <w:r>
        <w:rPr>
          <w:rFonts w:ascii="Calibri" w:cs="Calibri" w:eastAsia="Calibri" w:hAnsi="Calibri"/>
          <w:i/>
          <w:iCs/>
          <w:color w:val="555555"/>
          <w:sz w:val="26"/>
          <w:szCs w:val="26"/>
        </w:rPr>
        <w:t xml:space="preserve">Valorización de la Investigación en la Universidad — ANID</w:t>
      </w:r>
    </w:p>
    <w:p>
      <w:pPr>
        <w:shd w:fill="1A5276" w:val="clear"/>
        <w:spacing w:after="80" w:before="400"/>
        <w:jc w:val="center"/>
      </w:pPr>
      <w:r>
        <w:rPr>
          <w:rFonts w:ascii="Calibri" w:cs="Calibri" w:eastAsia="Calibri" w:hAnsi="Calibri"/>
          <w:b/>
          <w:bCs/>
          <w:color w:val="FFFFFF"/>
          <w:sz w:val="72"/>
          <w:szCs w:val="72"/>
        </w:rPr>
        <w:t xml:space="preserve">RutAcc</w:t>
      </w:r>
    </w:p>
    <w:p>
      <w:pPr>
        <w:spacing w:after="80"/>
        <w:jc w:val="center"/>
      </w:pPr>
      <w:r>
        <w:rPr>
          <w:rFonts w:ascii="Calibri" w:cs="Calibri" w:eastAsia="Calibri" w:hAnsi="Calibri"/>
          <w:b/>
          <w:bCs/>
          <w:color w:val="1A5276"/>
          <w:sz w:val="28"/>
          <w:szCs w:val="28"/>
        </w:rPr>
        <w:t xml:space="preserve">Aplicación de Navegación Urbana Accesible para Usuarios de Silla de Ruedas</w:t>
      </w:r>
    </w:p>
    <w:p>
      <w:pPr>
        <w:spacing w:after="80"/>
        <w:jc w:val="center"/>
      </w:pPr>
      <w:r>
        <w:rPr>
          <w:rFonts w:ascii="Calibri" w:cs="Calibri" w:eastAsia="Calibri" w:hAnsi="Calibri"/>
          <w:i/>
          <w:iCs/>
          <w:color w:val="1A7A4A"/>
          <w:sz w:val="24"/>
          <w:szCs w:val="24"/>
        </w:rPr>
        <w:t xml:space="preserve">Reducción de Carga Cognitiva mediante Diseño de Interfaz Basado en Neurociencia</w:t>
      </w:r>
    </w:p>
    <w:p>
      <w:pPr>
        <w:spacing w:before="300"/>
      </w:pPr>
      <w:r>
        <w:rPr>
          <w:rFonts w:ascii="Calibri" w:cs="Calibri" w:eastAsia="Calibri" w:hAnsi="Calibri"/>
          <w:color w:val="1C1C1C"/>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r>
              <w:rPr>
                <w:rFonts w:ascii="Calibri" w:cs="Calibri" w:eastAsia="Calibri" w:hAnsi="Calibri"/>
                <w:b/>
                <w:bCs/>
                <w:color w:val="1A5276"/>
                <w:sz w:val="20"/>
                <w:szCs w:val="20"/>
              </w:rPr>
              <w:t xml:space="preserve">Institución Beneficiaria</w:t>
            </w:r>
          </w:p>
        </w:tc>
        <w:tc>
          <w:tcPr>
            <w:tcW w:type="dxa" w:w="620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[Nombre Universidad / Instituto]</w:t>
            </w:r>
          </w:p>
        </w:tc>
      </w:tr>
      <w:tr>
        <w:tc>
          <w:tcPr>
            <w:tcW w:type="dxa" w:w="30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r>
              <w:rPr>
                <w:rFonts w:ascii="Calibri" w:cs="Calibri" w:eastAsia="Calibri" w:hAnsi="Calibri"/>
                <w:b/>
                <w:bCs/>
                <w:color w:val="1A5276"/>
                <w:sz w:val="20"/>
                <w:szCs w:val="20"/>
              </w:rPr>
              <w:t xml:space="preserve">Carrera / Programa</w:t>
            </w:r>
          </w:p>
        </w:tc>
        <w:tc>
          <w:tcPr>
            <w:tcW w:type="dxa" w:w="6200"/>
            <w:tcBorders>
              <w:top w:val="single" w:color="AAAAAA" w:sz="1"/>
              <w:left w:val="single" w:color="AAAAAA" w:sz="1"/>
              <w:bottom w:val="single" w:color="AAAAAA" w:sz="1"/>
              <w:right w:val="single" w:color="AAAAAA" w:sz="1"/>
            </w:tcBorders>
            <w:shd w:fill="F2F3F4"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[Nombre carrera — Diseño / Neurociencia / TIC]</w:t>
            </w:r>
          </w:p>
        </w:tc>
      </w:tr>
      <w:tr>
        <w:tc>
          <w:tcPr>
            <w:tcW w:type="dxa" w:w="30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r>
              <w:rPr>
                <w:rFonts w:ascii="Calibri" w:cs="Calibri" w:eastAsia="Calibri" w:hAnsi="Calibri"/>
                <w:b/>
                <w:bCs/>
                <w:color w:val="1A5276"/>
                <w:sz w:val="20"/>
                <w:szCs w:val="20"/>
              </w:rPr>
              <w:t xml:space="preserve">Director/a del Proyecto</w:t>
            </w:r>
          </w:p>
        </w:tc>
        <w:tc>
          <w:tcPr>
            <w:tcW w:type="dxa" w:w="620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[Nombre completo]</w:t>
            </w:r>
          </w:p>
        </w:tc>
      </w:tr>
      <w:tr>
        <w:tc>
          <w:tcPr>
            <w:tcW w:type="dxa" w:w="30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r>
              <w:rPr>
                <w:rFonts w:ascii="Calibri" w:cs="Calibri" w:eastAsia="Calibri" w:hAnsi="Calibri"/>
                <w:b/>
                <w:bCs/>
                <w:color w:val="1A5276"/>
                <w:sz w:val="20"/>
                <w:szCs w:val="20"/>
              </w:rPr>
              <w:t xml:space="preserve">Co-investigadores</w:t>
            </w:r>
          </w:p>
        </w:tc>
        <w:tc>
          <w:tcPr>
            <w:tcW w:type="dxa" w:w="6200"/>
            <w:tcBorders>
              <w:top w:val="single" w:color="AAAAAA" w:sz="1"/>
              <w:left w:val="single" w:color="AAAAAA" w:sz="1"/>
              <w:bottom w:val="single" w:color="AAAAAA" w:sz="1"/>
              <w:right w:val="single" w:color="AAAAAA" w:sz="1"/>
            </w:tcBorders>
            <w:shd w:fill="F2F3F4"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[Nombre(s) completo(s)]</w:t>
            </w:r>
          </w:p>
        </w:tc>
      </w:tr>
      <w:tr>
        <w:tc>
          <w:tcPr>
            <w:tcW w:type="dxa" w:w="30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r>
              <w:rPr>
                <w:rFonts w:ascii="Calibri" w:cs="Calibri" w:eastAsia="Calibri" w:hAnsi="Calibri"/>
                <w:b/>
                <w:bCs/>
                <w:color w:val="1A5276"/>
                <w:sz w:val="20"/>
                <w:szCs w:val="20"/>
              </w:rPr>
              <w:t xml:space="preserve">Enfoque Científico</w:t>
            </w:r>
          </w:p>
        </w:tc>
        <w:tc>
          <w:tcPr>
            <w:tcW w:type="dxa" w:w="620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Neurociencia Cognitiva aplicada al Diseño de Interfaces Urbanas</w:t>
            </w:r>
          </w:p>
        </w:tc>
      </w:tr>
      <w:tr>
        <w:tc>
          <w:tcPr>
            <w:tcW w:type="dxa" w:w="30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r>
              <w:rPr>
                <w:rFonts w:ascii="Calibri" w:cs="Calibri" w:eastAsia="Calibri" w:hAnsi="Calibri"/>
                <w:b/>
                <w:bCs/>
                <w:color w:val="1A5276"/>
                <w:sz w:val="20"/>
                <w:szCs w:val="20"/>
              </w:rPr>
              <w:t xml:space="preserve">Duración del Proyecto</w:t>
            </w:r>
          </w:p>
        </w:tc>
        <w:tc>
          <w:tcPr>
            <w:tcW w:type="dxa" w:w="6200"/>
            <w:tcBorders>
              <w:top w:val="single" w:color="AAAAAA" w:sz="1"/>
              <w:left w:val="single" w:color="AAAAAA" w:sz="1"/>
              <w:bottom w:val="single" w:color="AAAAAA" w:sz="1"/>
              <w:right w:val="single" w:color="AAAAAA" w:sz="1"/>
            </w:tcBorders>
            <w:shd w:fill="F2F3F4"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12 meses</w:t>
            </w:r>
          </w:p>
        </w:tc>
      </w:tr>
      <w:tr>
        <w:tc>
          <w:tcPr>
            <w:tcW w:type="dxa" w:w="30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r>
              <w:rPr>
                <w:rFonts w:ascii="Calibri" w:cs="Calibri" w:eastAsia="Calibri" w:hAnsi="Calibri"/>
                <w:b/>
                <w:bCs/>
                <w:color w:val="1A5276"/>
                <w:sz w:val="20"/>
                <w:szCs w:val="20"/>
              </w:rPr>
              <w:t xml:space="preserve">Monto Solicitado</w:t>
            </w:r>
          </w:p>
        </w:tc>
        <w:tc>
          <w:tcPr>
            <w:tcW w:type="dxa" w:w="620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$[XXXX].000 (ANID) + 20% aporte institucional</w:t>
            </w:r>
          </w:p>
        </w:tc>
      </w:tr>
      <w:tr>
        <w:tc>
          <w:tcPr>
            <w:tcW w:type="dxa" w:w="30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r>
              <w:rPr>
                <w:rFonts w:ascii="Calibri" w:cs="Calibri" w:eastAsia="Calibri" w:hAnsi="Calibri"/>
                <w:b/>
                <w:bCs/>
                <w:color w:val="1A5276"/>
                <w:sz w:val="20"/>
                <w:szCs w:val="20"/>
              </w:rPr>
              <w:t xml:space="preserve">Enlace Video Presentación</w:t>
            </w:r>
          </w:p>
        </w:tc>
        <w:tc>
          <w:tcPr>
            <w:tcW w:type="dxa" w:w="6200"/>
            <w:tcBorders>
              <w:top w:val="single" w:color="AAAAAA" w:sz="1"/>
              <w:left w:val="single" w:color="AAAAAA" w:sz="1"/>
              <w:bottom w:val="single" w:color="AAAAAA" w:sz="1"/>
              <w:right w:val="single" w:color="AAAAAA" w:sz="1"/>
            </w:tcBorders>
            <w:shd w:fill="F2F3F4"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[URL pública — YouTube / Vimeo — máx. 120 seg.]</w:t>
            </w:r>
          </w:p>
        </w:tc>
      </w:tr>
    </w:tbl>
    <w:p>
      <w:pPr>
        <w:spacing w:before="200"/>
      </w:pPr>
      <w:r>
        <w:rPr>
          <w:rFonts w:ascii="Calibri" w:cs="Calibri" w:eastAsia="Calibri" w:hAnsi="Calibri"/>
          <w:color w:val="1C1C1C"/>
          <w:sz w:val="22"/>
          <w:szCs w:val="22"/>
        </w:rPr>
        <w:t xml:space="preserve"/>
      </w:r>
    </w:p>
    <w:p>
      <w:r>
        <w:br w:type="page"/>
      </w:r>
    </w:p>
    <w:p>
      <w:pPr>
        <w:pStyle w:val="Heading1"/>
        <w:shd w:fill="1A5276" w:val="clear"/>
        <w:spacing w:after="160" w:before="280"/>
        <w:ind w:left="200" w:right="200"/>
      </w:pPr>
      <w:r>
        <w:rPr>
          <w:rFonts w:ascii="Calibri" w:cs="Calibri" w:eastAsia="Calibri" w:hAnsi="Calibri"/>
          <w:b/>
          <w:bCs/>
          <w:color w:val="FFFFFF"/>
          <w:sz w:val="36"/>
          <w:szCs w:val="36"/>
        </w:rPr>
        <w:t xml:space="preserve">1. RESUMEN EJECUTIVO</w:t>
      </w:r>
    </w:p>
    <w:p>
      <w:pPr>
        <w:spacing w:after="160"/>
        <w:jc w:val="both"/>
      </w:pPr>
      <w:r>
        <w:rPr>
          <w:rFonts w:ascii="Calibri" w:cs="Calibri" w:eastAsia="Calibri" w:hAnsi="Calibri"/>
          <w:color w:val="1C1C1C"/>
          <w:sz w:val="22"/>
          <w:szCs w:val="22"/>
        </w:rPr>
        <w:t xml:space="preserve">RutAcc es una aplicación móvil de navegación urbana diseñada específicamente para personas usuarias de sillas de ruedas. Su fundamento científico-tecnológico radica en la aplicación de principios de neurociencia cognitiva al diseño de interfaces digitales, con el objetivo central de reducir la Carga Cognitiva que experimenta este grupo de usuarios al desplazarse por el entorno urbano.</w:t>
      </w:r>
    </w:p>
    <w:p>
      <w:pPr>
        <w:spacing w:after="160"/>
        <w:jc w:val="both"/>
      </w:pPr>
      <w:r>
        <w:rPr>
          <w:rFonts w:ascii="Calibri" w:cs="Calibri" w:eastAsia="Calibri" w:hAnsi="Calibri"/>
          <w:color w:val="1C1C1C"/>
          <w:sz w:val="22"/>
          <w:szCs w:val="22"/>
        </w:rPr>
        <w:t xml:space="preserve">Desplazarse en silla de ruedas en una ciudad con infraestructura deficiente exige una demanda cognitiva constante y elevada: el usuario debe procesar simultáneamente información sobre obstáculos, evaluar alternativas de ruta, tomar decisiones en tiempo real y gestionar la incertidumbre sobre la accesibilidad del entorno. RutAcc aborda este problema desde la neurociencia aplicada al diseño, proponiendo una interfaz que minimiza la carga cognitiva extrínseca e intrínseca mediante jerarquía visual, reducción de elementos distractores y anticipación informativa de la ruta.</w:t>
      </w:r>
    </w:p>
    <w:p>
      <w:pPr>
        <w:spacing w:after="160"/>
        <w:jc w:val="both"/>
      </w:pPr>
      <w:r>
        <w:rPr>
          <w:rFonts w:ascii="Calibri" w:cs="Calibri" w:eastAsia="Calibri" w:hAnsi="Calibri"/>
          <w:color w:val="1C1C1C"/>
          <w:sz w:val="22"/>
          <w:szCs w:val="22"/>
        </w:rPr>
        <w:t xml:space="preserve">A partir de los resultados obtenidos en el trabajo de título/tesis "[Nombre del trabajo]", el proyecto propone desarrollar un sistema de enrutamiento inteligente que integra capas de datos geoespaciales oficiales con reportes ciudadanos en tiempo real. RutAcc busca posicionarse como infraestructura digital ciudadana, escalable a distintas ciudades de Chile y Latinoamérica.</w:t>
      </w:r>
    </w:p>
    <w:p>
      <w:pPr>
        <w:spacing w:after="80"/>
      </w:pPr>
      <w:r>
        <w:rPr>
          <w:rFonts w:ascii="Calibri" w:cs="Calibri" w:eastAsia="Calibri" w:hAnsi="Calibri"/>
          <w:i/>
          <w:iCs/>
          <w:color w:val="555555"/>
          <w:sz w:val="20"/>
          <w:szCs w:val="20"/>
        </w:rPr>
        <w:t xml:space="preserve">Enlace video presentación (máx. 120 seg.): [URL pública]</w:t>
      </w:r>
    </w:p>
    <w:p>
      <w:pPr>
        <w:spacing w:before="120"/>
      </w:pPr>
      <w:r>
        <w:rPr>
          <w:rFonts w:ascii="Calibri" w:cs="Calibri" w:eastAsia="Calibri" w:hAnsi="Calibri"/>
          <w:color w:val="1C1C1C"/>
          <w:sz w:val="22"/>
          <w:szCs w:val="22"/>
        </w:rPr>
        <w:t xml:space="preserve"/>
      </w:r>
    </w:p>
    <w:p>
      <w:pPr>
        <w:pStyle w:val="Heading1"/>
        <w:shd w:fill="1A5276" w:val="clear"/>
        <w:spacing w:after="160" w:before="280"/>
        <w:ind w:left="200" w:right="200"/>
      </w:pPr>
      <w:r>
        <w:rPr>
          <w:rFonts w:ascii="Calibri" w:cs="Calibri" w:eastAsia="Calibri" w:hAnsi="Calibri"/>
          <w:b/>
          <w:bCs/>
          <w:color w:val="FFFFFF"/>
          <w:sz w:val="36"/>
          <w:szCs w:val="36"/>
        </w:rPr>
        <w:t xml:space="preserve">2. PROBLEMA Y OPORTUNIDAD</w:t>
      </w:r>
    </w:p>
    <w:p>
      <w:pPr>
        <w:pStyle w:val="Heading2"/>
        <w:pBdr>
          <w:bottom w:val="single" w:color="1A5276" w:sz="6" w:space="1"/>
        </w:pBdr>
        <w:spacing w:after="120" w:before="320"/>
      </w:pPr>
      <w:r>
        <w:rPr>
          <w:rFonts w:ascii="Calibri" w:cs="Calibri" w:eastAsia="Calibri" w:hAnsi="Calibri"/>
          <w:b/>
          <w:bCs/>
          <w:color w:val="1A5276"/>
          <w:sz w:val="26"/>
          <w:szCs w:val="26"/>
        </w:rPr>
        <w:t xml:space="preserve">2.1 Descripción del Problema</w:t>
      </w:r>
    </w:p>
    <w:p>
      <w:pPr>
        <w:spacing w:after="160"/>
        <w:jc w:val="both"/>
      </w:pPr>
      <w:r>
        <w:rPr>
          <w:rFonts w:ascii="Calibri" w:cs="Calibri" w:eastAsia="Calibri" w:hAnsi="Calibri"/>
          <w:color w:val="1C1C1C"/>
          <w:sz w:val="22"/>
          <w:szCs w:val="22"/>
        </w:rPr>
        <w:t xml:space="preserve">En Chile, aproximadamente el 16,7% de la población presenta algún tipo de discapacidad (SENADIS, 2015). Para las personas usuarias de silla de ruedas, la movilidad autónoma en el espacio urbano representa uno de los principales obstáculos a la inclusión social, laboral y educativa. La infraestructura pública presenta incumplimientos frecuentes de la Ley N° 20.422 y la Ordenanza General de Urbanismo y Construcción, incluyendo:</w:t>
      </w:r>
    </w:p>
    <w:p>
      <w:pPr>
        <w:pStyle w:val="ListParagraph"/>
        <w:numPr>
          <w:ilvl w:val="0"/>
          <w:numId w:val="2"/>
        </w:numPr>
        <w:spacing w:after="80"/>
      </w:pPr>
      <w:r>
        <w:rPr>
          <w:rFonts w:ascii="Calibri" w:cs="Calibri" w:eastAsia="Calibri" w:hAnsi="Calibri"/>
          <w:color w:val="1C1C1C"/>
          <w:sz w:val="22"/>
          <w:szCs w:val="22"/>
        </w:rPr>
        <w:t xml:space="preserve">Rampas inexistentes, en mal estado o con pendientes fuera de norma.</w:t>
      </w:r>
    </w:p>
    <w:p>
      <w:pPr>
        <w:pStyle w:val="ListParagraph"/>
        <w:numPr>
          <w:ilvl w:val="0"/>
          <w:numId w:val="2"/>
        </w:numPr>
        <w:spacing w:after="80"/>
      </w:pPr>
      <w:r>
        <w:rPr>
          <w:rFonts w:ascii="Calibri" w:cs="Calibri" w:eastAsia="Calibri" w:hAnsi="Calibri"/>
          <w:color w:val="1C1C1C"/>
          <w:sz w:val="22"/>
          <w:szCs w:val="22"/>
        </w:rPr>
        <w:t xml:space="preserve">Aceras con obstáculos permanentes (mobiliario urbano, vehículos, escombros).</w:t>
      </w:r>
    </w:p>
    <w:p>
      <w:pPr>
        <w:pStyle w:val="ListParagraph"/>
        <w:numPr>
          <w:ilvl w:val="0"/>
          <w:numId w:val="2"/>
        </w:numPr>
        <w:spacing w:after="80"/>
      </w:pPr>
      <w:r>
        <w:rPr>
          <w:rFonts w:ascii="Calibri" w:cs="Calibri" w:eastAsia="Calibri" w:hAnsi="Calibri"/>
          <w:color w:val="1C1C1C"/>
          <w:sz w:val="22"/>
          <w:szCs w:val="22"/>
        </w:rPr>
        <w:t xml:space="preserve">Ausencia o deterioro de pavimento táctil y señalización accesible.</w:t>
      </w:r>
    </w:p>
    <w:p>
      <w:pPr>
        <w:pStyle w:val="ListParagraph"/>
        <w:numPr>
          <w:ilvl w:val="0"/>
          <w:numId w:val="2"/>
        </w:numPr>
        <w:spacing w:after="80"/>
      </w:pPr>
      <w:r>
        <w:rPr>
          <w:rFonts w:ascii="Calibri" w:cs="Calibri" w:eastAsia="Calibri" w:hAnsi="Calibri"/>
          <w:color w:val="1C1C1C"/>
          <w:sz w:val="22"/>
          <w:szCs w:val="22"/>
        </w:rPr>
        <w:t xml:space="preserve">Falta de información sistematizada y actualizada sobre el estado real del entorno urbano.</w:t>
      </w:r>
    </w:p>
    <w:p>
      <w:pPr>
        <w:spacing w:before="80"/>
      </w:pPr>
      <w:r>
        <w:rPr>
          <w:rFonts w:ascii="Calibri" w:cs="Calibri" w:eastAsia="Calibri" w:hAnsi="Calibri"/>
          <w:color w:val="1C1C1C"/>
          <w:sz w:val="22"/>
          <w:szCs w:val="22"/>
        </w:rPr>
        <w:t xml:space="preserve"/>
      </w:r>
    </w:p>
    <w:p>
      <w:pPr>
        <w:pStyle w:val="Heading2"/>
        <w:pBdr>
          <w:bottom w:val="single" w:color="1A7A4A" w:sz="6" w:space="1"/>
        </w:pBdr>
        <w:spacing w:after="120" w:before="320"/>
      </w:pPr>
      <w:r>
        <w:rPr>
          <w:rFonts w:ascii="Calibri" w:cs="Calibri" w:eastAsia="Calibri" w:hAnsi="Calibri"/>
          <w:b/>
          <w:bCs/>
          <w:color w:val="1A7A4A"/>
          <w:sz w:val="26"/>
          <w:szCs w:val="26"/>
        </w:rPr>
        <w:t xml:space="preserve">2.2 La Dimensión Cognitiva del Problema: Carga Cognitiva en la Ciudad</w:t>
      </w:r>
    </w:p>
    <w:p>
      <w:pPr>
        <w:spacing w:after="160"/>
        <w:jc w:val="both"/>
      </w:pPr>
      <w:r>
        <w:rPr>
          <w:rFonts w:ascii="Calibri" w:cs="Calibri" w:eastAsia="Calibri" w:hAnsi="Calibri"/>
          <w:color w:val="1C1C1C"/>
          <w:sz w:val="22"/>
          <w:szCs w:val="22"/>
        </w:rPr>
        <w:t xml:space="preserve">Más allá de las barreras físicas, existe una dimensión cognitiva del problema que las soluciones de navegación actuales ignoran completamente. La Teoría de la Carga Cognitiva (Sweller, 1988; revisada por Paas &amp; Van Merriënboer, 2020) plantea que la memoria de trabajo humana tiene una capacidad limitada para procesar información simultáneamente. Cuando esa capacidad se supera, el desempeño se deteriora y el bienestar se ve afectado.</w:t>
      </w:r>
    </w:p>
    <w:p>
      <w:pPr>
        <w:spacing w:after="160"/>
        <w:jc w:val="both"/>
      </w:pPr>
      <w:r>
        <w:rPr>
          <w:rFonts w:ascii="Calibri" w:cs="Calibri" w:eastAsia="Calibri" w:hAnsi="Calibri"/>
          <w:color w:val="1C1C1C"/>
          <w:sz w:val="22"/>
          <w:szCs w:val="22"/>
        </w:rPr>
        <w:t xml:space="preserve">Para una persona usuaria de silla de ruedas en el espacio urbano, esta sobrecarga cognitiva es una realidad cotidiana. Investigaciones en neurociencia aplicada a la movilidad (Mace et al., 2018; Hölscher et al., 2020) documentan que la navegación en entornos con alta incertidumbre de accesibilidad genera:</w:t>
      </w:r>
    </w:p>
    <w:p>
      <w:pPr>
        <w:pStyle w:val="ListParagraph"/>
        <w:numPr>
          <w:ilvl w:val="0"/>
          <w:numId w:val="2"/>
        </w:numPr>
        <w:spacing w:after="80"/>
      </w:pPr>
      <w:r>
        <w:rPr>
          <w:rFonts w:ascii="Calibri" w:cs="Calibri" w:eastAsia="Calibri" w:hAnsi="Calibri"/>
          <w:color w:val="1C1C1C"/>
          <w:sz w:val="22"/>
          <w:szCs w:val="22"/>
        </w:rPr>
        <w:t xml:space="preserve">Carga cognitiva intrínseca elevada: complejidad inherente de procesar simultáneamente la movilidad del cuerpo, la evaluación del terreno y la planificación de la ruta.</w:t>
      </w:r>
    </w:p>
    <w:p>
      <w:pPr>
        <w:pStyle w:val="ListParagraph"/>
        <w:numPr>
          <w:ilvl w:val="0"/>
          <w:numId w:val="2"/>
        </w:numPr>
        <w:spacing w:after="80"/>
      </w:pPr>
      <w:r>
        <w:rPr>
          <w:rFonts w:ascii="Calibri" w:cs="Calibri" w:eastAsia="Calibri" w:hAnsi="Calibri"/>
          <w:color w:val="1C1C1C"/>
          <w:sz w:val="22"/>
          <w:szCs w:val="22"/>
        </w:rPr>
        <w:t xml:space="preserve">Carga cognitiva extrínseca incrementada: interfaces de navegación genéricas (Google Maps, Waze) diseñadas para peatones o conductores sin discapacidad, que presentan información irrelevante o ausente para el usuario en silla de ruedas.</w:t>
      </w:r>
    </w:p>
    <w:p>
      <w:pPr>
        <w:pStyle w:val="ListParagraph"/>
        <w:numPr>
          <w:ilvl w:val="0"/>
          <w:numId w:val="2"/>
        </w:numPr>
        <w:spacing w:after="80"/>
      </w:pPr>
      <w:r>
        <w:rPr>
          <w:rFonts w:ascii="Calibri" w:cs="Calibri" w:eastAsia="Calibri" w:hAnsi="Calibri"/>
          <w:color w:val="1C1C1C"/>
          <w:sz w:val="22"/>
          <w:szCs w:val="22"/>
        </w:rPr>
        <w:t xml:space="preserve">Estrés y fatiga cognitiva acumulativa: la incertidumbre sobre la accesibilidad del siguiente tramo activa respuestas de alerta sostenida, con impacto en la corteza prefrontal y el sistema límbico, lo que se traduce en fatiga, ansiedad y evitación del espacio público.</w:t>
      </w:r>
    </w:p>
    <w:p>
      <w:pPr>
        <w:spacing w:before="80"/>
      </w:pPr>
      <w:r>
        <w:rPr>
          <w:rFonts w:ascii="Calibri" w:cs="Calibri" w:eastAsia="Calibri" w:hAnsi="Calibri"/>
          <w:color w:val="1C1C1C"/>
          <w:sz w:val="22"/>
          <w:szCs w:val="22"/>
        </w:rPr>
        <w:t xml:space="preserve"/>
      </w:r>
    </w:p>
    <w:p>
      <w:pPr>
        <w:spacing w:after="160"/>
        <w:jc w:val="both"/>
      </w:pPr>
      <w:r>
        <w:rPr>
          <w:rFonts w:ascii="Calibri" w:cs="Calibri" w:eastAsia="Calibri" w:hAnsi="Calibri"/>
          <w:color w:val="1C1C1C"/>
          <w:sz w:val="22"/>
          <w:szCs w:val="22"/>
        </w:rPr>
        <w:t xml:space="preserve">Las aplicaciones de navegación disponibles no fueron diseñadas para este usuario: no incorporan variables de accesibilidad en sus algoritmos de ruta, no permiten reportar barreras y, desde la perspectiva neurocognitiva, aumentan la carga cognitiva extrínseca al obligar al usuario a filtrar manualmente información irrelevante y buscar datos de accesibilidad fuera de la aplicación.</w:t>
      </w:r>
    </w:p>
    <w:p>
      <w:pPr>
        <w:pStyle w:val="Heading2"/>
        <w:pBdr>
          <w:bottom w:val="single" w:color="1A5276" w:sz="6" w:space="1"/>
        </w:pBdr>
        <w:spacing w:after="120" w:before="320"/>
      </w:pPr>
      <w:r>
        <w:rPr>
          <w:rFonts w:ascii="Calibri" w:cs="Calibri" w:eastAsia="Calibri" w:hAnsi="Calibri"/>
          <w:b/>
          <w:bCs/>
          <w:color w:val="1A5276"/>
          <w:sz w:val="26"/>
          <w:szCs w:val="26"/>
        </w:rPr>
        <w:t xml:space="preserve">2.3 Oportunidad de Emprendimiento</w:t>
      </w:r>
    </w:p>
    <w:p>
      <w:pPr>
        <w:spacing w:after="160"/>
        <w:jc w:val="both"/>
      </w:pPr>
      <w:r>
        <w:rPr>
          <w:rFonts w:ascii="Calibri" w:cs="Calibri" w:eastAsia="Calibri" w:hAnsi="Calibri"/>
          <w:color w:val="1C1C1C"/>
          <w:sz w:val="22"/>
          <w:szCs w:val="22"/>
        </w:rPr>
        <w:t xml:space="preserve">Existe una brecha tecnológica, científica y social clara: no hay soluciones de navegación accesible disponibles en Chile que integren datos oficiales, participación ciudadana y principios neurocognitivos de diseño en un solo entorno digital. RutAcc representa una oportunidad de impacto social medible, escalabilidad a otras ciudades y potencial de vinculación con municipios, SENADIS, centros de neurociencia y organismos internacionales de accesibilidad.</w:t>
      </w:r>
    </w:p>
    <w:p>
      <w:pPr>
        <w:spacing w:before="120"/>
      </w:pPr>
      <w:r>
        <w:rPr>
          <w:rFonts w:ascii="Calibri" w:cs="Calibri" w:eastAsia="Calibri" w:hAnsi="Calibri"/>
          <w:color w:val="1C1C1C"/>
          <w:sz w:val="22"/>
          <w:szCs w:val="22"/>
        </w:rPr>
        <w:t xml:space="preserve"/>
      </w:r>
    </w:p>
    <w:p>
      <w:pPr>
        <w:pStyle w:val="Heading1"/>
        <w:shd w:fill="1A5276" w:val="clear"/>
        <w:spacing w:after="160" w:before="280"/>
        <w:ind w:left="200" w:right="200"/>
      </w:pPr>
      <w:r>
        <w:rPr>
          <w:rFonts w:ascii="Calibri" w:cs="Calibri" w:eastAsia="Calibri" w:hAnsi="Calibri"/>
          <w:b/>
          <w:bCs/>
          <w:color w:val="FFFFFF"/>
          <w:sz w:val="36"/>
          <w:szCs w:val="36"/>
        </w:rPr>
        <w:t xml:space="preserve">3. PROPUESTA DE VALOR</w:t>
      </w:r>
    </w:p>
    <w:p>
      <w:pPr>
        <w:pStyle w:val="Heading2"/>
        <w:pBdr>
          <w:bottom w:val="single" w:color="1A7A4A" w:sz="6" w:space="1"/>
        </w:pBdr>
        <w:spacing w:after="120" w:before="320"/>
      </w:pPr>
      <w:r>
        <w:rPr>
          <w:rFonts w:ascii="Calibri" w:cs="Calibri" w:eastAsia="Calibri" w:hAnsi="Calibri"/>
          <w:b/>
          <w:bCs/>
          <w:color w:val="1A7A4A"/>
          <w:sz w:val="26"/>
          <w:szCs w:val="26"/>
        </w:rPr>
        <w:t xml:space="preserve">3.1 Enfoque Científico: Neurociencia Cognitiva aplicada al Diseño</w:t>
      </w:r>
    </w:p>
    <w:p>
      <w:pPr>
        <w:spacing w:after="160"/>
        <w:jc w:val="both"/>
      </w:pPr>
      <w:r>
        <w:rPr>
          <w:rFonts w:ascii="Calibri" w:cs="Calibri" w:eastAsia="Calibri" w:hAnsi="Calibri"/>
          <w:color w:val="1C1C1C"/>
          <w:sz w:val="22"/>
          <w:szCs w:val="22"/>
        </w:rPr>
        <w:t xml:space="preserve">El núcleo diferenciador de RutAcc es su fundamentación en neurociencia cognitiva. El diseño de la interfaz no es una decisión estética, sino una decisión científica orientada a reducir la carga cognitiva en cada interacción. El proyecto adopta el marco teórico de la Cognitive Load Theory (CLT) en su aplicación al diseño de sistemas de información (van Merriënboer &amp; Sweller, 2010) y los principios de Diseño para la Reducción de Esfuerzo Cognitivo (Lidwell et al., Universal Principles of Design), integrándolos con hallazgos de neuroimagen sobre navegación espacial y toma de decisiones bajo incertidumbre.</w:t>
      </w:r>
    </w:p>
    <w:p>
      <w:pPr>
        <w:spacing w:before="80"/>
      </w:pPr>
      <w:r>
        <w:rPr>
          <w:rFonts w:ascii="Calibri" w:cs="Calibri" w:eastAsia="Calibri" w:hAnsi="Calibri"/>
          <w:color w:val="1C1C1C"/>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800"/>
      </w:tblGrid>
      <w:tr>
        <w:tc>
          <w:tcPr>
            <w:tcW w:type="dxa" w:w="2200"/>
            <w:tcBorders>
              <w:top w:val="single" w:color="AAAAAA" w:sz="1"/>
              <w:left w:val="single" w:color="AAAAAA" w:sz="1"/>
              <w:bottom w:val="single" w:color="AAAAAA" w:sz="1"/>
              <w:right w:val="single" w:color="AAAAAA" w:sz="1"/>
            </w:tcBorders>
            <w:shd w:fill="1A7A4A"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PRINCIPIO NEUROCOGNITIVO</w:t>
            </w:r>
          </w:p>
        </w:tc>
        <w:tc>
          <w:tcPr>
            <w:tcW w:type="dxa" w:w="3200"/>
            <w:tcBorders>
              <w:top w:val="single" w:color="AAAAAA" w:sz="1"/>
              <w:left w:val="single" w:color="AAAAAA" w:sz="1"/>
              <w:bottom w:val="single" w:color="AAAAAA" w:sz="1"/>
              <w:right w:val="single" w:color="AAAAAA" w:sz="1"/>
            </w:tcBorders>
            <w:shd w:fill="1A7A4A"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PROBLEMA QUE RESUELVE</w:t>
            </w:r>
          </w:p>
        </w:tc>
        <w:tc>
          <w:tcPr>
            <w:tcW w:type="dxa" w:w="3800"/>
            <w:tcBorders>
              <w:top w:val="single" w:color="AAAAAA" w:sz="1"/>
              <w:left w:val="single" w:color="AAAAAA" w:sz="1"/>
              <w:bottom w:val="single" w:color="AAAAAA" w:sz="1"/>
              <w:right w:val="single" w:color="AAAAAA" w:sz="1"/>
            </w:tcBorders>
            <w:shd w:fill="1A7A4A"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SOLUCIÓN DE DISEÑO EN RutAcc</w:t>
            </w:r>
          </w:p>
        </w:tc>
      </w:tr>
      <w:tr>
        <w:tc>
          <w:tcPr>
            <w:tcW w:type="dxa" w:w="2200"/>
            <w:tcBorders>
              <w:top w:val="single" w:color="AAAAAA" w:sz="1"/>
              <w:left w:val="single" w:color="AAAAAA" w:sz="1"/>
              <w:bottom w:val="single" w:color="AAAAAA" w:sz="1"/>
              <w:right w:val="single" w:color="AAAAAA" w:sz="1"/>
            </w:tcBorders>
            <w:shd w:fill="D5F0E0" w:val="clear"/>
            <w:tcMar>
              <w:top w:type="dxa" w:w="70"/>
              <w:left w:type="dxa" w:w="140"/>
              <w:bottom w:type="dxa" w:w="70"/>
              <w:right w:type="dxa" w:w="140"/>
            </w:tcMar>
            <w:vAlign w:val="center"/>
          </w:tcPr>
          <w:p>
            <w:r>
              <w:rPr>
                <w:rFonts w:ascii="Calibri" w:cs="Calibri" w:eastAsia="Calibri" w:hAnsi="Calibri"/>
                <w:b/>
                <w:bCs/>
                <w:color w:val="1A7A4A"/>
                <w:sz w:val="20"/>
                <w:szCs w:val="20"/>
              </w:rPr>
              <w:t xml:space="preserve">Reducción de carga extrínseca</w:t>
            </w:r>
          </w:p>
        </w:tc>
        <w:tc>
          <w:tcPr>
            <w:tcW w:type="dxa" w:w="320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Exceso de información visual irrelevante en mapas genéricos.</w:t>
            </w:r>
          </w:p>
        </w:tc>
        <w:tc>
          <w:tcPr>
            <w:tcW w:type="dxa" w:w="3800"/>
            <w:tcBorders>
              <w:top w:val="single" w:color="AAAAAA" w:sz="1"/>
              <w:left w:val="single" w:color="AAAAAA" w:sz="1"/>
              <w:bottom w:val="single" w:color="AAAAAA" w:sz="1"/>
              <w:right w:val="single" w:color="AAAAAA" w:sz="1"/>
            </w:tcBorders>
            <w:shd w:fill="F2F3F4"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Interfaz minimalista adaptada: solo muestra capas relevantes para accesibilidad, ocultando ruido visual.</w:t>
            </w:r>
          </w:p>
        </w:tc>
      </w:tr>
      <w:tr>
        <w:tc>
          <w:tcPr>
            <w:tcW w:type="dxa" w:w="2200"/>
            <w:tcBorders>
              <w:top w:val="single" w:color="AAAAAA" w:sz="1"/>
              <w:left w:val="single" w:color="AAAAAA" w:sz="1"/>
              <w:bottom w:val="single" w:color="AAAAAA" w:sz="1"/>
              <w:right w:val="single" w:color="AAAAAA" w:sz="1"/>
            </w:tcBorders>
            <w:shd w:fill="D5F0E0" w:val="clear"/>
            <w:tcMar>
              <w:top w:type="dxa" w:w="70"/>
              <w:left w:type="dxa" w:w="140"/>
              <w:bottom w:type="dxa" w:w="70"/>
              <w:right w:type="dxa" w:w="140"/>
            </w:tcMar>
            <w:vAlign w:val="center"/>
          </w:tcPr>
          <w:p>
            <w:r>
              <w:rPr>
                <w:rFonts w:ascii="Calibri" w:cs="Calibri" w:eastAsia="Calibri" w:hAnsi="Calibri"/>
                <w:b/>
                <w:bCs/>
                <w:color w:val="1A7A4A"/>
                <w:sz w:val="20"/>
                <w:szCs w:val="20"/>
              </w:rPr>
              <w:t xml:space="preserve">Chunking informativo</w:t>
            </w:r>
          </w:p>
        </w:tc>
        <w:tc>
          <w:tcPr>
            <w:tcW w:type="dxa" w:w="32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El usuario debe procesar múltiples variables de ruta simultáneamente.</w:t>
            </w:r>
          </w:p>
        </w:tc>
        <w:tc>
          <w:tcPr>
            <w:tcW w:type="dxa" w:w="38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Agrupación visual de datos de accesibilidad en íconos semánticos unificados, reduciendo elementos a procesar.</w:t>
            </w:r>
          </w:p>
        </w:tc>
      </w:tr>
      <w:tr>
        <w:tc>
          <w:tcPr>
            <w:tcW w:type="dxa" w:w="2200"/>
            <w:tcBorders>
              <w:top w:val="single" w:color="AAAAAA" w:sz="1"/>
              <w:left w:val="single" w:color="AAAAAA" w:sz="1"/>
              <w:bottom w:val="single" w:color="AAAAAA" w:sz="1"/>
              <w:right w:val="single" w:color="AAAAAA" w:sz="1"/>
            </w:tcBorders>
            <w:shd w:fill="D5F0E0" w:val="clear"/>
            <w:tcMar>
              <w:top w:type="dxa" w:w="70"/>
              <w:left w:type="dxa" w:w="140"/>
              <w:bottom w:type="dxa" w:w="70"/>
              <w:right w:type="dxa" w:w="140"/>
            </w:tcMar>
            <w:vAlign w:val="center"/>
          </w:tcPr>
          <w:p>
            <w:r>
              <w:rPr>
                <w:rFonts w:ascii="Calibri" w:cs="Calibri" w:eastAsia="Calibri" w:hAnsi="Calibri"/>
                <w:b/>
                <w:bCs/>
                <w:color w:val="1A7A4A"/>
                <w:sz w:val="20"/>
                <w:szCs w:val="20"/>
              </w:rPr>
              <w:t xml:space="preserve">Anticipación y predictibilidad</w:t>
            </w:r>
          </w:p>
        </w:tc>
        <w:tc>
          <w:tcPr>
            <w:tcW w:type="dxa" w:w="320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La incertidumbre sobre accesibilidad del próximo tramo genera alerta sostenida.</w:t>
            </w:r>
          </w:p>
        </w:tc>
        <w:tc>
          <w:tcPr>
            <w:tcW w:type="dxa" w:w="3800"/>
            <w:tcBorders>
              <w:top w:val="single" w:color="AAAAAA" w:sz="1"/>
              <w:left w:val="single" w:color="AAAAAA" w:sz="1"/>
              <w:bottom w:val="single" w:color="AAAAAA" w:sz="1"/>
              <w:right w:val="single" w:color="AAAAAA" w:sz="1"/>
            </w:tcBorders>
            <w:shd w:fill="F2F3F4"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Alertas proactivas y previsualización de obstáculos antes de que el usuario los encuentre.</w:t>
            </w:r>
          </w:p>
        </w:tc>
      </w:tr>
      <w:tr>
        <w:tc>
          <w:tcPr>
            <w:tcW w:type="dxa" w:w="2200"/>
            <w:tcBorders>
              <w:top w:val="single" w:color="AAAAAA" w:sz="1"/>
              <w:left w:val="single" w:color="AAAAAA" w:sz="1"/>
              <w:bottom w:val="single" w:color="AAAAAA" w:sz="1"/>
              <w:right w:val="single" w:color="AAAAAA" w:sz="1"/>
            </w:tcBorders>
            <w:shd w:fill="D5F0E0" w:val="clear"/>
            <w:tcMar>
              <w:top w:type="dxa" w:w="70"/>
              <w:left w:type="dxa" w:w="140"/>
              <w:bottom w:type="dxa" w:w="70"/>
              <w:right w:type="dxa" w:w="140"/>
            </w:tcMar>
            <w:vAlign w:val="center"/>
          </w:tcPr>
          <w:p>
            <w:r>
              <w:rPr>
                <w:rFonts w:ascii="Calibri" w:cs="Calibri" w:eastAsia="Calibri" w:hAnsi="Calibri"/>
                <w:b/>
                <w:bCs/>
                <w:color w:val="1A7A4A"/>
                <w:sz w:val="20"/>
                <w:szCs w:val="20"/>
              </w:rPr>
              <w:t xml:space="preserve">Memoria de trabajo y offloading</w:t>
            </w:r>
          </w:p>
        </w:tc>
        <w:tc>
          <w:tcPr>
            <w:tcW w:type="dxa" w:w="32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El usuario debe recordar rutas alternativas mientras navega.</w:t>
            </w:r>
          </w:p>
        </w:tc>
        <w:tc>
          <w:tcPr>
            <w:tcW w:type="dxa" w:w="38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La app externaliza la memoria de ruta: el usuario delega la planificación al sistema y se concentra en el desplazamiento.</w:t>
            </w:r>
          </w:p>
        </w:tc>
      </w:tr>
      <w:tr>
        <w:tc>
          <w:tcPr>
            <w:tcW w:type="dxa" w:w="2200"/>
            <w:tcBorders>
              <w:top w:val="single" w:color="AAAAAA" w:sz="1"/>
              <w:left w:val="single" w:color="AAAAAA" w:sz="1"/>
              <w:bottom w:val="single" w:color="AAAAAA" w:sz="1"/>
              <w:right w:val="single" w:color="AAAAAA" w:sz="1"/>
            </w:tcBorders>
            <w:shd w:fill="D5F0E0" w:val="clear"/>
            <w:tcMar>
              <w:top w:type="dxa" w:w="70"/>
              <w:left w:type="dxa" w:w="140"/>
              <w:bottom w:type="dxa" w:w="70"/>
              <w:right w:type="dxa" w:w="140"/>
            </w:tcMar>
            <w:vAlign w:val="center"/>
          </w:tcPr>
          <w:p>
            <w:r>
              <w:rPr>
                <w:rFonts w:ascii="Calibri" w:cs="Calibri" w:eastAsia="Calibri" w:hAnsi="Calibri"/>
                <w:b/>
                <w:bCs/>
                <w:color w:val="1A7A4A"/>
                <w:sz w:val="20"/>
                <w:szCs w:val="20"/>
              </w:rPr>
              <w:t xml:space="preserve">Retroalimentación inmediata</w:t>
            </w:r>
          </w:p>
        </w:tc>
        <w:tc>
          <w:tcPr>
            <w:tcW w:type="dxa" w:w="320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Ausencia de confirmación sobre el estado real del entorno genera incertidumbre ansiógena.</w:t>
            </w:r>
          </w:p>
        </w:tc>
        <w:tc>
          <w:tcPr>
            <w:tcW w:type="dxa" w:w="3800"/>
            <w:tcBorders>
              <w:top w:val="single" w:color="AAAAAA" w:sz="1"/>
              <w:left w:val="single" w:color="AAAAAA" w:sz="1"/>
              <w:bottom w:val="single" w:color="AAAAAA" w:sz="1"/>
              <w:right w:val="single" w:color="AAAAAA" w:sz="1"/>
            </w:tcBorders>
            <w:shd w:fill="F2F3F4"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Confirmaciones visuales y hápticas en tiempo real sobre el estado de accesibilidad del tramo actual.</w:t>
            </w:r>
          </w:p>
        </w:tc>
      </w:tr>
    </w:tbl>
    <w:p>
      <w:pPr>
        <w:spacing w:before="160"/>
      </w:pPr>
      <w:r>
        <w:rPr>
          <w:rFonts w:ascii="Calibri" w:cs="Calibri" w:eastAsia="Calibri" w:hAnsi="Calibri"/>
          <w:color w:val="1C1C1C"/>
          <w:sz w:val="22"/>
          <w:szCs w:val="22"/>
        </w:rPr>
        <w:t xml:space="preserve"/>
      </w:r>
    </w:p>
    <w:p>
      <w:pPr>
        <w:pStyle w:val="Heading2"/>
        <w:pBdr>
          <w:bottom w:val="single" w:color="1A5276" w:sz="6" w:space="1"/>
        </w:pBdr>
        <w:spacing w:after="120" w:before="320"/>
      </w:pPr>
      <w:r>
        <w:rPr>
          <w:rFonts w:ascii="Calibri" w:cs="Calibri" w:eastAsia="Calibri" w:hAnsi="Calibri"/>
          <w:b/>
          <w:bCs/>
          <w:color w:val="1A5276"/>
          <w:sz w:val="26"/>
          <w:szCs w:val="26"/>
        </w:rPr>
        <w:t xml:space="preserve">3.2 Funcionalidades de la Aplicación</w:t>
      </w:r>
    </w:p>
    <w:p>
      <w:pPr>
        <w:spacing w:after="160"/>
        <w:jc w:val="both"/>
      </w:pPr>
      <w:r>
        <w:rPr>
          <w:rFonts w:ascii="Calibri" w:cs="Calibri" w:eastAsia="Calibri" w:hAnsi="Calibri"/>
          <w:color w:val="1C1C1C"/>
          <w:sz w:val="22"/>
          <w:szCs w:val="22"/>
        </w:rPr>
        <w:t xml:space="preserve">RutAcc integra cinco módulos funcionales que traducen los principios neurocognitivos anteriores en características concretas:</w:t>
      </w:r>
    </w:p>
    <w:p>
      <w:pPr>
        <w:spacing w:before="80"/>
      </w:pPr>
      <w:r>
        <w:rPr>
          <w:rFonts w:ascii="Calibri" w:cs="Calibri" w:eastAsia="Calibri" w:hAnsi="Calibri"/>
          <w:color w:val="1C1C1C"/>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400"/>
      </w:tblGrid>
      <w:tr>
        <w:tc>
          <w:tcPr>
            <w:tcW w:type="dxa" w:w="1800"/>
            <w:tcBorders>
              <w:top w:val="single" w:color="AAAAAA" w:sz="1"/>
              <w:left w:val="single" w:color="AAAAAA" w:sz="1"/>
              <w:bottom w:val="single" w:color="AAAAAA" w:sz="1"/>
              <w:right w:val="single" w:color="AAAAAA" w:sz="1"/>
            </w:tcBorders>
            <w:shd w:fill="1A5276"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MÓDULO</w:t>
            </w:r>
          </w:p>
        </w:tc>
        <w:tc>
          <w:tcPr>
            <w:tcW w:type="dxa" w:w="3000"/>
            <w:tcBorders>
              <w:top w:val="single" w:color="AAAAAA" w:sz="1"/>
              <w:left w:val="single" w:color="AAAAAA" w:sz="1"/>
              <w:bottom w:val="single" w:color="AAAAAA" w:sz="1"/>
              <w:right w:val="single" w:color="AAAAAA" w:sz="1"/>
            </w:tcBorders>
            <w:shd w:fill="1A5276"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FUNCIÓN</w:t>
            </w:r>
          </w:p>
        </w:tc>
        <w:tc>
          <w:tcPr>
            <w:tcW w:type="dxa" w:w="4400"/>
            <w:tcBorders>
              <w:top w:val="single" w:color="AAAAAA" w:sz="1"/>
              <w:left w:val="single" w:color="AAAAAA" w:sz="1"/>
              <w:bottom w:val="single" w:color="AAAAAA" w:sz="1"/>
              <w:right w:val="single" w:color="AAAAAA" w:sz="1"/>
            </w:tcBorders>
            <w:shd w:fill="1A5276"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IMPACTO EN CARGA COGNITIVA</w:t>
            </w:r>
          </w:p>
        </w:tc>
      </w:tr>
      <w:tr>
        <w:tc>
          <w:tcPr>
            <w:tcW w:type="dxa" w:w="18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r>
              <w:rPr>
                <w:rFonts w:ascii="Calibri" w:cs="Calibri" w:eastAsia="Calibri" w:hAnsi="Calibri"/>
                <w:b/>
                <w:bCs/>
                <w:color w:val="1A5276"/>
                <w:sz w:val="20"/>
                <w:szCs w:val="20"/>
              </w:rPr>
              <w:t xml:space="preserve">Rutas Personalizadas</w:t>
            </w:r>
          </w:p>
        </w:tc>
        <w:tc>
          <w:tcPr>
            <w:tcW w:type="dxa" w:w="300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Algoritmo multicriterio: menor barrera arquitectónica, pendiente y superficie apta.</w:t>
            </w:r>
          </w:p>
        </w:tc>
        <w:tc>
          <w:tcPr>
            <w:tcW w:type="dxa" w:w="4400"/>
            <w:tcBorders>
              <w:top w:val="single" w:color="AAAAAA" w:sz="1"/>
              <w:left w:val="single" w:color="AAAAAA" w:sz="1"/>
              <w:bottom w:val="single" w:color="AAAAAA" w:sz="1"/>
              <w:right w:val="single" w:color="AAAAAA" w:sz="1"/>
            </w:tcBorders>
            <w:shd w:fill="F2F3F4"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Elimina la necesidad de planificación manual de rutas alternativas — reduce carga intrínseca.</w:t>
            </w:r>
          </w:p>
        </w:tc>
      </w:tr>
      <w:tr>
        <w:tc>
          <w:tcPr>
            <w:tcW w:type="dxa" w:w="18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r>
              <w:rPr>
                <w:rFonts w:ascii="Calibri" w:cs="Calibri" w:eastAsia="Calibri" w:hAnsi="Calibri"/>
                <w:b/>
                <w:bCs/>
                <w:color w:val="1A5276"/>
                <w:sz w:val="20"/>
                <w:szCs w:val="20"/>
              </w:rPr>
              <w:t xml:space="preserve">Mapa de Accesibilidad</w:t>
            </w:r>
          </w:p>
        </w:tc>
        <w:tc>
          <w:tcPr>
            <w:tcW w:type="dxa" w:w="30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Capa visual con rampas, ascensores y superficies habilitadas.</w:t>
            </w:r>
          </w:p>
        </w:tc>
        <w:tc>
          <w:tcPr>
            <w:tcW w:type="dxa" w:w="44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Diseño de iconografía neurocognitiva: señales visuales de alta distinción, baja ambigüedad — reduce carga extrínseca.</w:t>
            </w:r>
          </w:p>
        </w:tc>
      </w:tr>
      <w:tr>
        <w:tc>
          <w:tcPr>
            <w:tcW w:type="dxa" w:w="18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r>
              <w:rPr>
                <w:rFonts w:ascii="Calibri" w:cs="Calibri" w:eastAsia="Calibri" w:hAnsi="Calibri"/>
                <w:b/>
                <w:bCs/>
                <w:color w:val="1A5276"/>
                <w:sz w:val="20"/>
                <w:szCs w:val="20"/>
              </w:rPr>
              <w:t xml:space="preserve">Reportar Problemas</w:t>
            </w:r>
          </w:p>
        </w:tc>
        <w:tc>
          <w:tcPr>
            <w:tcW w:type="dxa" w:w="300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Reporte ciudadano de rampas dañadas, obstáculos y señalización ausente.</w:t>
            </w:r>
          </w:p>
        </w:tc>
        <w:tc>
          <w:tcPr>
            <w:tcW w:type="dxa" w:w="4400"/>
            <w:tcBorders>
              <w:top w:val="single" w:color="AAAAAA" w:sz="1"/>
              <w:left w:val="single" w:color="AAAAAA" w:sz="1"/>
              <w:bottom w:val="single" w:color="AAAAAA" w:sz="1"/>
              <w:right w:val="single" w:color="AAAAAA" w:sz="1"/>
            </w:tcBorders>
            <w:shd w:fill="F2F3F4"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Mantiene el modelo mental del entorno actualizado — previene sorpresas cognitivamente costosas.</w:t>
            </w:r>
          </w:p>
        </w:tc>
      </w:tr>
      <w:tr>
        <w:tc>
          <w:tcPr>
            <w:tcW w:type="dxa" w:w="18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r>
              <w:rPr>
                <w:rFonts w:ascii="Calibri" w:cs="Calibri" w:eastAsia="Calibri" w:hAnsi="Calibri"/>
                <w:b/>
                <w:bCs/>
                <w:color w:val="1A5276"/>
                <w:sz w:val="20"/>
                <w:szCs w:val="20"/>
              </w:rPr>
              <w:t xml:space="preserve">Fiscalizar Diseño</w:t>
            </w:r>
          </w:p>
        </w:tc>
        <w:tc>
          <w:tcPr>
            <w:tcW w:type="dxa" w:w="30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Seguimiento de incumplimientos normativos y derivación a autoridades.</w:t>
            </w:r>
          </w:p>
        </w:tc>
        <w:tc>
          <w:tcPr>
            <w:tcW w:type="dxa" w:w="44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Entrega sensación de control sobre el entorno — reduce la carga emocional y el estrés anticipatorio.</w:t>
            </w:r>
          </w:p>
        </w:tc>
      </w:tr>
      <w:tr>
        <w:tc>
          <w:tcPr>
            <w:tcW w:type="dxa" w:w="18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r>
              <w:rPr>
                <w:rFonts w:ascii="Calibri" w:cs="Calibri" w:eastAsia="Calibri" w:hAnsi="Calibri"/>
                <w:b/>
                <w:bCs/>
                <w:color w:val="1A5276"/>
                <w:sz w:val="20"/>
                <w:szCs w:val="20"/>
              </w:rPr>
              <w:t xml:space="preserve">Alertas en Tiempo Real</w:t>
            </w:r>
          </w:p>
        </w:tc>
        <w:tc>
          <w:tcPr>
            <w:tcW w:type="dxa" w:w="300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Notificaciones sobre obstáculos temporales, obras o peligros.</w:t>
            </w:r>
          </w:p>
        </w:tc>
        <w:tc>
          <w:tcPr>
            <w:tcW w:type="dxa" w:w="4400"/>
            <w:tcBorders>
              <w:top w:val="single" w:color="AAAAAA" w:sz="1"/>
              <w:left w:val="single" w:color="AAAAAA" w:sz="1"/>
              <w:bottom w:val="single" w:color="AAAAAA" w:sz="1"/>
              <w:right w:val="single" w:color="AAAAAA" w:sz="1"/>
            </w:tcBorders>
            <w:shd w:fill="F2F3F4"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Anticipa interrupciones en la ruta — activa la planificación antes de que el obstáculo genere sobrecarga reactiva.</w:t>
            </w:r>
          </w:p>
        </w:tc>
      </w:tr>
    </w:tbl>
    <w:p>
      <w:pPr>
        <w:spacing w:before="160"/>
      </w:pPr>
      <w:r>
        <w:rPr>
          <w:rFonts w:ascii="Calibri" w:cs="Calibri" w:eastAsia="Calibri" w:hAnsi="Calibri"/>
          <w:color w:val="1C1C1C"/>
          <w:sz w:val="22"/>
          <w:szCs w:val="22"/>
        </w:rPr>
        <w:t xml:space="preserve"/>
      </w:r>
    </w:p>
    <w:p>
      <w:pPr>
        <w:pStyle w:val="Heading2"/>
        <w:pBdr>
          <w:bottom w:val="single" w:color="1A5276" w:sz="6" w:space="1"/>
        </w:pBdr>
        <w:spacing w:after="120" w:before="320"/>
      </w:pPr>
      <w:r>
        <w:rPr>
          <w:rFonts w:ascii="Calibri" w:cs="Calibri" w:eastAsia="Calibri" w:hAnsi="Calibri"/>
          <w:b/>
          <w:bCs/>
          <w:color w:val="1A5276"/>
          <w:sz w:val="26"/>
          <w:szCs w:val="26"/>
        </w:rPr>
        <w:t xml:space="preserve">3.3 Diferenciación y Base Científico-Tecnológica</w:t>
      </w:r>
    </w:p>
    <w:p>
      <w:pPr>
        <w:spacing w:after="160"/>
        <w:jc w:val="both"/>
      </w:pPr>
      <w:r>
        <w:rPr>
          <w:rFonts w:ascii="Calibri" w:cs="Calibri" w:eastAsia="Calibri" w:hAnsi="Calibri"/>
          <w:color w:val="1C1C1C"/>
          <w:sz w:val="22"/>
          <w:szCs w:val="22"/>
        </w:rPr>
        <w:t xml:space="preserve">La base científico-tecnológica de RutAcc proviene de la investigación desarrollada en el trabajo de título/tesis titulado "[Nombre del trabajo de título/tesis]", en el cual se analizaron la interacción entre carga cognitiva, diseño de interfaces de navegación y experiencia de movilidad en personas con discapacidad motora.</w:t>
      </w:r>
    </w:p>
    <w:p>
      <w:pPr>
        <w:spacing w:after="160"/>
        <w:jc w:val="both"/>
      </w:pPr>
      <w:r>
        <w:rPr>
          <w:rFonts w:ascii="Calibri" w:cs="Calibri" w:eastAsia="Calibri" w:hAnsi="Calibri"/>
          <w:color w:val="1C1C1C"/>
          <w:sz w:val="22"/>
          <w:szCs w:val="22"/>
        </w:rPr>
        <w:t xml:space="preserve">Los principales aportes de la investigación que sustentan el emprendimiento son:</w:t>
      </w:r>
    </w:p>
    <w:p>
      <w:pPr>
        <w:pStyle w:val="ListParagraph"/>
        <w:numPr>
          <w:ilvl w:val="0"/>
          <w:numId w:val="2"/>
        </w:numPr>
        <w:spacing w:after="80"/>
      </w:pPr>
      <w:r>
        <w:rPr>
          <w:rFonts w:ascii="Calibri" w:cs="Calibri" w:eastAsia="Calibri" w:hAnsi="Calibri"/>
          <w:color w:val="1C1C1C"/>
          <w:sz w:val="22"/>
          <w:szCs w:val="22"/>
        </w:rPr>
        <w:t xml:space="preserve">Marco teórico neurocognitivo aplicado al diseño de interfaces de navegación urbana para personas con discapacidad motora, con revisión sistemática de literatura en neurociencia, HCI y accesibilidad.</w:t>
      </w:r>
    </w:p>
    <w:p>
      <w:pPr>
        <w:pStyle w:val="ListParagraph"/>
        <w:numPr>
          <w:ilvl w:val="0"/>
          <w:numId w:val="2"/>
        </w:numPr>
        <w:spacing w:after="80"/>
      </w:pPr>
      <w:r>
        <w:rPr>
          <w:rFonts w:ascii="Calibri" w:cs="Calibri" w:eastAsia="Calibri" w:hAnsi="Calibri"/>
          <w:color w:val="1C1C1C"/>
          <w:sz w:val="22"/>
          <w:szCs w:val="22"/>
        </w:rPr>
        <w:t xml:space="preserve">Protocolo de medición de carga cognitiva en contextos de navegación urbana (escala NASA-TLX adaptada, medición de tiempo de reacción, eye-tracking en prototipo).</w:t>
      </w:r>
    </w:p>
    <w:p>
      <w:pPr>
        <w:pStyle w:val="ListParagraph"/>
        <w:numPr>
          <w:ilvl w:val="0"/>
          <w:numId w:val="2"/>
        </w:numPr>
        <w:spacing w:after="80"/>
      </w:pPr>
      <w:r>
        <w:rPr>
          <w:rFonts w:ascii="Calibri" w:cs="Calibri" w:eastAsia="Calibri" w:hAnsi="Calibri"/>
          <w:color w:val="1C1C1C"/>
          <w:sz w:val="22"/>
          <w:szCs w:val="22"/>
        </w:rPr>
        <w:t xml:space="preserve">Definición de un modelo de datos para infraestructura accesible urbana, adaptado al contexto normativo chileno (OGUC, Ley 20.422, NCh 3259).</w:t>
      </w:r>
    </w:p>
    <w:p>
      <w:pPr>
        <w:pStyle w:val="ListParagraph"/>
        <w:numPr>
          <w:ilvl w:val="0"/>
          <w:numId w:val="2"/>
        </w:numPr>
        <w:spacing w:after="80"/>
      </w:pPr>
      <w:r>
        <w:rPr>
          <w:rFonts w:ascii="Calibri" w:cs="Calibri" w:eastAsia="Calibri" w:hAnsi="Calibri"/>
          <w:color w:val="1C1C1C"/>
          <w:sz w:val="22"/>
          <w:szCs w:val="22"/>
        </w:rPr>
        <w:t xml:space="preserve">Diseño y validación de un algoritmo de enrutamiento multicriterio que pondera pendiente, tipo de superficie, existencia de rampas y reportes ciudadanos.</w:t>
      </w:r>
    </w:p>
    <w:p>
      <w:pPr>
        <w:pStyle w:val="ListParagraph"/>
        <w:numPr>
          <w:ilvl w:val="0"/>
          <w:numId w:val="2"/>
        </w:numPr>
        <w:spacing w:after="80"/>
      </w:pPr>
      <w:r>
        <w:rPr>
          <w:rFonts w:ascii="Calibri" w:cs="Calibri" w:eastAsia="Calibri" w:hAnsi="Calibri"/>
          <w:color w:val="1C1C1C"/>
          <w:sz w:val="22"/>
          <w:szCs w:val="22"/>
        </w:rPr>
        <w:t xml:space="preserve">Arquitectura de sistema para integración de capas geoespaciales oficiales (IDE Chile) y datos abiertos.</w:t>
      </w:r>
    </w:p>
    <w:p>
      <w:pPr>
        <w:spacing w:before="120"/>
      </w:pPr>
      <w:r>
        <w:rPr>
          <w:rFonts w:ascii="Calibri" w:cs="Calibri" w:eastAsia="Calibri" w:hAnsi="Calibri"/>
          <w:color w:val="1C1C1C"/>
          <w:sz w:val="22"/>
          <w:szCs w:val="22"/>
        </w:rPr>
        <w:t xml:space="preserve"/>
      </w:r>
    </w:p>
    <w:p>
      <w:pPr>
        <w:pStyle w:val="Heading1"/>
        <w:shd w:fill="1A5276" w:val="clear"/>
        <w:spacing w:after="160" w:before="280"/>
        <w:ind w:left="200" w:right="200"/>
      </w:pPr>
      <w:r>
        <w:rPr>
          <w:rFonts w:ascii="Calibri" w:cs="Calibri" w:eastAsia="Calibri" w:hAnsi="Calibri"/>
          <w:b/>
          <w:bCs/>
          <w:color w:val="FFFFFF"/>
          <w:sz w:val="36"/>
          <w:szCs w:val="36"/>
        </w:rPr>
        <w:t xml:space="preserve">4. OBJETIVOS DEL PROYECTO</w:t>
      </w:r>
    </w:p>
    <w:p>
      <w:pPr>
        <w:pStyle w:val="Heading2"/>
        <w:pBdr>
          <w:bottom w:val="single" w:color="1A5276" w:sz="6" w:space="1"/>
        </w:pBdr>
        <w:spacing w:after="120" w:before="320"/>
      </w:pPr>
      <w:r>
        <w:rPr>
          <w:rFonts w:ascii="Calibri" w:cs="Calibri" w:eastAsia="Calibri" w:hAnsi="Calibri"/>
          <w:b/>
          <w:bCs/>
          <w:color w:val="1A5276"/>
          <w:sz w:val="26"/>
          <w:szCs w:val="26"/>
        </w:rPr>
        <w:t xml:space="preserve">4.1 Objetivo General</w:t>
      </w:r>
    </w:p>
    <w:p>
      <w:pPr>
        <w:spacing w:after="160"/>
        <w:jc w:val="both"/>
      </w:pPr>
      <w:r>
        <w:rPr>
          <w:rFonts w:ascii="Calibri" w:cs="Calibri" w:eastAsia="Calibri" w:hAnsi="Calibri"/>
          <w:color w:val="1C1C1C"/>
          <w:sz w:val="22"/>
          <w:szCs w:val="22"/>
        </w:rPr>
        <w:t xml:space="preserve">Desarrollar un prototipo funcional de alto nivel de la aplicación RutAcc, fundamentado en principios de neurociencia cognitiva para la reducción de carga cognitiva en personas usuarias de silla de ruedas, y validarlo con usuarios reales en contexto urbano, sentando las bases tecnológicas y de modelo de negocio para la creación de una empresa de base científico-tecnológica.</w:t>
      </w:r>
    </w:p>
    <w:p>
      <w:pPr>
        <w:pStyle w:val="Heading2"/>
        <w:pBdr>
          <w:bottom w:val="single" w:color="1A5276" w:sz="6" w:space="1"/>
        </w:pBdr>
        <w:spacing w:after="120" w:before="320"/>
      </w:pPr>
      <w:r>
        <w:rPr>
          <w:rFonts w:ascii="Calibri" w:cs="Calibri" w:eastAsia="Calibri" w:hAnsi="Calibri"/>
          <w:b/>
          <w:bCs/>
          <w:color w:val="1A5276"/>
          <w:sz w:val="26"/>
          <w:szCs w:val="26"/>
        </w:rPr>
        <w:t xml:space="preserve">4.2 Objetivos Específicos</w:t>
      </w:r>
    </w:p>
    <w:p>
      <w:pPr>
        <w:pStyle w:val="ListParagraph"/>
        <w:numPr>
          <w:ilvl w:val="0"/>
          <w:numId w:val="2"/>
        </w:numPr>
        <w:spacing w:after="80"/>
      </w:pPr>
      <w:r>
        <w:rPr>
          <w:rFonts w:ascii="Calibri" w:cs="Calibri" w:eastAsia="Calibri" w:hAnsi="Calibri"/>
          <w:color w:val="1C1C1C"/>
          <w:sz w:val="22"/>
          <w:szCs w:val="22"/>
        </w:rPr>
        <w:t xml:space="preserve">OE1 — Consolidar el marco neurocognitivo del proyecto: definir métricas de carga cognitiva, protocolo de evaluación y principios de diseño de interfaz basados en evidencia científica.</w:t>
      </w:r>
    </w:p>
    <w:p>
      <w:pPr>
        <w:pStyle w:val="ListParagraph"/>
        <w:numPr>
          <w:ilvl w:val="0"/>
          <w:numId w:val="2"/>
        </w:numPr>
        <w:spacing w:after="80"/>
      </w:pPr>
      <w:r>
        <w:rPr>
          <w:rFonts w:ascii="Calibri" w:cs="Calibri" w:eastAsia="Calibri" w:hAnsi="Calibri"/>
          <w:color w:val="1C1C1C"/>
          <w:sz w:val="22"/>
          <w:szCs w:val="22"/>
        </w:rPr>
        <w:t xml:space="preserve">OE2 — Consolidar la arquitectura técnica del sistema y el modelo de datos de accesibilidad urbana basado en estándares abiertos e integración con IDE Chile.</w:t>
      </w:r>
    </w:p>
    <w:p>
      <w:pPr>
        <w:pStyle w:val="ListParagraph"/>
        <w:numPr>
          <w:ilvl w:val="0"/>
          <w:numId w:val="2"/>
        </w:numPr>
        <w:spacing w:after="80"/>
      </w:pPr>
      <w:r>
        <w:rPr>
          <w:rFonts w:ascii="Calibri" w:cs="Calibri" w:eastAsia="Calibri" w:hAnsi="Calibri"/>
          <w:color w:val="1C1C1C"/>
          <w:sz w:val="22"/>
          <w:szCs w:val="22"/>
        </w:rPr>
        <w:t xml:space="preserve">OE3 — Desarrollar el algoritmo de enrutamiento accesible multicriterio e integrarlo con las capas de datos geoespaciales disponibles.</w:t>
      </w:r>
    </w:p>
    <w:p>
      <w:pPr>
        <w:pStyle w:val="ListParagraph"/>
        <w:numPr>
          <w:ilvl w:val="0"/>
          <w:numId w:val="2"/>
        </w:numPr>
        <w:spacing w:after="80"/>
      </w:pPr>
      <w:r>
        <w:rPr>
          <w:rFonts w:ascii="Calibri" w:cs="Calibri" w:eastAsia="Calibri" w:hAnsi="Calibri"/>
          <w:color w:val="1C1C1C"/>
          <w:sz w:val="22"/>
          <w:szCs w:val="22"/>
        </w:rPr>
        <w:t xml:space="preserve">OE4 — Diseñar e implementar las interfaces de usuario de los cinco módulos funcionales aplicando los principios neurocognitivos de reducción de carga cognitiva (chunking, anticipación, offloading, retroalimentación inmediata).</w:t>
      </w:r>
    </w:p>
    <w:p>
      <w:pPr>
        <w:pStyle w:val="ListParagraph"/>
        <w:numPr>
          <w:ilvl w:val="0"/>
          <w:numId w:val="2"/>
        </w:numPr>
        <w:spacing w:after="80"/>
      </w:pPr>
      <w:r>
        <w:rPr>
          <w:rFonts w:ascii="Calibri" w:cs="Calibri" w:eastAsia="Calibri" w:hAnsi="Calibri"/>
          <w:color w:val="1C1C1C"/>
          <w:sz w:val="22"/>
          <w:szCs w:val="22"/>
        </w:rPr>
        <w:t xml:space="preserve">OE5 — Validar el prototipo funcional mediante pruebas de usuario con al menos 20 personas usuarias de silla de ruedas, midiendo reducción de carga cognitiva con instrumentos validados (NASA-TLX, eye-tracking, métricas de usabilidad).</w:t>
      </w:r>
    </w:p>
    <w:p>
      <w:pPr>
        <w:pStyle w:val="ListParagraph"/>
        <w:numPr>
          <w:ilvl w:val="0"/>
          <w:numId w:val="2"/>
        </w:numPr>
        <w:spacing w:after="80"/>
      </w:pPr>
      <w:r>
        <w:rPr>
          <w:rFonts w:ascii="Calibri" w:cs="Calibri" w:eastAsia="Calibri" w:hAnsi="Calibri"/>
          <w:color w:val="1C1C1C"/>
          <w:sz w:val="22"/>
          <w:szCs w:val="22"/>
        </w:rPr>
        <w:t xml:space="preserve">OE6 — Elaborar el modelo de negocio, estrategia de propiedad intelectual y plan de escalamiento del emprendimiento.</w:t>
      </w:r>
    </w:p>
    <w:p>
      <w:pPr>
        <w:spacing w:before="120"/>
      </w:pPr>
      <w:r>
        <w:rPr>
          <w:rFonts w:ascii="Calibri" w:cs="Calibri" w:eastAsia="Calibri" w:hAnsi="Calibri"/>
          <w:color w:val="1C1C1C"/>
          <w:sz w:val="22"/>
          <w:szCs w:val="22"/>
        </w:rPr>
        <w:t xml:space="preserve"/>
      </w:r>
    </w:p>
    <w:p>
      <w:r>
        <w:br w:type="page"/>
      </w:r>
    </w:p>
    <w:p>
      <w:pPr>
        <w:pStyle w:val="Heading1"/>
        <w:shd w:fill="1A5276" w:val="clear"/>
        <w:spacing w:after="160" w:before="280"/>
        <w:ind w:left="200" w:right="200"/>
      </w:pPr>
      <w:r>
        <w:rPr>
          <w:rFonts w:ascii="Calibri" w:cs="Calibri" w:eastAsia="Calibri" w:hAnsi="Calibri"/>
          <w:b/>
          <w:bCs/>
          <w:color w:val="FFFFFF"/>
          <w:sz w:val="36"/>
          <w:szCs w:val="36"/>
        </w:rPr>
        <w:t xml:space="preserve">5. PLAN DE TRABAJO Y CARTA GANTT</w:t>
      </w:r>
    </w:p>
    <w:p>
      <w:pPr>
        <w:pStyle w:val="Heading2"/>
        <w:pBdr>
          <w:bottom w:val="single" w:color="1A5276" w:sz="6" w:space="1"/>
        </w:pBdr>
        <w:spacing w:after="120" w:before="320"/>
      </w:pPr>
      <w:r>
        <w:rPr>
          <w:rFonts w:ascii="Calibri" w:cs="Calibri" w:eastAsia="Calibri" w:hAnsi="Calibri"/>
          <w:b/>
          <w:bCs/>
          <w:color w:val="1A5276"/>
          <w:sz w:val="26"/>
          <w:szCs w:val="26"/>
        </w:rPr>
        <w:t xml:space="preserve">5.1 Fases del Proyecto</w:t>
      </w:r>
    </w:p>
    <w:p>
      <w:pPr>
        <w:spacing w:before="80"/>
      </w:pPr>
      <w:r>
        <w:rPr>
          <w:rFonts w:ascii="Calibri" w:cs="Calibri" w:eastAsia="Calibri" w:hAnsi="Calibri"/>
          <w:color w:val="1C1C1C"/>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100"/>
        <w:gridCol w:w="2200"/>
      </w:tblGrid>
      <w:tr>
        <w:tc>
          <w:tcPr>
            <w:tcW w:type="dxa" w:w="700"/>
            <w:tcBorders>
              <w:top w:val="single" w:color="AAAAAA" w:sz="1"/>
              <w:left w:val="single" w:color="AAAAAA" w:sz="1"/>
              <w:bottom w:val="single" w:color="AAAAAA" w:sz="1"/>
              <w:right w:val="single" w:color="AAAAAA" w:sz="1"/>
            </w:tcBorders>
            <w:shd w:fill="1A5276"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FASE</w:t>
            </w:r>
          </w:p>
        </w:tc>
        <w:tc>
          <w:tcPr>
            <w:tcW w:type="dxa" w:w="2200"/>
            <w:tcBorders>
              <w:top w:val="single" w:color="AAAAAA" w:sz="1"/>
              <w:left w:val="single" w:color="AAAAAA" w:sz="1"/>
              <w:bottom w:val="single" w:color="AAAAAA" w:sz="1"/>
              <w:right w:val="single" w:color="AAAAAA" w:sz="1"/>
            </w:tcBorders>
            <w:shd w:fill="1A5276"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NOMBRE</w:t>
            </w:r>
          </w:p>
        </w:tc>
        <w:tc>
          <w:tcPr>
            <w:tcW w:type="dxa" w:w="4100"/>
            <w:tcBorders>
              <w:top w:val="single" w:color="AAAAAA" w:sz="1"/>
              <w:left w:val="single" w:color="AAAAAA" w:sz="1"/>
              <w:bottom w:val="single" w:color="AAAAAA" w:sz="1"/>
              <w:right w:val="single" w:color="AAAAAA" w:sz="1"/>
            </w:tcBorders>
            <w:shd w:fill="1A5276"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ACTIVIDADES PRINCIPALES</w:t>
            </w:r>
          </w:p>
        </w:tc>
        <w:tc>
          <w:tcPr>
            <w:tcW w:type="dxa" w:w="2200"/>
            <w:tcBorders>
              <w:top w:val="single" w:color="AAAAAA" w:sz="1"/>
              <w:left w:val="single" w:color="AAAAAA" w:sz="1"/>
              <w:bottom w:val="single" w:color="AAAAAA" w:sz="1"/>
              <w:right w:val="single" w:color="AAAAAA" w:sz="1"/>
            </w:tcBorders>
            <w:shd w:fill="1A5276"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PERÍODO</w:t>
            </w:r>
          </w:p>
        </w:tc>
      </w:tr>
      <w:tr>
        <w:tc>
          <w:tcPr>
            <w:tcW w:type="dxa" w:w="7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r>
              <w:rPr>
                <w:rFonts w:ascii="Calibri" w:cs="Calibri" w:eastAsia="Calibri" w:hAnsi="Calibri"/>
                <w:b/>
                <w:bCs/>
                <w:color w:val="1A5276"/>
                <w:sz w:val="20"/>
                <w:szCs w:val="20"/>
              </w:rPr>
              <w:t xml:space="preserve">F1</w:t>
            </w:r>
          </w:p>
        </w:tc>
        <w:tc>
          <w:tcPr>
            <w:tcW w:type="dxa" w:w="220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Marco Neurocognitivo y Arquitectura</w:t>
            </w:r>
          </w:p>
        </w:tc>
        <w:tc>
          <w:tcPr>
            <w:tcW w:type="dxa" w:w="410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Revisión sistemática de literatura en carga cognitiva y navegación. Definición de métricas y protocolo de evaluación. Arquitectura técnica e integración IDE Chile.</w:t>
            </w:r>
          </w:p>
        </w:tc>
        <w:tc>
          <w:tcPr>
            <w:tcW w:type="dxa" w:w="2200"/>
            <w:tcBorders>
              <w:top w:val="single" w:color="AAAAAA" w:sz="1"/>
              <w:left w:val="single" w:color="AAAAAA" w:sz="1"/>
              <w:bottom w:val="single" w:color="AAAAAA" w:sz="1"/>
              <w:right w:val="single" w:color="AAAAAA" w:sz="1"/>
            </w:tcBorders>
            <w:shd w:fill="F2F3F4"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Meses 1-2</w:t>
            </w:r>
          </w:p>
        </w:tc>
      </w:tr>
      <w:tr>
        <w:tc>
          <w:tcPr>
            <w:tcW w:type="dxa" w:w="7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r>
              <w:rPr>
                <w:rFonts w:ascii="Calibri" w:cs="Calibri" w:eastAsia="Calibri" w:hAnsi="Calibri"/>
                <w:b/>
                <w:bCs/>
                <w:color w:val="1A5276"/>
                <w:sz w:val="20"/>
                <w:szCs w:val="20"/>
              </w:rPr>
              <w:t xml:space="preserve">F2</w:t>
            </w:r>
          </w:p>
        </w:tc>
        <w:tc>
          <w:tcPr>
            <w:tcW w:type="dxa" w:w="22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Algoritmo de Rutas</w:t>
            </w:r>
          </w:p>
        </w:tc>
        <w:tc>
          <w:tcPr>
            <w:tcW w:type="dxa" w:w="41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Implementación y ajuste del algoritmo multicriterio. Pruebas con datos reales de [ciudad piloto].</w:t>
            </w:r>
          </w:p>
        </w:tc>
        <w:tc>
          <w:tcPr>
            <w:tcW w:type="dxa" w:w="22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Meses 2-4</w:t>
            </w:r>
          </w:p>
        </w:tc>
      </w:tr>
      <w:tr>
        <w:tc>
          <w:tcPr>
            <w:tcW w:type="dxa" w:w="7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r>
              <w:rPr>
                <w:rFonts w:ascii="Calibri" w:cs="Calibri" w:eastAsia="Calibri" w:hAnsi="Calibri"/>
                <w:b/>
                <w:bCs/>
                <w:color w:val="1A5276"/>
                <w:sz w:val="20"/>
                <w:szCs w:val="20"/>
              </w:rPr>
              <w:t xml:space="preserve">F3</w:t>
            </w:r>
          </w:p>
        </w:tc>
        <w:tc>
          <w:tcPr>
            <w:tcW w:type="dxa" w:w="220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Diseño UX/UI Neurocognitivo</w:t>
            </w:r>
          </w:p>
        </w:tc>
        <w:tc>
          <w:tcPr>
            <w:tcW w:type="dxa" w:w="410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Investigación de usuarios con foco en carga cognitiva. Wireframes aplicando CLT. Prototipo baja fidelidad. Iteración con focus group de usuarios en silla de ruedas.</w:t>
            </w:r>
          </w:p>
        </w:tc>
        <w:tc>
          <w:tcPr>
            <w:tcW w:type="dxa" w:w="2200"/>
            <w:tcBorders>
              <w:top w:val="single" w:color="AAAAAA" w:sz="1"/>
              <w:left w:val="single" w:color="AAAAAA" w:sz="1"/>
              <w:bottom w:val="single" w:color="AAAAAA" w:sz="1"/>
              <w:right w:val="single" w:color="AAAAAA" w:sz="1"/>
            </w:tcBorders>
            <w:shd w:fill="F2F3F4"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Meses 3-5</w:t>
            </w:r>
          </w:p>
        </w:tc>
      </w:tr>
      <w:tr>
        <w:tc>
          <w:tcPr>
            <w:tcW w:type="dxa" w:w="7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r>
              <w:rPr>
                <w:rFonts w:ascii="Calibri" w:cs="Calibri" w:eastAsia="Calibri" w:hAnsi="Calibri"/>
                <w:b/>
                <w:bCs/>
                <w:color w:val="1A5276"/>
                <w:sz w:val="20"/>
                <w:szCs w:val="20"/>
              </w:rPr>
              <w:t xml:space="preserve">F4</w:t>
            </w:r>
          </w:p>
        </w:tc>
        <w:tc>
          <w:tcPr>
            <w:tcW w:type="dxa" w:w="22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Desarrollo App</w:t>
            </w:r>
          </w:p>
        </w:tc>
        <w:tc>
          <w:tcPr>
            <w:tcW w:type="dxa" w:w="41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Implementación de los cinco módulos funcionales. Integración frontend-backend. Pruebas unitarias.</w:t>
            </w:r>
          </w:p>
        </w:tc>
        <w:tc>
          <w:tcPr>
            <w:tcW w:type="dxa" w:w="22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Meses 5-9</w:t>
            </w:r>
          </w:p>
        </w:tc>
      </w:tr>
      <w:tr>
        <w:tc>
          <w:tcPr>
            <w:tcW w:type="dxa" w:w="7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r>
              <w:rPr>
                <w:rFonts w:ascii="Calibri" w:cs="Calibri" w:eastAsia="Calibri" w:hAnsi="Calibri"/>
                <w:b/>
                <w:bCs/>
                <w:color w:val="1A5276"/>
                <w:sz w:val="20"/>
                <w:szCs w:val="20"/>
              </w:rPr>
              <w:t xml:space="preserve">F5</w:t>
            </w:r>
          </w:p>
        </w:tc>
        <w:tc>
          <w:tcPr>
            <w:tcW w:type="dxa" w:w="220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Validación con Usuarios</w:t>
            </w:r>
          </w:p>
        </w:tc>
        <w:tc>
          <w:tcPr>
            <w:tcW w:type="dxa" w:w="410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Pruebas en terreno con 20+ usuarios reales. Medición de carga cognitiva (NASA-TLX, eye-tracking). Correcciones e iteración.</w:t>
            </w:r>
          </w:p>
        </w:tc>
        <w:tc>
          <w:tcPr>
            <w:tcW w:type="dxa" w:w="2200"/>
            <w:tcBorders>
              <w:top w:val="single" w:color="AAAAAA" w:sz="1"/>
              <w:left w:val="single" w:color="AAAAAA" w:sz="1"/>
              <w:bottom w:val="single" w:color="AAAAAA" w:sz="1"/>
              <w:right w:val="single" w:color="AAAAAA" w:sz="1"/>
            </w:tcBorders>
            <w:shd w:fill="F2F3F4"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Meses 9-11</w:t>
            </w:r>
          </w:p>
        </w:tc>
      </w:tr>
      <w:tr>
        <w:tc>
          <w:tcPr>
            <w:tcW w:type="dxa" w:w="7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r>
              <w:rPr>
                <w:rFonts w:ascii="Calibri" w:cs="Calibri" w:eastAsia="Calibri" w:hAnsi="Calibri"/>
                <w:b/>
                <w:bCs/>
                <w:color w:val="1A5276"/>
                <w:sz w:val="20"/>
                <w:szCs w:val="20"/>
              </w:rPr>
              <w:t xml:space="preserve">F6</w:t>
            </w:r>
          </w:p>
        </w:tc>
        <w:tc>
          <w:tcPr>
            <w:tcW w:type="dxa" w:w="22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Modelo de Negocio y Cierre</w:t>
            </w:r>
          </w:p>
        </w:tc>
        <w:tc>
          <w:tcPr>
            <w:tcW w:type="dxa" w:w="41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Business Model Canvas. Estrategia de PI. Presentaciones a municipios, SENADIS y potenciales inversionistas. Informe final.</w:t>
            </w:r>
          </w:p>
        </w:tc>
        <w:tc>
          <w:tcPr>
            <w:tcW w:type="dxa" w:w="22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Meses 11-12</w:t>
            </w:r>
          </w:p>
        </w:tc>
      </w:tr>
    </w:tbl>
    <w:p>
      <w:pPr>
        <w:spacing w:before="160"/>
      </w:pPr>
      <w:r>
        <w:rPr>
          <w:rFonts w:ascii="Calibri" w:cs="Calibri" w:eastAsia="Calibri" w:hAnsi="Calibri"/>
          <w:color w:val="1C1C1C"/>
          <w:sz w:val="22"/>
          <w:szCs w:val="22"/>
        </w:rPr>
        <w:t xml:space="preserve"/>
      </w:r>
    </w:p>
    <w:p>
      <w:pPr>
        <w:pStyle w:val="Heading1"/>
        <w:shd w:fill="1A5276" w:val="clear"/>
        <w:spacing w:after="160" w:before="280"/>
        <w:ind w:left="200" w:right="200"/>
      </w:pPr>
      <w:r>
        <w:rPr>
          <w:rFonts w:ascii="Calibri" w:cs="Calibri" w:eastAsia="Calibri" w:hAnsi="Calibri"/>
          <w:b/>
          <w:bCs/>
          <w:color w:val="FFFFFF"/>
          <w:sz w:val="36"/>
          <w:szCs w:val="36"/>
        </w:rPr>
        <w:t xml:space="preserve">6. RESULTADOS ESPERADOS</w:t>
      </w:r>
    </w:p>
    <w:p>
      <w:pPr>
        <w:pStyle w:val="Heading2"/>
        <w:pBdr>
          <w:bottom w:val="single" w:color="1A7A4A" w:sz="6" w:space="1"/>
        </w:pBdr>
        <w:spacing w:after="120" w:before="320"/>
      </w:pPr>
      <w:r>
        <w:rPr>
          <w:rFonts w:ascii="Calibri" w:cs="Calibri" w:eastAsia="Calibri" w:hAnsi="Calibri"/>
          <w:b/>
          <w:bCs/>
          <w:color w:val="1A7A4A"/>
          <w:sz w:val="26"/>
          <w:szCs w:val="26"/>
        </w:rPr>
        <w:t xml:space="preserve">6.1 Resultados Neurocientíficos y de Validación</w:t>
      </w:r>
    </w:p>
    <w:p>
      <w:pPr>
        <w:pStyle w:val="ListParagraph"/>
        <w:numPr>
          <w:ilvl w:val="0"/>
          <w:numId w:val="2"/>
        </w:numPr>
        <w:spacing w:after="80"/>
      </w:pPr>
      <w:r>
        <w:rPr>
          <w:rFonts w:ascii="Calibri" w:cs="Calibri" w:eastAsia="Calibri" w:hAnsi="Calibri"/>
          <w:color w:val="1C1C1C"/>
          <w:sz w:val="22"/>
          <w:szCs w:val="22"/>
        </w:rPr>
        <w:t xml:space="preserve">Protocolo validado de medición de carga cognitiva en navegación urbana para personas en silla de ruedas, replicable en futuros estudios.</w:t>
      </w:r>
    </w:p>
    <w:p>
      <w:pPr>
        <w:pStyle w:val="ListParagraph"/>
        <w:numPr>
          <w:ilvl w:val="0"/>
          <w:numId w:val="2"/>
        </w:numPr>
        <w:spacing w:after="80"/>
      </w:pPr>
      <w:r>
        <w:rPr>
          <w:rFonts w:ascii="Calibri" w:cs="Calibri" w:eastAsia="Calibri" w:hAnsi="Calibri"/>
          <w:color w:val="1C1C1C"/>
          <w:sz w:val="22"/>
          <w:szCs w:val="22"/>
        </w:rPr>
        <w:t xml:space="preserve">Evidencia cuantitativa de reducción de carga cognitiva en usuarios de RutAcc versus aplicaciones de navegación genéricas (medida con NASA-TLX y métricas de usabilidad).</w:t>
      </w:r>
    </w:p>
    <w:p>
      <w:pPr>
        <w:pStyle w:val="ListParagraph"/>
        <w:numPr>
          <w:ilvl w:val="0"/>
          <w:numId w:val="2"/>
        </w:numPr>
        <w:spacing w:after="80"/>
      </w:pPr>
      <w:r>
        <w:rPr>
          <w:rFonts w:ascii="Calibri" w:cs="Calibri" w:eastAsia="Calibri" w:hAnsi="Calibri"/>
          <w:color w:val="1C1C1C"/>
          <w:sz w:val="22"/>
          <w:szCs w:val="22"/>
        </w:rPr>
        <w:t xml:space="preserve">Framework de diseño de interfaces de baja carga cognitiva para sistemas de navegación accesible, publicable como contribución científica.</w:t>
      </w:r>
    </w:p>
    <w:p>
      <w:pPr>
        <w:spacing w:before="80"/>
      </w:pPr>
      <w:r>
        <w:rPr>
          <w:rFonts w:ascii="Calibri" w:cs="Calibri" w:eastAsia="Calibri" w:hAnsi="Calibri"/>
          <w:color w:val="1C1C1C"/>
          <w:sz w:val="22"/>
          <w:szCs w:val="22"/>
        </w:rPr>
        <w:t xml:space="preserve"/>
      </w:r>
    </w:p>
    <w:p>
      <w:pPr>
        <w:pStyle w:val="Heading2"/>
        <w:pBdr>
          <w:bottom w:val="single" w:color="1A5276" w:sz="6" w:space="1"/>
        </w:pBdr>
        <w:spacing w:after="120" w:before="320"/>
      </w:pPr>
      <w:r>
        <w:rPr>
          <w:rFonts w:ascii="Calibri" w:cs="Calibri" w:eastAsia="Calibri" w:hAnsi="Calibri"/>
          <w:b/>
          <w:bCs/>
          <w:color w:val="1A5276"/>
          <w:sz w:val="26"/>
          <w:szCs w:val="26"/>
        </w:rPr>
        <w:t xml:space="preserve">6.2 Resultados Tecnológicos</w:t>
      </w:r>
    </w:p>
    <w:p>
      <w:pPr>
        <w:pStyle w:val="ListParagraph"/>
        <w:numPr>
          <w:ilvl w:val="0"/>
          <w:numId w:val="2"/>
        </w:numPr>
        <w:spacing w:after="80"/>
      </w:pPr>
      <w:r>
        <w:rPr>
          <w:rFonts w:ascii="Calibri" w:cs="Calibri" w:eastAsia="Calibri" w:hAnsi="Calibri"/>
          <w:color w:val="1C1C1C"/>
          <w:sz w:val="22"/>
          <w:szCs w:val="22"/>
        </w:rPr>
        <w:t xml:space="preserve">Prototipo funcional de alto nivel de RutAcc disponible en plataformas iOS y Android.</w:t>
      </w:r>
    </w:p>
    <w:p>
      <w:pPr>
        <w:pStyle w:val="ListParagraph"/>
        <w:numPr>
          <w:ilvl w:val="0"/>
          <w:numId w:val="2"/>
        </w:numPr>
        <w:spacing w:after="80"/>
      </w:pPr>
      <w:r>
        <w:rPr>
          <w:rFonts w:ascii="Calibri" w:cs="Calibri" w:eastAsia="Calibri" w:hAnsi="Calibri"/>
          <w:color w:val="1C1C1C"/>
          <w:sz w:val="22"/>
          <w:szCs w:val="22"/>
        </w:rPr>
        <w:t xml:space="preserve">Algoritmo de enrutamiento accesible multicriterio documentado y validado.</w:t>
      </w:r>
    </w:p>
    <w:p>
      <w:pPr>
        <w:pStyle w:val="ListParagraph"/>
        <w:numPr>
          <w:ilvl w:val="0"/>
          <w:numId w:val="2"/>
        </w:numPr>
        <w:spacing w:after="80"/>
      </w:pPr>
      <w:r>
        <w:rPr>
          <w:rFonts w:ascii="Calibri" w:cs="Calibri" w:eastAsia="Calibri" w:hAnsi="Calibri"/>
          <w:color w:val="1C1C1C"/>
          <w:sz w:val="22"/>
          <w:szCs w:val="22"/>
        </w:rPr>
        <w:t xml:space="preserve">Base de datos de infraestructura accesible piloto para [ciudad] con al menos [N] puntos georreferenciados.</w:t>
      </w:r>
    </w:p>
    <w:p>
      <w:pPr>
        <w:pStyle w:val="ListParagraph"/>
        <w:numPr>
          <w:ilvl w:val="0"/>
          <w:numId w:val="2"/>
        </w:numPr>
        <w:spacing w:after="80"/>
      </w:pPr>
      <w:r>
        <w:rPr>
          <w:rFonts w:ascii="Calibri" w:cs="Calibri" w:eastAsia="Calibri" w:hAnsi="Calibri"/>
          <w:color w:val="1C1C1C"/>
          <w:sz w:val="22"/>
          <w:szCs w:val="22"/>
        </w:rPr>
        <w:t xml:space="preserve">API abierta para integración con sistemas de terceros (municipios, aplicaciones de transporte público).</w:t>
      </w:r>
    </w:p>
    <w:p>
      <w:pPr>
        <w:spacing w:before="80"/>
      </w:pPr>
      <w:r>
        <w:rPr>
          <w:rFonts w:ascii="Calibri" w:cs="Calibri" w:eastAsia="Calibri" w:hAnsi="Calibri"/>
          <w:color w:val="1C1C1C"/>
          <w:sz w:val="22"/>
          <w:szCs w:val="22"/>
        </w:rPr>
        <w:t xml:space="preserve"/>
      </w:r>
    </w:p>
    <w:p>
      <w:pPr>
        <w:pStyle w:val="Heading2"/>
        <w:pBdr>
          <w:bottom w:val="single" w:color="1A5276" w:sz="6" w:space="1"/>
        </w:pBdr>
        <w:spacing w:after="120" w:before="320"/>
      </w:pPr>
      <w:r>
        <w:rPr>
          <w:rFonts w:ascii="Calibri" w:cs="Calibri" w:eastAsia="Calibri" w:hAnsi="Calibri"/>
          <w:b/>
          <w:bCs/>
          <w:color w:val="1A5276"/>
          <w:sz w:val="26"/>
          <w:szCs w:val="26"/>
        </w:rPr>
        <w:t xml:space="preserve">6.3 Resultados de Propiedad Intelectual</w:t>
      </w:r>
    </w:p>
    <w:p>
      <w:pPr>
        <w:pStyle w:val="ListParagraph"/>
        <w:numPr>
          <w:ilvl w:val="0"/>
          <w:numId w:val="2"/>
        </w:numPr>
        <w:spacing w:after="80"/>
      </w:pPr>
      <w:r>
        <w:rPr>
          <w:rFonts w:ascii="Calibri" w:cs="Calibri" w:eastAsia="Calibri" w:hAnsi="Calibri"/>
          <w:color w:val="1C1C1C"/>
          <w:sz w:val="22"/>
          <w:szCs w:val="22"/>
        </w:rPr>
        <w:t xml:space="preserve">Solicitud de registro de marca RutAcc ante el INAPI.</w:t>
      </w:r>
    </w:p>
    <w:p>
      <w:pPr>
        <w:pStyle w:val="ListParagraph"/>
        <w:numPr>
          <w:ilvl w:val="0"/>
          <w:numId w:val="2"/>
        </w:numPr>
        <w:spacing w:after="80"/>
      </w:pPr>
      <w:r>
        <w:rPr>
          <w:rFonts w:ascii="Calibri" w:cs="Calibri" w:eastAsia="Calibri" w:hAnsi="Calibri"/>
          <w:color w:val="1C1C1C"/>
          <w:sz w:val="22"/>
          <w:szCs w:val="22"/>
        </w:rPr>
        <w:t xml:space="preserve">Documentación técnica del algoritmo con evaluación de patentabilidad.</w:t>
      </w:r>
    </w:p>
    <w:p>
      <w:pPr>
        <w:pStyle w:val="ListParagraph"/>
        <w:numPr>
          <w:ilvl w:val="0"/>
          <w:numId w:val="2"/>
        </w:numPr>
        <w:spacing w:after="80"/>
      </w:pPr>
      <w:r>
        <w:rPr>
          <w:rFonts w:ascii="Calibri" w:cs="Calibri" w:eastAsia="Calibri" w:hAnsi="Calibri"/>
          <w:color w:val="1C1C1C"/>
          <w:sz w:val="22"/>
          <w:szCs w:val="22"/>
        </w:rPr>
        <w:t xml:space="preserve">Código fuente bajo licencia abierta para la capa de datos colaborativos.</w:t>
      </w:r>
    </w:p>
    <w:p>
      <w:pPr>
        <w:spacing w:before="80"/>
      </w:pPr>
      <w:r>
        <w:rPr>
          <w:rFonts w:ascii="Calibri" w:cs="Calibri" w:eastAsia="Calibri" w:hAnsi="Calibri"/>
          <w:color w:val="1C1C1C"/>
          <w:sz w:val="22"/>
          <w:szCs w:val="22"/>
        </w:rPr>
        <w:t xml:space="preserve"/>
      </w:r>
    </w:p>
    <w:p>
      <w:pPr>
        <w:pStyle w:val="Heading2"/>
        <w:pBdr>
          <w:bottom w:val="single" w:color="1A5276" w:sz="6" w:space="1"/>
        </w:pBdr>
        <w:spacing w:after="120" w:before="320"/>
      </w:pPr>
      <w:r>
        <w:rPr>
          <w:rFonts w:ascii="Calibri" w:cs="Calibri" w:eastAsia="Calibri" w:hAnsi="Calibri"/>
          <w:b/>
          <w:bCs/>
          <w:color w:val="1A5276"/>
          <w:sz w:val="26"/>
          <w:szCs w:val="26"/>
        </w:rPr>
        <w:t xml:space="preserve">6.4 Resultados de Transferencia y Negocio</w:t>
      </w:r>
    </w:p>
    <w:p>
      <w:pPr>
        <w:pStyle w:val="ListParagraph"/>
        <w:numPr>
          <w:ilvl w:val="0"/>
          <w:numId w:val="2"/>
        </w:numPr>
        <w:spacing w:after="80"/>
      </w:pPr>
      <w:r>
        <w:rPr>
          <w:rFonts w:ascii="Calibri" w:cs="Calibri" w:eastAsia="Calibri" w:hAnsi="Calibri"/>
          <w:color w:val="1C1C1C"/>
          <w:sz w:val="22"/>
          <w:szCs w:val="22"/>
        </w:rPr>
        <w:t xml:space="preserve">Constitución legal de la empresa de base científico-tecnológica.</w:t>
      </w:r>
    </w:p>
    <w:p>
      <w:pPr>
        <w:pStyle w:val="ListParagraph"/>
        <w:numPr>
          <w:ilvl w:val="0"/>
          <w:numId w:val="2"/>
        </w:numPr>
        <w:spacing w:after="80"/>
      </w:pPr>
      <w:r>
        <w:rPr>
          <w:rFonts w:ascii="Calibri" w:cs="Calibri" w:eastAsia="Calibri" w:hAnsi="Calibri"/>
          <w:color w:val="1C1C1C"/>
          <w:sz w:val="22"/>
          <w:szCs w:val="22"/>
        </w:rPr>
        <w:t xml:space="preserve">Business Model Canvas con modelo de ingresos definido (B2G, B2B, freemium ciudadano).</w:t>
      </w:r>
    </w:p>
    <w:p>
      <w:pPr>
        <w:pStyle w:val="ListParagraph"/>
        <w:numPr>
          <w:ilvl w:val="0"/>
          <w:numId w:val="2"/>
        </w:numPr>
        <w:spacing w:after="80"/>
      </w:pPr>
      <w:r>
        <w:rPr>
          <w:rFonts w:ascii="Calibri" w:cs="Calibri" w:eastAsia="Calibri" w:hAnsi="Calibri"/>
          <w:color w:val="1C1C1C"/>
          <w:sz w:val="22"/>
          <w:szCs w:val="22"/>
        </w:rPr>
        <w:t xml:space="preserve">Al menos 2 cartas de interés de municipios, SENADIS u organizaciones del sector.</w:t>
      </w:r>
    </w:p>
    <w:p>
      <w:pPr>
        <w:pStyle w:val="ListParagraph"/>
        <w:numPr>
          <w:ilvl w:val="0"/>
          <w:numId w:val="2"/>
        </w:numPr>
        <w:spacing w:after="80"/>
      </w:pPr>
      <w:r>
        <w:rPr>
          <w:rFonts w:ascii="Calibri" w:cs="Calibri" w:eastAsia="Calibri" w:hAnsi="Calibri"/>
          <w:color w:val="1C1C1C"/>
          <w:sz w:val="22"/>
          <w:szCs w:val="22"/>
        </w:rPr>
        <w:t xml:space="preserve">Participación en al menos 1 programa de aceleración o fondo de inversión de impacto.</w:t>
      </w:r>
    </w:p>
    <w:p>
      <w:pPr>
        <w:spacing w:before="80"/>
      </w:pPr>
      <w:r>
        <w:rPr>
          <w:rFonts w:ascii="Calibri" w:cs="Calibri" w:eastAsia="Calibri" w:hAnsi="Calibri"/>
          <w:color w:val="1C1C1C"/>
          <w:sz w:val="22"/>
          <w:szCs w:val="22"/>
        </w:rPr>
        <w:t xml:space="preserve"/>
      </w:r>
    </w:p>
    <w:p>
      <w:pPr>
        <w:pStyle w:val="Heading2"/>
        <w:pBdr>
          <w:bottom w:val="single" w:color="1A5276" w:sz="6" w:space="1"/>
        </w:pBdr>
        <w:spacing w:after="120" w:before="320"/>
      </w:pPr>
      <w:r>
        <w:rPr>
          <w:rFonts w:ascii="Calibri" w:cs="Calibri" w:eastAsia="Calibri" w:hAnsi="Calibri"/>
          <w:b/>
          <w:bCs/>
          <w:color w:val="1A5276"/>
          <w:sz w:val="26"/>
          <w:szCs w:val="26"/>
        </w:rPr>
        <w:t xml:space="preserve">6.5 Resultados de Difusión</w:t>
      </w:r>
    </w:p>
    <w:p>
      <w:pPr>
        <w:pStyle w:val="ListParagraph"/>
        <w:numPr>
          <w:ilvl w:val="0"/>
          <w:numId w:val="2"/>
        </w:numPr>
        <w:spacing w:after="80"/>
      </w:pPr>
      <w:r>
        <w:rPr>
          <w:rFonts w:ascii="Calibri" w:cs="Calibri" w:eastAsia="Calibri" w:hAnsi="Calibri"/>
          <w:color w:val="1C1C1C"/>
          <w:sz w:val="22"/>
          <w:szCs w:val="22"/>
        </w:rPr>
        <w:t xml:space="preserve">Presentación en al menos 1 congreso de diseño, neurociencia aplicada, tecnología o discapacidad.</w:t>
      </w:r>
    </w:p>
    <w:p>
      <w:pPr>
        <w:pStyle w:val="ListParagraph"/>
        <w:numPr>
          <w:ilvl w:val="0"/>
          <w:numId w:val="2"/>
        </w:numPr>
        <w:spacing w:after="80"/>
      </w:pPr>
      <w:r>
        <w:rPr>
          <w:rFonts w:ascii="Calibri" w:cs="Calibri" w:eastAsia="Calibri" w:hAnsi="Calibri"/>
          <w:color w:val="1C1C1C"/>
          <w:sz w:val="22"/>
          <w:szCs w:val="22"/>
        </w:rPr>
        <w:t xml:space="preserve">Artículo de divulgación o paper en proceso sobre carga cognitiva y diseño de interfaces de navegación accesible.</w:t>
      </w:r>
    </w:p>
    <w:p>
      <w:pPr>
        <w:pStyle w:val="ListParagraph"/>
        <w:numPr>
          <w:ilvl w:val="0"/>
          <w:numId w:val="2"/>
        </w:numPr>
        <w:spacing w:after="80"/>
      </w:pPr>
      <w:r>
        <w:rPr>
          <w:rFonts w:ascii="Calibri" w:cs="Calibri" w:eastAsia="Calibri" w:hAnsi="Calibri"/>
          <w:color w:val="1C1C1C"/>
          <w:sz w:val="22"/>
          <w:szCs w:val="22"/>
        </w:rPr>
        <w:t xml:space="preserve">Comunicado de prensa y difusión en medios especializados.</w:t>
      </w:r>
    </w:p>
    <w:p>
      <w:pPr>
        <w:spacing w:before="120"/>
      </w:pPr>
      <w:r>
        <w:rPr>
          <w:rFonts w:ascii="Calibri" w:cs="Calibri" w:eastAsia="Calibri" w:hAnsi="Calibri"/>
          <w:color w:val="1C1C1C"/>
          <w:sz w:val="22"/>
          <w:szCs w:val="22"/>
        </w:rPr>
        <w:t xml:space="preserve"/>
      </w:r>
    </w:p>
    <w:p>
      <w:r>
        <w:br w:type="page"/>
      </w:r>
    </w:p>
    <w:p>
      <w:pPr>
        <w:pStyle w:val="Heading1"/>
        <w:shd w:fill="1A5276" w:val="clear"/>
        <w:spacing w:after="160" w:before="280"/>
        <w:ind w:left="200" w:right="200"/>
      </w:pPr>
      <w:r>
        <w:rPr>
          <w:rFonts w:ascii="Calibri" w:cs="Calibri" w:eastAsia="Calibri" w:hAnsi="Calibri"/>
          <w:b/>
          <w:bCs/>
          <w:color w:val="FFFFFF"/>
          <w:sz w:val="36"/>
          <w:szCs w:val="36"/>
        </w:rPr>
        <w:t xml:space="preserve">7. EQUIPO EMPRENDEDOR</w:t>
      </w:r>
    </w:p>
    <w:p>
      <w:pPr>
        <w:spacing w:before="80"/>
      </w:pPr>
      <w:r>
        <w:rPr>
          <w:rFonts w:ascii="Calibri" w:cs="Calibri" w:eastAsia="Calibri" w:hAnsi="Calibri"/>
          <w:color w:val="1C1C1C"/>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700"/>
        <w:gridCol w:w="2000"/>
      </w:tblGrid>
      <w:tr>
        <w:tc>
          <w:tcPr>
            <w:tcW w:type="dxa" w:w="2000"/>
            <w:tcBorders>
              <w:top w:val="single" w:color="AAAAAA" w:sz="1"/>
              <w:left w:val="single" w:color="AAAAAA" w:sz="1"/>
              <w:bottom w:val="single" w:color="AAAAAA" w:sz="1"/>
              <w:right w:val="single" w:color="AAAAAA" w:sz="1"/>
            </w:tcBorders>
            <w:shd w:fill="1A5276"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NOMBRE</w:t>
            </w:r>
          </w:p>
        </w:tc>
        <w:tc>
          <w:tcPr>
            <w:tcW w:type="dxa" w:w="2500"/>
            <w:tcBorders>
              <w:top w:val="single" w:color="AAAAAA" w:sz="1"/>
              <w:left w:val="single" w:color="AAAAAA" w:sz="1"/>
              <w:bottom w:val="single" w:color="AAAAAA" w:sz="1"/>
              <w:right w:val="single" w:color="AAAAAA" w:sz="1"/>
            </w:tcBorders>
            <w:shd w:fill="1A5276"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FORMACIÓN / ROL</w:t>
            </w:r>
          </w:p>
        </w:tc>
        <w:tc>
          <w:tcPr>
            <w:tcW w:type="dxa" w:w="2700"/>
            <w:tcBorders>
              <w:top w:val="single" w:color="AAAAAA" w:sz="1"/>
              <w:left w:val="single" w:color="AAAAAA" w:sz="1"/>
              <w:bottom w:val="single" w:color="AAAAAA" w:sz="1"/>
              <w:right w:val="single" w:color="AAAAAA" w:sz="1"/>
            </w:tcBorders>
            <w:shd w:fill="1A5276"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APORTE AL PROYECTO</w:t>
            </w:r>
          </w:p>
        </w:tc>
        <w:tc>
          <w:tcPr>
            <w:tcW w:type="dxa" w:w="2000"/>
            <w:tcBorders>
              <w:top w:val="single" w:color="AAAAAA" w:sz="1"/>
              <w:left w:val="single" w:color="AAAAAA" w:sz="1"/>
              <w:bottom w:val="single" w:color="AAAAAA" w:sz="1"/>
              <w:right w:val="single" w:color="AAAAAA" w:sz="1"/>
            </w:tcBorders>
            <w:shd w:fill="1A5276"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DEDICACIÓN</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[Nombre director/a]</w:t>
            </w:r>
          </w:p>
        </w:tc>
        <w:tc>
          <w:tcPr>
            <w:tcW w:type="dxa" w:w="250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[Carrera] — Director/a</w:t>
            </w:r>
          </w:p>
        </w:tc>
        <w:tc>
          <w:tcPr>
            <w:tcW w:type="dxa" w:w="270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Coordinación general, diseño UX/UI, investigación neurocognitiva con usuarios.</w:t>
            </w:r>
          </w:p>
        </w:tc>
        <w:tc>
          <w:tcPr>
            <w:tcW w:type="dxa" w:w="2000"/>
            <w:tcBorders>
              <w:top w:val="single" w:color="AAAAAA" w:sz="1"/>
              <w:left w:val="single" w:color="AAAAAA" w:sz="1"/>
              <w:bottom w:val="single" w:color="AAAAAA" w:sz="1"/>
              <w:right w:val="single" w:color="AAAAAA" w:sz="1"/>
            </w:tcBorders>
            <w:shd w:fill="F2F3F4"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80 h/mes</w:t>
            </w:r>
          </w:p>
        </w:tc>
      </w:tr>
      <w:tr>
        <w:tc>
          <w:tcPr>
            <w:tcW w:type="dxa" w:w="20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[Nombre co-investigador]</w:t>
            </w:r>
          </w:p>
        </w:tc>
        <w:tc>
          <w:tcPr>
            <w:tcW w:type="dxa" w:w="25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[Carrera] — Desarrollo</w:t>
            </w:r>
          </w:p>
        </w:tc>
        <w:tc>
          <w:tcPr>
            <w:tcW w:type="dxa" w:w="27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Arquitectura de software, algoritmo de rutas, integración API.</w:t>
            </w:r>
          </w:p>
        </w:tc>
        <w:tc>
          <w:tcPr>
            <w:tcW w:type="dxa" w:w="20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80 h/mes</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[Nombre co-investigador 2]</w:t>
            </w:r>
          </w:p>
        </w:tc>
        <w:tc>
          <w:tcPr>
            <w:tcW w:type="dxa" w:w="250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[Carrera] — Datos / GIS</w:t>
            </w:r>
          </w:p>
        </w:tc>
        <w:tc>
          <w:tcPr>
            <w:tcW w:type="dxa" w:w="270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Integración capas geoespaciales, modelo de datos accesibilidad.</w:t>
            </w:r>
          </w:p>
        </w:tc>
        <w:tc>
          <w:tcPr>
            <w:tcW w:type="dxa" w:w="2000"/>
            <w:tcBorders>
              <w:top w:val="single" w:color="AAAAAA" w:sz="1"/>
              <w:left w:val="single" w:color="AAAAAA" w:sz="1"/>
              <w:bottom w:val="single" w:color="AAAAAA" w:sz="1"/>
              <w:right w:val="single" w:color="AAAAAA" w:sz="1"/>
            </w:tcBorders>
            <w:shd w:fill="F2F3F4"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80 h/mes</w:t>
            </w:r>
          </w:p>
        </w:tc>
      </w:tr>
      <w:tr>
        <w:tc>
          <w:tcPr>
            <w:tcW w:type="dxa" w:w="20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[Asesor/a neurociencia]</w:t>
            </w:r>
          </w:p>
        </w:tc>
        <w:tc>
          <w:tcPr>
            <w:tcW w:type="dxa" w:w="25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[Cargo] — Asesor Científico</w:t>
            </w:r>
          </w:p>
        </w:tc>
        <w:tc>
          <w:tcPr>
            <w:tcW w:type="dxa" w:w="27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Marco teórico neurocognitivo, protocolo de medición de carga cognitiva, validación científica.</w:t>
            </w:r>
          </w:p>
        </w:tc>
        <w:tc>
          <w:tcPr>
            <w:tcW w:type="dxa" w:w="20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[N] h/mes</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[Profesor/a guía]</w:t>
            </w:r>
          </w:p>
        </w:tc>
        <w:tc>
          <w:tcPr>
            <w:tcW w:type="dxa" w:w="250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[Cargo] — Tutor/a Académico</w:t>
            </w:r>
          </w:p>
        </w:tc>
        <w:tc>
          <w:tcPr>
            <w:tcW w:type="dxa" w:w="270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Supervisión metodológica y científica, vinculación institucional.</w:t>
            </w:r>
          </w:p>
        </w:tc>
        <w:tc>
          <w:tcPr>
            <w:tcW w:type="dxa" w:w="2000"/>
            <w:tcBorders>
              <w:top w:val="single" w:color="AAAAAA" w:sz="1"/>
              <w:left w:val="single" w:color="AAAAAA" w:sz="1"/>
              <w:bottom w:val="single" w:color="AAAAAA" w:sz="1"/>
              <w:right w:val="single" w:color="AAAAAA" w:sz="1"/>
            </w:tcBorders>
            <w:shd w:fill="F2F3F4"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[N] h/mes</w:t>
            </w:r>
          </w:p>
        </w:tc>
      </w:tr>
      <w:tr>
        <w:tc>
          <w:tcPr>
            <w:tcW w:type="dxa" w:w="20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[Mentor de negocios]</w:t>
            </w:r>
          </w:p>
        </w:tc>
        <w:tc>
          <w:tcPr>
            <w:tcW w:type="dxa" w:w="25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Mentor — Emprendimiento TI</w:t>
            </w:r>
          </w:p>
        </w:tc>
        <w:tc>
          <w:tcPr>
            <w:tcW w:type="dxa" w:w="27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Modelo de negocio, networking, postulación a fondos de inversión de impacto.</w:t>
            </w:r>
          </w:p>
        </w:tc>
        <w:tc>
          <w:tcPr>
            <w:tcW w:type="dxa" w:w="20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[N] h/mes</w:t>
            </w:r>
          </w:p>
        </w:tc>
      </w:tr>
    </w:tbl>
    <w:p>
      <w:pPr>
        <w:spacing w:before="160"/>
      </w:pPr>
      <w:r>
        <w:rPr>
          <w:rFonts w:ascii="Calibri" w:cs="Calibri" w:eastAsia="Calibri" w:hAnsi="Calibri"/>
          <w:color w:val="1C1C1C"/>
          <w:sz w:val="22"/>
          <w:szCs w:val="22"/>
        </w:rPr>
        <w:t xml:space="preserve"/>
      </w:r>
    </w:p>
    <w:p>
      <w:pPr>
        <w:pStyle w:val="Heading1"/>
        <w:shd w:fill="1A5276" w:val="clear"/>
        <w:spacing w:after="160" w:before="280"/>
        <w:ind w:left="200" w:right="200"/>
      </w:pPr>
      <w:r>
        <w:rPr>
          <w:rFonts w:ascii="Calibri" w:cs="Calibri" w:eastAsia="Calibri" w:hAnsi="Calibri"/>
          <w:b/>
          <w:bCs/>
          <w:color w:val="FFFFFF"/>
          <w:sz w:val="36"/>
          <w:szCs w:val="36"/>
        </w:rPr>
        <w:t xml:space="preserve">8. PRESUPUESTO REFERENCIAL</w:t>
      </w:r>
    </w:p>
    <w:p>
      <w:pPr>
        <w:pStyle w:val="Heading2"/>
        <w:pBdr>
          <w:bottom w:val="single" w:color="1A5276" w:sz="6" w:space="1"/>
        </w:pBdr>
        <w:spacing w:after="120" w:before="320"/>
      </w:pPr>
      <w:r>
        <w:rPr>
          <w:rFonts w:ascii="Calibri" w:cs="Calibri" w:eastAsia="Calibri" w:hAnsi="Calibri"/>
          <w:b/>
          <w:bCs/>
          <w:color w:val="1A5276"/>
          <w:sz w:val="26"/>
          <w:szCs w:val="26"/>
        </w:rPr>
        <w:t xml:space="preserve">8.1 Distribución por Ítem</w:t>
      </w:r>
    </w:p>
    <w:p>
      <w:pPr>
        <w:spacing w:before="80"/>
      </w:pPr>
      <w:r>
        <w:rPr>
          <w:rFonts w:ascii="Calibri" w:cs="Calibri" w:eastAsia="Calibri" w:hAnsi="Calibri"/>
          <w:color w:val="1C1C1C"/>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1900"/>
        <w:gridCol w:w="1300"/>
      </w:tblGrid>
      <w:tr>
        <w:tc>
          <w:tcPr>
            <w:tcW w:type="dxa" w:w="4000"/>
            <w:tcBorders>
              <w:top w:val="single" w:color="AAAAAA" w:sz="1"/>
              <w:left w:val="single" w:color="AAAAAA" w:sz="1"/>
              <w:bottom w:val="single" w:color="AAAAAA" w:sz="1"/>
              <w:right w:val="single" w:color="AAAAAA" w:sz="1"/>
            </w:tcBorders>
            <w:shd w:fill="1A5276"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ÍTEM DE GASTO</w:t>
            </w:r>
          </w:p>
        </w:tc>
        <w:tc>
          <w:tcPr>
            <w:tcW w:type="dxa" w:w="2000"/>
            <w:tcBorders>
              <w:top w:val="single" w:color="AAAAAA" w:sz="1"/>
              <w:left w:val="single" w:color="AAAAAA" w:sz="1"/>
              <w:bottom w:val="single" w:color="AAAAAA" w:sz="1"/>
              <w:right w:val="single" w:color="AAAAAA" w:sz="1"/>
            </w:tcBorders>
            <w:shd w:fill="1A5276"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MONTO ANID ($)</w:t>
            </w:r>
          </w:p>
        </w:tc>
        <w:tc>
          <w:tcPr>
            <w:tcW w:type="dxa" w:w="1900"/>
            <w:tcBorders>
              <w:top w:val="single" w:color="AAAAAA" w:sz="1"/>
              <w:left w:val="single" w:color="AAAAAA" w:sz="1"/>
              <w:bottom w:val="single" w:color="AAAAAA" w:sz="1"/>
              <w:right w:val="single" w:color="AAAAAA" w:sz="1"/>
            </w:tcBorders>
            <w:shd w:fill="1A5276"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APORTE INSTITUCIÓN ($)</w:t>
            </w:r>
          </w:p>
        </w:tc>
        <w:tc>
          <w:tcPr>
            <w:tcW w:type="dxa" w:w="1300"/>
            <w:tcBorders>
              <w:top w:val="single" w:color="AAAAAA" w:sz="1"/>
              <w:left w:val="single" w:color="AAAAAA" w:sz="1"/>
              <w:bottom w:val="single" w:color="AAAAAA" w:sz="1"/>
              <w:right w:val="single" w:color="AAAAAA" w:sz="1"/>
            </w:tcBorders>
            <w:shd w:fill="1A5276" w:val="clear"/>
            <w:tcMar>
              <w:top w:type="dxa" w:w="80"/>
              <w:left w:type="dxa" w:w="140"/>
              <w:bottom w:type="dxa" w:w="80"/>
              <w:right w:type="dxa" w:w="140"/>
            </w:tcMar>
            <w:vAlign w:val="center"/>
          </w:tcPr>
          <w:p>
            <w:pPr>
              <w:jc w:val="center"/>
            </w:pPr>
            <w:r>
              <w:rPr>
                <w:rFonts w:ascii="Calibri" w:cs="Calibri" w:eastAsia="Calibri" w:hAnsi="Calibri"/>
                <w:b/>
                <w:bCs/>
                <w:color w:val="FFFFFF"/>
                <w:sz w:val="20"/>
                <w:szCs w:val="20"/>
              </w:rPr>
              <w:t xml:space="preserve">TOTAL ($)</w:t>
            </w:r>
          </w:p>
        </w:tc>
      </w:tr>
      <w:tr>
        <w:tc>
          <w:tcPr>
            <w:tcW w:type="dxa" w:w="400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Honorarios equipo (director/a + co-investigadores × 12 meses)</w:t>
            </w:r>
          </w:p>
        </w:tc>
        <w:tc>
          <w:tcPr>
            <w:tcW w:type="dxa" w:w="2000"/>
            <w:tcBorders>
              <w:top w:val="single" w:color="AAAAAA" w:sz="1"/>
              <w:left w:val="single" w:color="AAAAAA" w:sz="1"/>
              <w:bottom w:val="single" w:color="AAAAAA" w:sz="1"/>
              <w:right w:val="single" w:color="AAAAAA" w:sz="1"/>
            </w:tcBorders>
            <w:shd w:fill="F2F3F4" w:val="clear"/>
            <w:tcMar>
              <w:top w:type="dxa" w:w="70"/>
              <w:left w:type="dxa" w:w="140"/>
              <w:bottom w:type="dxa" w:w="70"/>
              <w:right w:type="dxa" w:w="140"/>
            </w:tcMar>
            <w:vAlign w:val="center"/>
          </w:tcPr>
          <w:p>
            <w:pPr>
              <w:jc w:val="right"/>
            </w:pPr>
            <w:r>
              <w:rPr>
                <w:rFonts w:ascii="Calibri" w:cs="Calibri" w:eastAsia="Calibri" w:hAnsi="Calibri"/>
                <w:color w:val="1C1C1C"/>
                <w:sz w:val="20"/>
                <w:szCs w:val="20"/>
              </w:rPr>
              <w:t xml:space="preserve">[$ XXXX.000]</w:t>
            </w:r>
          </w:p>
        </w:tc>
        <w:tc>
          <w:tcPr>
            <w:tcW w:type="dxa" w:w="1900"/>
            <w:tcBorders>
              <w:top w:val="single" w:color="AAAAAA" w:sz="1"/>
              <w:left w:val="single" w:color="AAAAAA" w:sz="1"/>
              <w:bottom w:val="single" w:color="AAAAAA" w:sz="1"/>
              <w:right w:val="single" w:color="AAAAAA" w:sz="1"/>
            </w:tcBorders>
            <w:shd w:fill="F2F3F4" w:val="clear"/>
            <w:tcMar>
              <w:top w:type="dxa" w:w="70"/>
              <w:left w:type="dxa" w:w="140"/>
              <w:bottom w:type="dxa" w:w="70"/>
              <w:right w:type="dxa" w:w="140"/>
            </w:tcMar>
            <w:vAlign w:val="center"/>
          </w:tcPr>
          <w:p>
            <w:pPr>
              <w:jc w:val="center"/>
            </w:pPr>
            <w:r>
              <w:rPr>
                <w:rFonts w:ascii="Calibri" w:cs="Calibri" w:eastAsia="Calibri" w:hAnsi="Calibri"/>
                <w:color w:val="1C1C1C"/>
                <w:sz w:val="20"/>
                <w:szCs w:val="20"/>
              </w:rPr>
              <w:t xml:space="preserve">—</w:t>
            </w:r>
          </w:p>
        </w:tc>
        <w:tc>
          <w:tcPr>
            <w:tcW w:type="dxa" w:w="1300"/>
            <w:tcBorders>
              <w:top w:val="single" w:color="AAAAAA" w:sz="1"/>
              <w:left w:val="single" w:color="AAAAAA" w:sz="1"/>
              <w:bottom w:val="single" w:color="AAAAAA" w:sz="1"/>
              <w:right w:val="single" w:color="AAAAAA" w:sz="1"/>
            </w:tcBorders>
            <w:shd w:fill="F2F3F4" w:val="clear"/>
            <w:tcMar>
              <w:top w:type="dxa" w:w="70"/>
              <w:left w:type="dxa" w:w="140"/>
              <w:bottom w:type="dxa" w:w="70"/>
              <w:right w:type="dxa" w:w="140"/>
            </w:tcMar>
            <w:vAlign w:val="center"/>
          </w:tcPr>
          <w:p>
            <w:pPr>
              <w:jc w:val="right"/>
            </w:pPr>
            <w:r>
              <w:rPr>
                <w:rFonts w:ascii="Calibri" w:cs="Calibri" w:eastAsia="Calibri" w:hAnsi="Calibri"/>
                <w:color w:val="1C1C1C"/>
                <w:sz w:val="20"/>
                <w:szCs w:val="20"/>
              </w:rPr>
              <w:t xml:space="preserve">[$ XXXX.000]</w:t>
            </w:r>
          </w:p>
        </w:tc>
      </w:tr>
      <w:tr>
        <w:tc>
          <w:tcPr>
            <w:tcW w:type="dxa" w:w="400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Equipamiento de evaluación cognitiva (eye-tracker, dispositivos de prueba)</w:t>
            </w:r>
          </w:p>
        </w:tc>
        <w:tc>
          <w:tcPr>
            <w:tcW w:type="dxa" w:w="20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pPr>
              <w:jc w:val="right"/>
            </w:pPr>
            <w:r>
              <w:rPr>
                <w:rFonts w:ascii="Calibri" w:cs="Calibri" w:eastAsia="Calibri" w:hAnsi="Calibri"/>
                <w:color w:val="1C1C1C"/>
                <w:sz w:val="20"/>
                <w:szCs w:val="20"/>
              </w:rPr>
              <w:t xml:space="preserve">[$ XXXX.000]</w:t>
            </w:r>
          </w:p>
        </w:tc>
        <w:tc>
          <w:tcPr>
            <w:tcW w:type="dxa" w:w="19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pPr>
              <w:jc w:val="center"/>
            </w:pPr>
            <w:r>
              <w:rPr>
                <w:rFonts w:ascii="Calibri" w:cs="Calibri" w:eastAsia="Calibri" w:hAnsi="Calibri"/>
                <w:color w:val="1C1C1C"/>
                <w:sz w:val="20"/>
                <w:szCs w:val="20"/>
              </w:rPr>
              <w:t xml:space="preserve">—</w:t>
            </w:r>
          </w:p>
        </w:tc>
        <w:tc>
          <w:tcPr>
            <w:tcW w:type="dxa" w:w="13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pPr>
              <w:jc w:val="right"/>
            </w:pPr>
            <w:r>
              <w:rPr>
                <w:rFonts w:ascii="Calibri" w:cs="Calibri" w:eastAsia="Calibri" w:hAnsi="Calibri"/>
                <w:color w:val="1C1C1C"/>
                <w:sz w:val="20"/>
                <w:szCs w:val="20"/>
              </w:rPr>
              <w:t xml:space="preserve">[$ XXXX.000]</w:t>
            </w:r>
          </w:p>
        </w:tc>
      </w:tr>
      <w:tr>
        <w:tc>
          <w:tcPr>
            <w:tcW w:type="dxa" w:w="400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Licencias de software (diseño UX, herramientas de análisis cognitivo)</w:t>
            </w:r>
          </w:p>
        </w:tc>
        <w:tc>
          <w:tcPr>
            <w:tcW w:type="dxa" w:w="2000"/>
            <w:tcBorders>
              <w:top w:val="single" w:color="AAAAAA" w:sz="1"/>
              <w:left w:val="single" w:color="AAAAAA" w:sz="1"/>
              <w:bottom w:val="single" w:color="AAAAAA" w:sz="1"/>
              <w:right w:val="single" w:color="AAAAAA" w:sz="1"/>
            </w:tcBorders>
            <w:shd w:fill="F2F3F4" w:val="clear"/>
            <w:tcMar>
              <w:top w:type="dxa" w:w="70"/>
              <w:left w:type="dxa" w:w="140"/>
              <w:bottom w:type="dxa" w:w="70"/>
              <w:right w:type="dxa" w:w="140"/>
            </w:tcMar>
            <w:vAlign w:val="center"/>
          </w:tcPr>
          <w:p>
            <w:pPr>
              <w:jc w:val="right"/>
            </w:pPr>
            <w:r>
              <w:rPr>
                <w:rFonts w:ascii="Calibri" w:cs="Calibri" w:eastAsia="Calibri" w:hAnsi="Calibri"/>
                <w:color w:val="1C1C1C"/>
                <w:sz w:val="20"/>
                <w:szCs w:val="20"/>
              </w:rPr>
              <w:t xml:space="preserve">[$ XXXX.000]</w:t>
            </w:r>
          </w:p>
        </w:tc>
        <w:tc>
          <w:tcPr>
            <w:tcW w:type="dxa" w:w="1900"/>
            <w:tcBorders>
              <w:top w:val="single" w:color="AAAAAA" w:sz="1"/>
              <w:left w:val="single" w:color="AAAAAA" w:sz="1"/>
              <w:bottom w:val="single" w:color="AAAAAA" w:sz="1"/>
              <w:right w:val="single" w:color="AAAAAA" w:sz="1"/>
            </w:tcBorders>
            <w:shd w:fill="F2F3F4" w:val="clear"/>
            <w:tcMar>
              <w:top w:type="dxa" w:w="70"/>
              <w:left w:type="dxa" w:w="140"/>
              <w:bottom w:type="dxa" w:w="70"/>
              <w:right w:type="dxa" w:w="140"/>
            </w:tcMar>
            <w:vAlign w:val="center"/>
          </w:tcPr>
          <w:p>
            <w:pPr>
              <w:jc w:val="center"/>
            </w:pPr>
            <w:r>
              <w:rPr>
                <w:rFonts w:ascii="Calibri" w:cs="Calibri" w:eastAsia="Calibri" w:hAnsi="Calibri"/>
                <w:color w:val="1C1C1C"/>
                <w:sz w:val="20"/>
                <w:szCs w:val="20"/>
              </w:rPr>
              <w:t xml:space="preserve">—</w:t>
            </w:r>
          </w:p>
        </w:tc>
        <w:tc>
          <w:tcPr>
            <w:tcW w:type="dxa" w:w="1300"/>
            <w:tcBorders>
              <w:top w:val="single" w:color="AAAAAA" w:sz="1"/>
              <w:left w:val="single" w:color="AAAAAA" w:sz="1"/>
              <w:bottom w:val="single" w:color="AAAAAA" w:sz="1"/>
              <w:right w:val="single" w:color="AAAAAA" w:sz="1"/>
            </w:tcBorders>
            <w:shd w:fill="F2F3F4" w:val="clear"/>
            <w:tcMar>
              <w:top w:type="dxa" w:w="70"/>
              <w:left w:type="dxa" w:w="140"/>
              <w:bottom w:type="dxa" w:w="70"/>
              <w:right w:type="dxa" w:w="140"/>
            </w:tcMar>
            <w:vAlign w:val="center"/>
          </w:tcPr>
          <w:p>
            <w:pPr>
              <w:jc w:val="right"/>
            </w:pPr>
            <w:r>
              <w:rPr>
                <w:rFonts w:ascii="Calibri" w:cs="Calibri" w:eastAsia="Calibri" w:hAnsi="Calibri"/>
                <w:color w:val="1C1C1C"/>
                <w:sz w:val="20"/>
                <w:szCs w:val="20"/>
              </w:rPr>
              <w:t xml:space="preserve">[$ XXXX.000]</w:t>
            </w:r>
          </w:p>
        </w:tc>
      </w:tr>
      <w:tr>
        <w:tc>
          <w:tcPr>
            <w:tcW w:type="dxa" w:w="400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Servicios tecnológicos (hosting, APIs de mapas, servicios cloud)</w:t>
            </w:r>
          </w:p>
        </w:tc>
        <w:tc>
          <w:tcPr>
            <w:tcW w:type="dxa" w:w="20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pPr>
              <w:jc w:val="right"/>
            </w:pPr>
            <w:r>
              <w:rPr>
                <w:rFonts w:ascii="Calibri" w:cs="Calibri" w:eastAsia="Calibri" w:hAnsi="Calibri"/>
                <w:color w:val="1C1C1C"/>
                <w:sz w:val="20"/>
                <w:szCs w:val="20"/>
              </w:rPr>
              <w:t xml:space="preserve">[$ XXXX.000]</w:t>
            </w:r>
          </w:p>
        </w:tc>
        <w:tc>
          <w:tcPr>
            <w:tcW w:type="dxa" w:w="19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pPr>
              <w:jc w:val="center"/>
            </w:pPr>
            <w:r>
              <w:rPr>
                <w:rFonts w:ascii="Calibri" w:cs="Calibri" w:eastAsia="Calibri" w:hAnsi="Calibri"/>
                <w:color w:val="1C1C1C"/>
                <w:sz w:val="20"/>
                <w:szCs w:val="20"/>
              </w:rPr>
              <w:t xml:space="preserve">—</w:t>
            </w:r>
          </w:p>
        </w:tc>
        <w:tc>
          <w:tcPr>
            <w:tcW w:type="dxa" w:w="13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pPr>
              <w:jc w:val="right"/>
            </w:pPr>
            <w:r>
              <w:rPr>
                <w:rFonts w:ascii="Calibri" w:cs="Calibri" w:eastAsia="Calibri" w:hAnsi="Calibri"/>
                <w:color w:val="1C1C1C"/>
                <w:sz w:val="20"/>
                <w:szCs w:val="20"/>
              </w:rPr>
              <w:t xml:space="preserve">[$ XXXX.000]</w:t>
            </w:r>
          </w:p>
        </w:tc>
      </w:tr>
      <w:tr>
        <w:tc>
          <w:tcPr>
            <w:tcW w:type="dxa" w:w="400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Actividades de validación con usuarios (traslados, incentivos, pruebas en terreno)</w:t>
            </w:r>
          </w:p>
        </w:tc>
        <w:tc>
          <w:tcPr>
            <w:tcW w:type="dxa" w:w="2000"/>
            <w:tcBorders>
              <w:top w:val="single" w:color="AAAAAA" w:sz="1"/>
              <w:left w:val="single" w:color="AAAAAA" w:sz="1"/>
              <w:bottom w:val="single" w:color="AAAAAA" w:sz="1"/>
              <w:right w:val="single" w:color="AAAAAA" w:sz="1"/>
            </w:tcBorders>
            <w:shd w:fill="F2F3F4" w:val="clear"/>
            <w:tcMar>
              <w:top w:type="dxa" w:w="70"/>
              <w:left w:type="dxa" w:w="140"/>
              <w:bottom w:type="dxa" w:w="70"/>
              <w:right w:type="dxa" w:w="140"/>
            </w:tcMar>
            <w:vAlign w:val="center"/>
          </w:tcPr>
          <w:p>
            <w:pPr>
              <w:jc w:val="right"/>
            </w:pPr>
            <w:r>
              <w:rPr>
                <w:rFonts w:ascii="Calibri" w:cs="Calibri" w:eastAsia="Calibri" w:hAnsi="Calibri"/>
                <w:color w:val="1C1C1C"/>
                <w:sz w:val="20"/>
                <w:szCs w:val="20"/>
              </w:rPr>
              <w:t xml:space="preserve">[$ XXXX.000]</w:t>
            </w:r>
          </w:p>
        </w:tc>
        <w:tc>
          <w:tcPr>
            <w:tcW w:type="dxa" w:w="1900"/>
            <w:tcBorders>
              <w:top w:val="single" w:color="AAAAAA" w:sz="1"/>
              <w:left w:val="single" w:color="AAAAAA" w:sz="1"/>
              <w:bottom w:val="single" w:color="AAAAAA" w:sz="1"/>
              <w:right w:val="single" w:color="AAAAAA" w:sz="1"/>
            </w:tcBorders>
            <w:shd w:fill="F2F3F4" w:val="clear"/>
            <w:tcMar>
              <w:top w:type="dxa" w:w="70"/>
              <w:left w:type="dxa" w:w="140"/>
              <w:bottom w:type="dxa" w:w="70"/>
              <w:right w:type="dxa" w:w="140"/>
            </w:tcMar>
            <w:vAlign w:val="center"/>
          </w:tcPr>
          <w:p>
            <w:pPr>
              <w:jc w:val="center"/>
            </w:pPr>
            <w:r>
              <w:rPr>
                <w:rFonts w:ascii="Calibri" w:cs="Calibri" w:eastAsia="Calibri" w:hAnsi="Calibri"/>
                <w:color w:val="1C1C1C"/>
                <w:sz w:val="20"/>
                <w:szCs w:val="20"/>
              </w:rPr>
              <w:t xml:space="preserve">—</w:t>
            </w:r>
          </w:p>
        </w:tc>
        <w:tc>
          <w:tcPr>
            <w:tcW w:type="dxa" w:w="1300"/>
            <w:tcBorders>
              <w:top w:val="single" w:color="AAAAAA" w:sz="1"/>
              <w:left w:val="single" w:color="AAAAAA" w:sz="1"/>
              <w:bottom w:val="single" w:color="AAAAAA" w:sz="1"/>
              <w:right w:val="single" w:color="AAAAAA" w:sz="1"/>
            </w:tcBorders>
            <w:shd w:fill="F2F3F4" w:val="clear"/>
            <w:tcMar>
              <w:top w:type="dxa" w:w="70"/>
              <w:left w:type="dxa" w:w="140"/>
              <w:bottom w:type="dxa" w:w="70"/>
              <w:right w:type="dxa" w:w="140"/>
            </w:tcMar>
            <w:vAlign w:val="center"/>
          </w:tcPr>
          <w:p>
            <w:pPr>
              <w:jc w:val="right"/>
            </w:pPr>
            <w:r>
              <w:rPr>
                <w:rFonts w:ascii="Calibri" w:cs="Calibri" w:eastAsia="Calibri" w:hAnsi="Calibri"/>
                <w:color w:val="1C1C1C"/>
                <w:sz w:val="20"/>
                <w:szCs w:val="20"/>
              </w:rPr>
              <w:t xml:space="preserve">[$ XXXX.000]</w:t>
            </w:r>
          </w:p>
        </w:tc>
      </w:tr>
      <w:tr>
        <w:tc>
          <w:tcPr>
            <w:tcW w:type="dxa" w:w="400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Difusión, propiedad intelectual y presentación en congreso</w:t>
            </w:r>
          </w:p>
        </w:tc>
        <w:tc>
          <w:tcPr>
            <w:tcW w:type="dxa" w:w="20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pPr>
              <w:jc w:val="right"/>
            </w:pPr>
            <w:r>
              <w:rPr>
                <w:rFonts w:ascii="Calibri" w:cs="Calibri" w:eastAsia="Calibri" w:hAnsi="Calibri"/>
                <w:color w:val="1C1C1C"/>
                <w:sz w:val="20"/>
                <w:szCs w:val="20"/>
              </w:rPr>
              <w:t xml:space="preserve">[$ XXXX.000]</w:t>
            </w:r>
          </w:p>
        </w:tc>
        <w:tc>
          <w:tcPr>
            <w:tcW w:type="dxa" w:w="19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pPr>
              <w:jc w:val="center"/>
            </w:pPr>
            <w:r>
              <w:rPr>
                <w:rFonts w:ascii="Calibri" w:cs="Calibri" w:eastAsia="Calibri" w:hAnsi="Calibri"/>
                <w:color w:val="1C1C1C"/>
                <w:sz w:val="20"/>
                <w:szCs w:val="20"/>
              </w:rPr>
              <w:t xml:space="preserve">—</w:t>
            </w:r>
          </w:p>
        </w:tc>
        <w:tc>
          <w:tcPr>
            <w:tcW w:type="dxa" w:w="13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pPr>
              <w:jc w:val="right"/>
            </w:pPr>
            <w:r>
              <w:rPr>
                <w:rFonts w:ascii="Calibri" w:cs="Calibri" w:eastAsia="Calibri" w:hAnsi="Calibri"/>
                <w:color w:val="1C1C1C"/>
                <w:sz w:val="20"/>
                <w:szCs w:val="20"/>
              </w:rPr>
              <w:t xml:space="preserve">[$ XXXX.000]</w:t>
            </w:r>
          </w:p>
        </w:tc>
      </w:tr>
      <w:tr>
        <w:tc>
          <w:tcPr>
            <w:tcW w:type="dxa" w:w="400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Mentor de negocios (valorizado por institución)</w:t>
            </w:r>
          </w:p>
        </w:tc>
        <w:tc>
          <w:tcPr>
            <w:tcW w:type="dxa" w:w="2000"/>
            <w:tcBorders>
              <w:top w:val="single" w:color="AAAAAA" w:sz="1"/>
              <w:left w:val="single" w:color="AAAAAA" w:sz="1"/>
              <w:bottom w:val="single" w:color="AAAAAA" w:sz="1"/>
              <w:right w:val="single" w:color="AAAAAA" w:sz="1"/>
            </w:tcBorders>
            <w:shd w:fill="F2F3F4" w:val="clear"/>
            <w:tcMar>
              <w:top w:type="dxa" w:w="70"/>
              <w:left w:type="dxa" w:w="140"/>
              <w:bottom w:type="dxa" w:w="70"/>
              <w:right w:type="dxa" w:w="140"/>
            </w:tcMar>
            <w:vAlign w:val="center"/>
          </w:tcPr>
          <w:p>
            <w:pPr>
              <w:jc w:val="center"/>
            </w:pPr>
            <w:r>
              <w:rPr>
                <w:rFonts w:ascii="Calibri" w:cs="Calibri" w:eastAsia="Calibri" w:hAnsi="Calibri"/>
                <w:color w:val="1C1C1C"/>
                <w:sz w:val="20"/>
                <w:szCs w:val="20"/>
              </w:rPr>
              <w:t xml:space="preserve">—</w:t>
            </w:r>
          </w:p>
        </w:tc>
        <w:tc>
          <w:tcPr>
            <w:tcW w:type="dxa" w:w="1900"/>
            <w:tcBorders>
              <w:top w:val="single" w:color="AAAAAA" w:sz="1"/>
              <w:left w:val="single" w:color="AAAAAA" w:sz="1"/>
              <w:bottom w:val="single" w:color="AAAAAA" w:sz="1"/>
              <w:right w:val="single" w:color="AAAAAA" w:sz="1"/>
            </w:tcBorders>
            <w:shd w:fill="F2F3F4" w:val="clear"/>
            <w:tcMar>
              <w:top w:type="dxa" w:w="70"/>
              <w:left w:type="dxa" w:w="140"/>
              <w:bottom w:type="dxa" w:w="70"/>
              <w:right w:type="dxa" w:w="140"/>
            </w:tcMar>
            <w:vAlign w:val="center"/>
          </w:tcPr>
          <w:p>
            <w:pPr>
              <w:jc w:val="right"/>
            </w:pPr>
            <w:r>
              <w:rPr>
                <w:rFonts w:ascii="Calibri" w:cs="Calibri" w:eastAsia="Calibri" w:hAnsi="Calibri"/>
                <w:color w:val="1C1C1C"/>
                <w:sz w:val="20"/>
                <w:szCs w:val="20"/>
              </w:rPr>
              <w:t xml:space="preserve">[$ XXXX.000]</w:t>
            </w:r>
          </w:p>
        </w:tc>
        <w:tc>
          <w:tcPr>
            <w:tcW w:type="dxa" w:w="1300"/>
            <w:tcBorders>
              <w:top w:val="single" w:color="AAAAAA" w:sz="1"/>
              <w:left w:val="single" w:color="AAAAAA" w:sz="1"/>
              <w:bottom w:val="single" w:color="AAAAAA" w:sz="1"/>
              <w:right w:val="single" w:color="AAAAAA" w:sz="1"/>
            </w:tcBorders>
            <w:shd w:fill="F2F3F4" w:val="clear"/>
            <w:tcMar>
              <w:top w:type="dxa" w:w="70"/>
              <w:left w:type="dxa" w:w="140"/>
              <w:bottom w:type="dxa" w:w="70"/>
              <w:right w:type="dxa" w:w="140"/>
            </w:tcMar>
            <w:vAlign w:val="center"/>
          </w:tcPr>
          <w:p>
            <w:pPr>
              <w:jc w:val="right"/>
            </w:pPr>
            <w:r>
              <w:rPr>
                <w:rFonts w:ascii="Calibri" w:cs="Calibri" w:eastAsia="Calibri" w:hAnsi="Calibri"/>
                <w:color w:val="1C1C1C"/>
                <w:sz w:val="20"/>
                <w:szCs w:val="20"/>
              </w:rPr>
              <w:t xml:space="preserve">[$ XXXX.000]</w:t>
            </w:r>
          </w:p>
        </w:tc>
      </w:tr>
      <w:tr>
        <w:tc>
          <w:tcPr>
            <w:tcW w:type="dxa" w:w="400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vAlign w:val="center"/>
          </w:tcPr>
          <w:p>
            <w:pPr>
              <w:jc w:val="left"/>
            </w:pPr>
            <w:r>
              <w:rPr>
                <w:rFonts w:ascii="Calibri" w:cs="Calibri" w:eastAsia="Calibri" w:hAnsi="Calibri"/>
                <w:color w:val="1C1C1C"/>
                <w:sz w:val="20"/>
                <w:szCs w:val="20"/>
              </w:rPr>
              <w:t xml:space="preserve">Uso de laboratorios / infraestructura (valorizado)</w:t>
            </w:r>
          </w:p>
        </w:tc>
        <w:tc>
          <w:tcPr>
            <w:tcW w:type="dxa" w:w="20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pPr>
              <w:jc w:val="center"/>
            </w:pPr>
            <w:r>
              <w:rPr>
                <w:rFonts w:ascii="Calibri" w:cs="Calibri" w:eastAsia="Calibri" w:hAnsi="Calibri"/>
                <w:color w:val="1C1C1C"/>
                <w:sz w:val="20"/>
                <w:szCs w:val="20"/>
              </w:rPr>
              <w:t xml:space="preserve">—</w:t>
            </w:r>
          </w:p>
        </w:tc>
        <w:tc>
          <w:tcPr>
            <w:tcW w:type="dxa" w:w="19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pPr>
              <w:jc w:val="right"/>
            </w:pPr>
            <w:r>
              <w:rPr>
                <w:rFonts w:ascii="Calibri" w:cs="Calibri" w:eastAsia="Calibri" w:hAnsi="Calibri"/>
                <w:color w:val="1C1C1C"/>
                <w:sz w:val="20"/>
                <w:szCs w:val="20"/>
              </w:rPr>
              <w:t xml:space="preserve">[$ XXXX.000]</w:t>
            </w:r>
          </w:p>
        </w:tc>
        <w:tc>
          <w:tcPr>
            <w:tcW w:type="dxa" w:w="1300"/>
            <w:tcBorders>
              <w:top w:val="single" w:color="AAAAAA" w:sz="1"/>
              <w:left w:val="single" w:color="AAAAAA" w:sz="1"/>
              <w:bottom w:val="single" w:color="AAAAAA" w:sz="1"/>
              <w:right w:val="single" w:color="AAAAAA" w:sz="1"/>
            </w:tcBorders>
            <w:shd w:fill="D6EAF8" w:val="clear"/>
            <w:tcMar>
              <w:top w:type="dxa" w:w="70"/>
              <w:left w:type="dxa" w:w="140"/>
              <w:bottom w:type="dxa" w:w="70"/>
              <w:right w:type="dxa" w:w="140"/>
            </w:tcMar>
            <w:vAlign w:val="center"/>
          </w:tcPr>
          <w:p>
            <w:pPr>
              <w:jc w:val="right"/>
            </w:pPr>
            <w:r>
              <w:rPr>
                <w:rFonts w:ascii="Calibri" w:cs="Calibri" w:eastAsia="Calibri" w:hAnsi="Calibri"/>
                <w:color w:val="1C1C1C"/>
                <w:sz w:val="20"/>
                <w:szCs w:val="20"/>
              </w:rPr>
              <w:t xml:space="preserve">[$ XXXX.000]</w:t>
            </w:r>
          </w:p>
        </w:tc>
      </w:tr>
      <w:tr>
        <w:tc>
          <w:tcPr>
            <w:tcW w:type="dxa" w:w="4000"/>
            <w:tcBorders>
              <w:top w:val="single" w:color="AAAAAA" w:sz="1"/>
              <w:left w:val="single" w:color="AAAAAA" w:sz="1"/>
              <w:bottom w:val="single" w:color="AAAAAA" w:sz="1"/>
              <w:right w:val="single" w:color="AAAAAA" w:sz="1"/>
            </w:tcBorders>
            <w:shd w:fill="1A5276" w:val="clear"/>
            <w:tcMar>
              <w:top w:type="dxa" w:w="80"/>
              <w:left w:type="dxa" w:w="140"/>
              <w:bottom w:type="dxa" w:w="80"/>
              <w:right w:type="dxa" w:w="140"/>
            </w:tcMar>
          </w:tcPr>
          <w:p>
            <w:pPr>
              <w:jc w:val="right"/>
            </w:pPr>
            <w:r>
              <w:rPr>
                <w:rFonts w:ascii="Calibri" w:cs="Calibri" w:eastAsia="Calibri" w:hAnsi="Calibri"/>
                <w:b/>
                <w:bCs/>
                <w:color w:val="FFFFFF"/>
                <w:sz w:val="22"/>
                <w:szCs w:val="22"/>
              </w:rPr>
              <w:t xml:space="preserve">TOTAL</w:t>
            </w:r>
          </w:p>
        </w:tc>
        <w:tc>
          <w:tcPr>
            <w:tcW w:type="dxa" w:w="2000"/>
            <w:tcBorders>
              <w:top w:val="single" w:color="AAAAAA" w:sz="1"/>
              <w:left w:val="single" w:color="AAAAAA" w:sz="1"/>
              <w:bottom w:val="single" w:color="AAAAAA" w:sz="1"/>
              <w:right w:val="single" w:color="AAAAAA" w:sz="1"/>
            </w:tcBorders>
            <w:shd w:fill="1A5276" w:val="clear"/>
            <w:tcMar>
              <w:top w:type="dxa" w:w="80"/>
              <w:left w:type="dxa" w:w="140"/>
              <w:bottom w:type="dxa" w:w="80"/>
              <w:right w:type="dxa" w:w="140"/>
            </w:tcMar>
          </w:tcPr>
          <w:p>
            <w:pPr>
              <w:jc w:val="right"/>
            </w:pPr>
            <w:r>
              <w:rPr>
                <w:rFonts w:ascii="Calibri" w:cs="Calibri" w:eastAsia="Calibri" w:hAnsi="Calibri"/>
                <w:b/>
                <w:bCs/>
                <w:color w:val="FFFFFF"/>
                <w:sz w:val="22"/>
                <w:szCs w:val="22"/>
              </w:rPr>
              <w:t xml:space="preserve">[$ XX.XXX.000]</w:t>
            </w:r>
          </w:p>
        </w:tc>
        <w:tc>
          <w:tcPr>
            <w:tcW w:type="dxa" w:w="1900"/>
            <w:tcBorders>
              <w:top w:val="single" w:color="AAAAAA" w:sz="1"/>
              <w:left w:val="single" w:color="AAAAAA" w:sz="1"/>
              <w:bottom w:val="single" w:color="AAAAAA" w:sz="1"/>
              <w:right w:val="single" w:color="AAAAAA" w:sz="1"/>
            </w:tcBorders>
            <w:shd w:fill="1A5276" w:val="clear"/>
            <w:tcMar>
              <w:top w:type="dxa" w:w="80"/>
              <w:left w:type="dxa" w:w="140"/>
              <w:bottom w:type="dxa" w:w="80"/>
              <w:right w:type="dxa" w:w="140"/>
            </w:tcMar>
          </w:tcPr>
          <w:p>
            <w:pPr>
              <w:jc w:val="right"/>
            </w:pPr>
            <w:r>
              <w:rPr>
                <w:rFonts w:ascii="Calibri" w:cs="Calibri" w:eastAsia="Calibri" w:hAnsi="Calibri"/>
                <w:b/>
                <w:bCs/>
                <w:color w:val="FFFFFF"/>
                <w:sz w:val="22"/>
                <w:szCs w:val="22"/>
              </w:rPr>
              <w:t xml:space="preserve">[$ X.XXX.000]</w:t>
            </w:r>
          </w:p>
        </w:tc>
        <w:tc>
          <w:tcPr>
            <w:tcW w:type="dxa" w:w="1300"/>
            <w:tcBorders>
              <w:top w:val="single" w:color="AAAAAA" w:sz="1"/>
              <w:left w:val="single" w:color="AAAAAA" w:sz="1"/>
              <w:bottom w:val="single" w:color="AAAAAA" w:sz="1"/>
              <w:right w:val="single" w:color="AAAAAA" w:sz="1"/>
            </w:tcBorders>
            <w:shd w:fill="1A5276" w:val="clear"/>
            <w:tcMar>
              <w:top w:type="dxa" w:w="80"/>
              <w:left w:type="dxa" w:w="140"/>
              <w:bottom w:type="dxa" w:w="80"/>
              <w:right w:type="dxa" w:w="140"/>
            </w:tcMar>
          </w:tcPr>
          <w:p>
            <w:pPr>
              <w:jc w:val="right"/>
            </w:pPr>
            <w:r>
              <w:rPr>
                <w:rFonts w:ascii="Calibri" w:cs="Calibri" w:eastAsia="Calibri" w:hAnsi="Calibri"/>
                <w:b/>
                <w:bCs/>
                <w:color w:val="FFFFFF"/>
                <w:sz w:val="22"/>
                <w:szCs w:val="22"/>
              </w:rPr>
              <w:t xml:space="preserve">[$ XX.XXX.000]</w:t>
            </w:r>
          </w:p>
        </w:tc>
      </w:tr>
    </w:tbl>
    <w:p>
      <w:pPr>
        <w:spacing w:after="80" w:before="100"/>
      </w:pPr>
      <w:r>
        <w:rPr>
          <w:rFonts w:ascii="Calibri" w:cs="Calibri" w:eastAsia="Calibri" w:hAnsi="Calibri"/>
          <w:i/>
          <w:iCs/>
          <w:color w:val="555555"/>
          <w:sz w:val="20"/>
          <w:szCs w:val="20"/>
        </w:rPr>
        <w:t xml:space="preserve">* Monto máximo ANID: $36.000.000. La institución beneficiaria aporta mínimo 20% del costo total (incremental y/o no incremental).</w:t>
      </w:r>
    </w:p>
    <w:p>
      <w:pPr>
        <w:spacing w:before="120"/>
      </w:pPr>
      <w:r>
        <w:rPr>
          <w:rFonts w:ascii="Calibri" w:cs="Calibri" w:eastAsia="Calibri" w:hAnsi="Calibri"/>
          <w:color w:val="1C1C1C"/>
          <w:sz w:val="22"/>
          <w:szCs w:val="22"/>
        </w:rPr>
        <w:t xml:space="preserve"/>
      </w:r>
    </w:p>
    <w:p>
      <w:pPr>
        <w:pStyle w:val="Heading1"/>
        <w:shd w:fill="1A5276" w:val="clear"/>
        <w:spacing w:after="160" w:before="280"/>
        <w:ind w:left="200" w:right="200"/>
      </w:pPr>
      <w:r>
        <w:rPr>
          <w:rFonts w:ascii="Calibri" w:cs="Calibri" w:eastAsia="Calibri" w:hAnsi="Calibri"/>
          <w:b/>
          <w:bCs/>
          <w:color w:val="FFFFFF"/>
          <w:sz w:val="36"/>
          <w:szCs w:val="36"/>
        </w:rPr>
        <w:t xml:space="preserve">9. MERCADO OBJETIVO Y MODELO DE NEGOCIO</w:t>
      </w:r>
    </w:p>
    <w:p>
      <w:pPr>
        <w:pStyle w:val="Heading2"/>
        <w:pBdr>
          <w:bottom w:val="single" w:color="1A5276" w:sz="6" w:space="1"/>
        </w:pBdr>
        <w:spacing w:after="120" w:before="320"/>
      </w:pPr>
      <w:r>
        <w:rPr>
          <w:rFonts w:ascii="Calibri" w:cs="Calibri" w:eastAsia="Calibri" w:hAnsi="Calibri"/>
          <w:b/>
          <w:bCs/>
          <w:color w:val="1A5276"/>
          <w:sz w:val="26"/>
          <w:szCs w:val="26"/>
        </w:rPr>
        <w:t xml:space="preserve">9.1 Segmentos de Clientes</w:t>
      </w:r>
    </w:p>
    <w:p>
      <w:pPr>
        <w:pStyle w:val="ListParagraph"/>
        <w:numPr>
          <w:ilvl w:val="0"/>
          <w:numId w:val="2"/>
        </w:numPr>
        <w:spacing w:after="80"/>
      </w:pPr>
      <w:r>
        <w:rPr>
          <w:rFonts w:ascii="Calibri" w:cs="Calibri" w:eastAsia="Calibri" w:hAnsi="Calibri"/>
          <w:color w:val="1C1C1C"/>
          <w:sz w:val="22"/>
          <w:szCs w:val="22"/>
        </w:rPr>
        <w:t xml:space="preserve">Usuarios directos: personas usuarias de silla de ruedas en Chile (estimado 180.000+ personas según ENDISC 2015).</w:t>
      </w:r>
    </w:p>
    <w:p>
      <w:pPr>
        <w:pStyle w:val="ListParagraph"/>
        <w:numPr>
          <w:ilvl w:val="0"/>
          <w:numId w:val="2"/>
        </w:numPr>
        <w:spacing w:after="80"/>
      </w:pPr>
      <w:r>
        <w:rPr>
          <w:rFonts w:ascii="Calibri" w:cs="Calibri" w:eastAsia="Calibri" w:hAnsi="Calibri"/>
          <w:color w:val="1C1C1C"/>
          <w:sz w:val="22"/>
          <w:szCs w:val="22"/>
        </w:rPr>
        <w:t xml:space="preserve">Segmento B2G: municipalidades, SENADIS, Ministerio de Transportes — necesitan datos de accesibilidad y herramientas de fiscalización normativa.</w:t>
      </w:r>
    </w:p>
    <w:p>
      <w:pPr>
        <w:pStyle w:val="ListParagraph"/>
        <w:numPr>
          <w:ilvl w:val="0"/>
          <w:numId w:val="2"/>
        </w:numPr>
        <w:spacing w:after="80"/>
      </w:pPr>
      <w:r>
        <w:rPr>
          <w:rFonts w:ascii="Calibri" w:cs="Calibri" w:eastAsia="Calibri" w:hAnsi="Calibri"/>
          <w:color w:val="1C1C1C"/>
          <w:sz w:val="22"/>
          <w:szCs w:val="22"/>
        </w:rPr>
        <w:t xml:space="preserve">Segmento B2B: empresas de transporte adaptado, aseguradoras, empleadores con política de inclusión.</w:t>
      </w:r>
    </w:p>
    <w:p>
      <w:pPr>
        <w:pStyle w:val="ListParagraph"/>
        <w:numPr>
          <w:ilvl w:val="0"/>
          <w:numId w:val="2"/>
        </w:numPr>
        <w:spacing w:after="80"/>
      </w:pPr>
      <w:r>
        <w:rPr>
          <w:rFonts w:ascii="Calibri" w:cs="Calibri" w:eastAsia="Calibri" w:hAnsi="Calibri"/>
          <w:color w:val="1C1C1C"/>
          <w:sz w:val="22"/>
          <w:szCs w:val="22"/>
        </w:rPr>
        <w:t xml:space="preserve">Sector salud y rehabilitación: centros de neurorrehabilitación y terapia ocupacional que trabajan recuperación de autonomía de desplazamiento.</w:t>
      </w:r>
    </w:p>
    <w:p>
      <w:pPr>
        <w:pStyle w:val="ListParagraph"/>
        <w:numPr>
          <w:ilvl w:val="0"/>
          <w:numId w:val="2"/>
        </w:numPr>
        <w:spacing w:after="80"/>
      </w:pPr>
      <w:r>
        <w:rPr>
          <w:rFonts w:ascii="Calibri" w:cs="Calibri" w:eastAsia="Calibri" w:hAnsi="Calibri"/>
          <w:color w:val="1C1C1C"/>
          <w:sz w:val="22"/>
          <w:szCs w:val="22"/>
        </w:rPr>
        <w:t xml:space="preserve">Ecosistema colaborativo: organizaciones de la sociedad civil y comunidades de usuarios.</w:t>
      </w:r>
    </w:p>
    <w:p>
      <w:pPr>
        <w:spacing w:before="80"/>
      </w:pPr>
      <w:r>
        <w:rPr>
          <w:rFonts w:ascii="Calibri" w:cs="Calibri" w:eastAsia="Calibri" w:hAnsi="Calibri"/>
          <w:color w:val="1C1C1C"/>
          <w:sz w:val="22"/>
          <w:szCs w:val="22"/>
        </w:rPr>
        <w:t xml:space="preserve"/>
      </w:r>
    </w:p>
    <w:p>
      <w:pPr>
        <w:pStyle w:val="Heading2"/>
        <w:pBdr>
          <w:bottom w:val="single" w:color="1A5276" w:sz="6" w:space="1"/>
        </w:pBdr>
        <w:spacing w:after="120" w:before="320"/>
      </w:pPr>
      <w:r>
        <w:rPr>
          <w:rFonts w:ascii="Calibri" w:cs="Calibri" w:eastAsia="Calibri" w:hAnsi="Calibri"/>
          <w:b/>
          <w:bCs/>
          <w:color w:val="1A5276"/>
          <w:sz w:val="26"/>
          <w:szCs w:val="26"/>
        </w:rPr>
        <w:t xml:space="preserve">9.2 Modelo de Ingresos (Preliminar)</w:t>
      </w:r>
    </w:p>
    <w:p>
      <w:pPr>
        <w:pStyle w:val="ListParagraph"/>
        <w:numPr>
          <w:ilvl w:val="0"/>
          <w:numId w:val="2"/>
        </w:numPr>
        <w:spacing w:after="80"/>
      </w:pPr>
      <w:r>
        <w:rPr>
          <w:rFonts w:ascii="Calibri" w:cs="Calibri" w:eastAsia="Calibri" w:hAnsi="Calibri"/>
          <w:color w:val="1C1C1C"/>
          <w:sz w:val="22"/>
          <w:szCs w:val="22"/>
        </w:rPr>
        <w:t xml:space="preserve">Freemium ciudadano: uso básico gratuito para usuarios finales; funcionalidades avanzadas con suscripción mensual.</w:t>
      </w:r>
    </w:p>
    <w:p>
      <w:pPr>
        <w:pStyle w:val="ListParagraph"/>
        <w:numPr>
          <w:ilvl w:val="0"/>
          <w:numId w:val="2"/>
        </w:numPr>
        <w:spacing w:after="80"/>
      </w:pPr>
      <w:r>
        <w:rPr>
          <w:rFonts w:ascii="Calibri" w:cs="Calibri" w:eastAsia="Calibri" w:hAnsi="Calibri"/>
          <w:color w:val="1C1C1C"/>
          <w:sz w:val="22"/>
          <w:szCs w:val="22"/>
        </w:rPr>
        <w:t xml:space="preserve">Licenciamiento B2G: plataforma de gestión y fiscalización de accesibilidad para municipios.</w:t>
      </w:r>
    </w:p>
    <w:p>
      <w:pPr>
        <w:pStyle w:val="ListParagraph"/>
        <w:numPr>
          <w:ilvl w:val="0"/>
          <w:numId w:val="2"/>
        </w:numPr>
        <w:spacing w:after="80"/>
      </w:pPr>
      <w:r>
        <w:rPr>
          <w:rFonts w:ascii="Calibri" w:cs="Calibri" w:eastAsia="Calibri" w:hAnsi="Calibri"/>
          <w:color w:val="1C1C1C"/>
          <w:sz w:val="22"/>
          <w:szCs w:val="22"/>
        </w:rPr>
        <w:t xml:space="preserve">API de datos de accesibilidad urbana para terceros desarrolladores y empresas de movilidad.</w:t>
      </w:r>
    </w:p>
    <w:p>
      <w:pPr>
        <w:pStyle w:val="ListParagraph"/>
        <w:numPr>
          <w:ilvl w:val="0"/>
          <w:numId w:val="2"/>
        </w:numPr>
        <w:spacing w:after="80"/>
      </w:pPr>
      <w:r>
        <w:rPr>
          <w:rFonts w:ascii="Calibri" w:cs="Calibri" w:eastAsia="Calibri" w:hAnsi="Calibri"/>
          <w:color w:val="1C1C1C"/>
          <w:sz w:val="22"/>
          <w:szCs w:val="22"/>
        </w:rPr>
        <w:t xml:space="preserve">Consultoría en neurociencia aplicada al diseño de infraestructura pública accesible.</w:t>
      </w:r>
    </w:p>
    <w:p>
      <w:pPr>
        <w:spacing w:before="120"/>
      </w:pPr>
      <w:r>
        <w:rPr>
          <w:rFonts w:ascii="Calibri" w:cs="Calibri" w:eastAsia="Calibri" w:hAnsi="Calibri"/>
          <w:color w:val="1C1C1C"/>
          <w:sz w:val="22"/>
          <w:szCs w:val="22"/>
        </w:rPr>
        <w:t xml:space="preserve"/>
      </w:r>
    </w:p>
    <w:p>
      <w:pPr>
        <w:pStyle w:val="Heading1"/>
        <w:shd w:fill="1A5276" w:val="clear"/>
        <w:spacing w:after="160" w:before="280"/>
        <w:ind w:left="200" w:right="200"/>
      </w:pPr>
      <w:r>
        <w:rPr>
          <w:rFonts w:ascii="Calibri" w:cs="Calibri" w:eastAsia="Calibri" w:hAnsi="Calibri"/>
          <w:b/>
          <w:bCs/>
          <w:color w:val="FFFFFF"/>
          <w:sz w:val="36"/>
          <w:szCs w:val="36"/>
        </w:rPr>
        <w:t xml:space="preserve">10. MARCO NORMATIVO Y VINCULACIÓN INSTITUCIONAL</w:t>
      </w:r>
    </w:p>
    <w:p>
      <w:pPr>
        <w:pStyle w:val="Heading2"/>
        <w:pBdr>
          <w:bottom w:val="single" w:color="1A5276" w:sz="6" w:space="1"/>
        </w:pBdr>
        <w:spacing w:after="120" w:before="320"/>
      </w:pPr>
      <w:r>
        <w:rPr>
          <w:rFonts w:ascii="Calibri" w:cs="Calibri" w:eastAsia="Calibri" w:hAnsi="Calibri"/>
          <w:b/>
          <w:bCs/>
          <w:color w:val="1A5276"/>
          <w:sz w:val="26"/>
          <w:szCs w:val="26"/>
        </w:rPr>
        <w:t xml:space="preserve">10.1 Marco Normativo de Referencia</w:t>
      </w:r>
    </w:p>
    <w:p>
      <w:pPr>
        <w:pStyle w:val="ListParagraph"/>
        <w:numPr>
          <w:ilvl w:val="0"/>
          <w:numId w:val="2"/>
        </w:numPr>
        <w:spacing w:after="80"/>
      </w:pPr>
      <w:r>
        <w:rPr>
          <w:rFonts w:ascii="Calibri" w:cs="Calibri" w:eastAsia="Calibri" w:hAnsi="Calibri"/>
          <w:color w:val="1C1C1C"/>
          <w:sz w:val="22"/>
          <w:szCs w:val="22"/>
        </w:rPr>
        <w:t xml:space="preserve">Ley N° 20.422 — Normas sobre igualdad de oportunidades e inclusión social de personas con discapacidad.</w:t>
      </w:r>
    </w:p>
    <w:p>
      <w:pPr>
        <w:pStyle w:val="ListParagraph"/>
        <w:numPr>
          <w:ilvl w:val="0"/>
          <w:numId w:val="2"/>
        </w:numPr>
        <w:spacing w:after="80"/>
      </w:pPr>
      <w:r>
        <w:rPr>
          <w:rFonts w:ascii="Calibri" w:cs="Calibri" w:eastAsia="Calibri" w:hAnsi="Calibri"/>
          <w:color w:val="1C1C1C"/>
          <w:sz w:val="22"/>
          <w:szCs w:val="22"/>
        </w:rPr>
        <w:t xml:space="preserve">Ordenanza General de Urbanismo y Construcción (OGUC) — Artículos sobre accesibilidad universal en el espacio público.</w:t>
      </w:r>
    </w:p>
    <w:p>
      <w:pPr>
        <w:pStyle w:val="ListParagraph"/>
        <w:numPr>
          <w:ilvl w:val="0"/>
          <w:numId w:val="2"/>
        </w:numPr>
        <w:spacing w:after="80"/>
      </w:pPr>
      <w:r>
        <w:rPr>
          <w:rFonts w:ascii="Calibri" w:cs="Calibri" w:eastAsia="Calibri" w:hAnsi="Calibri"/>
          <w:color w:val="1C1C1C"/>
          <w:sz w:val="22"/>
          <w:szCs w:val="22"/>
        </w:rPr>
        <w:t xml:space="preserve">NCh 3259 — Norma Chilena de accesibilidad al medio físico.</w:t>
      </w:r>
    </w:p>
    <w:p>
      <w:pPr>
        <w:pStyle w:val="ListParagraph"/>
        <w:numPr>
          <w:ilvl w:val="0"/>
          <w:numId w:val="2"/>
        </w:numPr>
        <w:spacing w:after="80"/>
      </w:pPr>
      <w:r>
        <w:rPr>
          <w:rFonts w:ascii="Calibri" w:cs="Calibri" w:eastAsia="Calibri" w:hAnsi="Calibri"/>
          <w:color w:val="1C1C1C"/>
          <w:sz w:val="22"/>
          <w:szCs w:val="22"/>
        </w:rPr>
        <w:t xml:space="preserve">Convención sobre los Derechos de las Personas con Discapacidad (ONU), ratificada por Chile en 2008.</w:t>
      </w:r>
    </w:p>
    <w:p>
      <w:pPr>
        <w:pStyle w:val="ListParagraph"/>
        <w:numPr>
          <w:ilvl w:val="0"/>
          <w:numId w:val="2"/>
        </w:numPr>
        <w:spacing w:after="80"/>
      </w:pPr>
      <w:r>
        <w:rPr>
          <w:rFonts w:ascii="Calibri" w:cs="Calibri" w:eastAsia="Calibri" w:hAnsi="Calibri"/>
          <w:color w:val="1C1C1C"/>
          <w:sz w:val="22"/>
          <w:szCs w:val="22"/>
        </w:rPr>
        <w:t xml:space="preserve">Plan Nacional de Accesibilidad 2021-2030 — SENADIS.</w:t>
      </w:r>
    </w:p>
    <w:p>
      <w:pPr>
        <w:spacing w:before="80"/>
      </w:pPr>
      <w:r>
        <w:rPr>
          <w:rFonts w:ascii="Calibri" w:cs="Calibri" w:eastAsia="Calibri" w:hAnsi="Calibri"/>
          <w:color w:val="1C1C1C"/>
          <w:sz w:val="22"/>
          <w:szCs w:val="22"/>
        </w:rPr>
        <w:t xml:space="preserve"/>
      </w:r>
    </w:p>
    <w:p>
      <w:pPr>
        <w:pStyle w:val="Heading2"/>
        <w:pBdr>
          <w:bottom w:val="single" w:color="1A5276" w:sz="6" w:space="1"/>
        </w:pBdr>
        <w:spacing w:after="120" w:before="320"/>
      </w:pPr>
      <w:r>
        <w:rPr>
          <w:rFonts w:ascii="Calibri" w:cs="Calibri" w:eastAsia="Calibri" w:hAnsi="Calibri"/>
          <w:b/>
          <w:bCs/>
          <w:color w:val="1A5276"/>
          <w:sz w:val="26"/>
          <w:szCs w:val="26"/>
        </w:rPr>
        <w:t xml:space="preserve">10.2 Vinculación Institucional y Cartas de Apoyo</w:t>
      </w:r>
    </w:p>
    <w:p>
      <w:pPr>
        <w:spacing w:after="160"/>
        <w:jc w:val="both"/>
      </w:pPr>
      <w:r>
        <w:rPr>
          <w:rFonts w:ascii="Calibri" w:cs="Calibri" w:eastAsia="Calibri" w:hAnsi="Calibri"/>
          <w:color w:val="1C1C1C"/>
          <w:sz w:val="22"/>
          <w:szCs w:val="22"/>
        </w:rPr>
        <w:t xml:space="preserve">El proyecto cuenta con el respaldo de [nombre institución] y se encuentra en proceso de formalización de vinculación con:</w:t>
      </w:r>
    </w:p>
    <w:p>
      <w:pPr>
        <w:pStyle w:val="ListParagraph"/>
        <w:numPr>
          <w:ilvl w:val="0"/>
          <w:numId w:val="2"/>
        </w:numPr>
        <w:spacing w:after="80"/>
      </w:pPr>
      <w:r>
        <w:rPr>
          <w:rFonts w:ascii="Calibri" w:cs="Calibri" w:eastAsia="Calibri" w:hAnsi="Calibri"/>
          <w:color w:val="1C1C1C"/>
          <w:sz w:val="22"/>
          <w:szCs w:val="22"/>
        </w:rPr>
        <w:t xml:space="preserve">[Nombre organización 1: municipio, ONG de discapacidad, centro de neurorrehabilitación, etc.] — Carta de compromiso adjunta.</w:t>
      </w:r>
    </w:p>
    <w:p>
      <w:pPr>
        <w:pStyle w:val="ListParagraph"/>
        <w:numPr>
          <w:ilvl w:val="0"/>
          <w:numId w:val="2"/>
        </w:numPr>
        <w:spacing w:after="80"/>
      </w:pPr>
      <w:r>
        <w:rPr>
          <w:rFonts w:ascii="Calibri" w:cs="Calibri" w:eastAsia="Calibri" w:hAnsi="Calibri"/>
          <w:color w:val="1C1C1C"/>
          <w:sz w:val="22"/>
          <w:szCs w:val="22"/>
        </w:rPr>
        <w:t xml:space="preserve">[Nombre organización 2] — Carta de compromiso adjunta.</w:t>
      </w:r>
    </w:p>
    <w:p>
      <w:pPr>
        <w:spacing w:after="160"/>
        <w:jc w:val="both"/>
      </w:pPr>
      <w:r>
        <w:rPr>
          <w:rFonts w:ascii="Calibri" w:cs="Calibri" w:eastAsia="Calibri" w:hAnsi="Calibri"/>
          <w:color w:val="1C1C1C"/>
          <w:sz w:val="22"/>
          <w:szCs w:val="22"/>
        </w:rPr>
        <w:t xml:space="preserve">La institución beneficiaria se compromete a aportar el 20% del costo total del proyecto mediante [uso de laboratorios, horas de mentor, infraestructura de evaluación cognitiva, etc.].</w:t>
      </w:r>
    </w:p>
    <w:p>
      <w:pPr>
        <w:spacing w:before="120"/>
      </w:pPr>
      <w:r>
        <w:rPr>
          <w:rFonts w:ascii="Calibri" w:cs="Calibri" w:eastAsia="Calibri" w:hAnsi="Calibri"/>
          <w:color w:val="1C1C1C"/>
          <w:sz w:val="22"/>
          <w:szCs w:val="22"/>
        </w:rPr>
        <w:t xml:space="preserve"/>
      </w:r>
    </w:p>
    <w:p>
      <w:r>
        <w:br w:type="page"/>
      </w:r>
    </w:p>
    <w:p>
      <w:pPr>
        <w:pStyle w:val="Heading1"/>
        <w:shd w:fill="1A5276" w:val="clear"/>
        <w:spacing w:after="160" w:before="280"/>
        <w:ind w:left="200" w:right="200"/>
      </w:pPr>
      <w:r>
        <w:rPr>
          <w:rFonts w:ascii="Calibri" w:cs="Calibri" w:eastAsia="Calibri" w:hAnsi="Calibri"/>
          <w:b/>
          <w:bCs/>
          <w:color w:val="FFFFFF"/>
          <w:sz w:val="36"/>
          <w:szCs w:val="36"/>
        </w:rPr>
        <w:t xml:space="preserve">11. DECLARACIONES Y FIRMAS</w:t>
      </w:r>
    </w:p>
    <w:p>
      <w:pPr>
        <w:spacing w:after="160"/>
        <w:jc w:val="both"/>
      </w:pPr>
      <w:r>
        <w:rPr>
          <w:rFonts w:ascii="Calibri" w:cs="Calibri" w:eastAsia="Calibri" w:hAnsi="Calibri"/>
          <w:color w:val="1C1C1C"/>
          <w:sz w:val="22"/>
          <w:szCs w:val="22"/>
        </w:rPr>
        <w:t xml:space="preserve">Los abajo firmantes declaran que la información contenida en este formulario es verídica, que el proyecto descrito proviene de los resultados del trabajo de título/tesis indicado, y que cumplen con los requisitos de elegibilidad del Concurso VIU 2026 de ANID.</w:t>
      </w:r>
    </w:p>
    <w:p>
      <w:pPr>
        <w:spacing w:before="400"/>
      </w:pPr>
      <w:r>
        <w:rPr>
          <w:rFonts w:ascii="Calibri" w:cs="Calibri" w:eastAsia="Calibri" w:hAnsi="Calibri"/>
          <w:color w:val="1C1C1C"/>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400"/>
        <w:gridCol w:w="4800"/>
      </w:tblGrid>
      <w:tr>
        <w:tc>
          <w:tcPr>
            <w:tcW w:type="dxa" w:w="4400"/>
            <w:tcBorders>
              <w:top w:val="none" w:color="FFFFFF" w:sz="0"/>
              <w:left w:val="none" w:color="FFFFFF" w:sz="0"/>
              <w:bottom w:val="none" w:color="FFFFFF" w:sz="0"/>
              <w:right w:val="none" w:color="FFFFFF" w:sz="0"/>
            </w:tcBorders>
            <w:tcMar>
              <w:top w:type="dxa" w:w="80"/>
              <w:left w:type="dxa" w:w="140"/>
              <w:bottom w:type="dxa" w:w="80"/>
              <w:right w:type="dxa" w:w="140"/>
            </w:tcMar>
          </w:tcPr>
          <w:p>
            <w:pPr>
              <w:pBdr>
                <w:bottom w:val="single" w:color="1A5276" w:sz="4" w:space="1"/>
              </w:pBdr>
            </w:pPr>
            <w:r>
              <w:rPr>
                <w:rFonts w:ascii="Calibri" w:cs="Calibri" w:eastAsia="Calibri" w:hAnsi="Calibri"/>
                <w:color w:val="1C1C1C"/>
                <w:sz w:val="22"/>
                <w:szCs w:val="22"/>
              </w:rPr>
              <w:t xml:space="preserve"/>
            </w:r>
          </w:p>
          <w:p>
            <w:pPr>
              <w:spacing w:before="80"/>
              <w:jc w:val="center"/>
            </w:pPr>
            <w:r>
              <w:rPr>
                <w:rFonts w:ascii="Calibri" w:cs="Calibri" w:eastAsia="Calibri" w:hAnsi="Calibri"/>
                <w:b/>
                <w:bCs/>
                <w:color w:val="1A5276"/>
                <w:sz w:val="20"/>
                <w:szCs w:val="20"/>
              </w:rPr>
              <w:t xml:space="preserve">[Nombre Director/a del Proyecto]</w:t>
            </w:r>
          </w:p>
          <w:p>
            <w:pPr>
              <w:jc w:val="center"/>
            </w:pPr>
            <w:r>
              <w:rPr>
                <w:rFonts w:ascii="Calibri" w:cs="Calibri" w:eastAsia="Calibri" w:hAnsi="Calibri"/>
                <w:i/>
                <w:iCs/>
                <w:color w:val="555555"/>
                <w:sz w:val="20"/>
                <w:szCs w:val="20"/>
              </w:rPr>
              <w:t xml:space="preserve">Director/a del Proyecto</w:t>
            </w:r>
          </w:p>
          <w:p>
            <w:pPr>
              <w:jc w:val="center"/>
            </w:pPr>
            <w:r>
              <w:rPr>
                <w:rFonts w:ascii="Calibri" w:cs="Calibri" w:eastAsia="Calibri" w:hAnsi="Calibri"/>
                <w:i/>
                <w:iCs/>
                <w:color w:val="555555"/>
                <w:sz w:val="20"/>
                <w:szCs w:val="20"/>
              </w:rPr>
              <w:t xml:space="preserve">RUT:                 Fecha:</w:t>
            </w:r>
          </w:p>
        </w:tc>
        <w:tc>
          <w:tcPr>
            <w:tcW w:type="dxa" w:w="4800"/>
            <w:tcBorders>
              <w:top w:val="none" w:color="FFFFFF" w:sz="0"/>
              <w:left w:val="none" w:color="FFFFFF" w:sz="0"/>
              <w:bottom w:val="none" w:color="FFFFFF" w:sz="0"/>
              <w:right w:val="none" w:color="FFFFFF" w:sz="0"/>
            </w:tcBorders>
            <w:tcMar>
              <w:top w:type="dxa" w:w="80"/>
              <w:left w:type="dxa" w:w="280"/>
              <w:bottom w:type="dxa" w:w="80"/>
              <w:right w:type="dxa" w:w="140"/>
            </w:tcMar>
          </w:tcPr>
          <w:p>
            <w:pPr>
              <w:pBdr>
                <w:bottom w:val="single" w:color="1A5276" w:sz="4" w:space="1"/>
              </w:pBdr>
            </w:pPr>
            <w:r>
              <w:rPr>
                <w:rFonts w:ascii="Calibri" w:cs="Calibri" w:eastAsia="Calibri" w:hAnsi="Calibri"/>
                <w:color w:val="1C1C1C"/>
                <w:sz w:val="22"/>
                <w:szCs w:val="22"/>
              </w:rPr>
              <w:t xml:space="preserve"/>
            </w:r>
          </w:p>
          <w:p>
            <w:pPr>
              <w:spacing w:before="80"/>
              <w:jc w:val="center"/>
            </w:pPr>
            <w:r>
              <w:rPr>
                <w:rFonts w:ascii="Calibri" w:cs="Calibri" w:eastAsia="Calibri" w:hAnsi="Calibri"/>
                <w:b/>
                <w:bCs/>
                <w:color w:val="1A5276"/>
                <w:sz w:val="20"/>
                <w:szCs w:val="20"/>
              </w:rPr>
              <w:t xml:space="preserve">[Nombre Representante Institución]</w:t>
            </w:r>
          </w:p>
          <w:p>
            <w:pPr>
              <w:jc w:val="center"/>
            </w:pPr>
            <w:r>
              <w:rPr>
                <w:rFonts w:ascii="Calibri" w:cs="Calibri" w:eastAsia="Calibri" w:hAnsi="Calibri"/>
                <w:i/>
                <w:iCs/>
                <w:color w:val="555555"/>
                <w:sz w:val="20"/>
                <w:szCs w:val="20"/>
              </w:rPr>
              <w:t xml:space="preserve">Representante Legal — Institución Beneficiaria</w:t>
            </w:r>
          </w:p>
          <w:p>
            <w:pPr>
              <w:jc w:val="center"/>
            </w:pPr>
            <w:r>
              <w:rPr>
                <w:rFonts w:ascii="Calibri" w:cs="Calibri" w:eastAsia="Calibri" w:hAnsi="Calibri"/>
                <w:i/>
                <w:iCs/>
                <w:color w:val="555555"/>
                <w:sz w:val="20"/>
                <w:szCs w:val="20"/>
              </w:rPr>
              <w:t xml:space="preserve">RUT:                 Fecha:</w:t>
            </w:r>
          </w:p>
        </w:tc>
      </w:tr>
    </w:tbl>
    <w:p>
      <w:pPr>
        <w:spacing w:before="200"/>
      </w:pPr>
      <w:r>
        <w:rPr>
          <w:rFonts w:ascii="Calibri" w:cs="Calibri" w:eastAsia="Calibri" w:hAnsi="Calibri"/>
          <w:color w:val="1C1C1C"/>
          <w:sz w:val="22"/>
          <w:szCs w:val="22"/>
        </w:rPr>
        <w:t xml:space="preserve"/>
      </w:r>
    </w:p>
    <w:p>
      <w:pPr>
        <w:spacing w:before="400"/>
        <w:jc w:val="center"/>
      </w:pPr>
      <w:r>
        <w:rPr>
          <w:rFonts w:ascii="Calibri" w:cs="Calibri" w:eastAsia="Calibri" w:hAnsi="Calibri"/>
          <w:i/>
          <w:iCs/>
          <w:color w:val="999999"/>
          <w:sz w:val="18"/>
          <w:szCs w:val="18"/>
        </w:rPr>
        <w:t xml:space="preserve">Documento preparado para el Concurso VIU 2026 — ANID | Cierre de convocatoria: 23 de abril de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1"/>
      </w:pBdr>
      <w:tabs>
        <w:tab w:val="right" w:pos="8638"/>
      </w:tabs>
      <w:spacing w:before="80"/>
    </w:pPr>
    <w:r>
      <w:rPr>
        <w:rFonts w:ascii="Calibri" w:cs="Calibri" w:eastAsia="Calibri" w:hAnsi="Calibri"/>
        <w:color w:val="777777"/>
        <w:sz w:val="18"/>
        <w:szCs w:val="18"/>
      </w:rPr>
      <w:t xml:space="preserve">ANID — Fondo de Valorización de la Investigación en la Universidad</w:t>
    </w:r>
    <w:r>
      <w:rPr>
        <w:rFonts w:ascii="Calibri" w:cs="Calibri" w:eastAsia="Calibri" w:hAnsi="Calibri"/>
        <w:color w:val="777777"/>
        <w:sz w:val="18"/>
        <w:szCs w:val="18"/>
      </w:rPr>
      <w:t xml:space="preserve">	Página </w:t>
    </w:r>
    <w:r>
      <w:rPr>
        <w:rFonts w:ascii="Calibri" w:cs="Calibri" w:eastAsia="Calibri" w:hAnsi="Calibri"/>
        <w:color w:val="777777"/>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1"/>
      </w:pBdr>
      <w:spacing w:after="80"/>
    </w:pPr>
    <w:r>
      <w:rPr>
        <w:rFonts w:ascii="Calibri" w:cs="Calibri" w:eastAsia="Calibri" w:hAnsi="Calibri"/>
        <w:b/>
        <w:bCs/>
        <w:color w:val="1A5276"/>
        <w:sz w:val="18"/>
        <w:szCs w:val="18"/>
      </w:rPr>
      <w:t xml:space="preserve">CONCURSO VIU 2026  |  FORMULARIO DE POSTULACIÓN</w:t>
    </w:r>
    <w:r>
      <w:rPr>
        <w:rFonts w:ascii="Calibri" w:cs="Calibri" w:eastAsia="Calibri" w:hAnsi="Calibri"/>
        <w:color w:val="777777"/>
        <w:sz w:val="18"/>
        <w:szCs w:val="18"/>
      </w:rPr>
      <w:t xml:space="preserve">   —   RutAcc | Navegación Urbana Accesible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FFFFFF"/>
      <w:sz w:val="36"/>
      <w:szCs w:val="36"/>
    </w:rPr>
  </w:style>
  <w:style w:type="paragraph" w:styleId="Heading2">
    <w:name w:val="Heading 2"/>
    <w:basedOn w:val="Normal"/>
    <w:next w:val="Normal"/>
    <w:qFormat/>
    <w:pPr>
      <w:spacing w:after="120" w:before="320"/>
      <w:outlineLvl w:val="1"/>
    </w:pPr>
    <w:rPr>
      <w:rFonts w:ascii="Calibri" w:cs="Calibri" w:eastAsia="Calibri" w:hAnsi="Calibri"/>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2026-06-09T20:08:57.861Z</dcterms:created>
  <dcterms:modified xsi:type="dcterms:W3CDTF">2026-06-09T20:08:57.872Z</dcterms:modified>
</cp:coreProperties>
</file>

<file path=docProps/custom.xml><?xml version="1.0" encoding="utf-8"?>
<Properties xmlns="http://schemas.openxmlformats.org/officeDocument/2006/custom-properties" xmlns:vt="http://schemas.openxmlformats.org/officeDocument/2006/docPropsVTypes"/>
</file>