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00" w:before="300" w:lineRule="auto"/>
        <w:rPr>
          <w:rFonts w:ascii="Helvetica Neue" w:cs="Helvetica Neue" w:eastAsia="Helvetica Neue" w:hAnsi="Helvetica Neue"/>
        </w:rPr>
      </w:pPr>
      <w:bookmarkStart w:colFirst="0" w:colLast="0" w:name="_rbbg9jxlvxfb" w:id="0"/>
      <w:bookmarkEnd w:id="0"/>
      <w:r w:rsidDel="00000000" w:rsidR="00000000" w:rsidRPr="00000000">
        <w:rPr>
          <w:rFonts w:ascii="Helvetica Neue" w:cs="Helvetica Neue" w:eastAsia="Helvetica Neue" w:hAnsi="Helvetica Neue"/>
          <w:rtl w:val="0"/>
        </w:rPr>
        <w:t xml:space="preserve">Encargo - 11</w:t>
      </w:r>
    </w:p>
    <w:p w:rsidR="00000000" w:rsidDel="00000000" w:rsidP="00000000" w:rsidRDefault="00000000" w:rsidRPr="00000000" w14:paraId="00000002">
      <w:pPr>
        <w:spacing w:after="300" w:before="30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3">
      <w:pPr>
        <w:spacing w:after="300" w:before="30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4">
      <w:pPr>
        <w:spacing w:after="300" w:before="30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5">
      <w:pPr>
        <w:spacing w:after="300" w:before="30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6">
      <w:pPr>
        <w:spacing w:after="300" w:before="30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7">
      <w:pPr>
        <w:spacing w:after="300" w:before="30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8">
      <w:pPr>
        <w:spacing w:after="300" w:before="30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9">
      <w:pPr>
        <w:spacing w:after="300" w:before="30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A">
      <w:pPr>
        <w:spacing w:after="300" w:before="30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B">
      <w:pPr>
        <w:spacing w:after="300" w:before="30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C">
      <w:pPr>
        <w:spacing w:after="300" w:before="30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D">
      <w:pPr>
        <w:spacing w:after="300" w:before="30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E">
      <w:pPr>
        <w:spacing w:after="300" w:before="30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F">
      <w:pPr>
        <w:spacing w:after="300" w:before="30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0">
      <w:pPr>
        <w:spacing w:after="300" w:before="30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1">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Santiago Gaete Fernández</w:t>
      </w:r>
    </w:p>
    <w:p w:rsidR="00000000" w:rsidDel="00000000" w:rsidP="00000000" w:rsidRDefault="00000000" w:rsidRPr="00000000" w14:paraId="00000012">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2026-06-10</w:t>
      </w:r>
    </w:p>
    <w:p w:rsidR="00000000" w:rsidDel="00000000" w:rsidP="00000000" w:rsidRDefault="00000000" w:rsidRPr="00000000" w14:paraId="00000013">
      <w:pPr>
        <w:spacing w:after="300" w:before="30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4">
      <w:pPr>
        <w:spacing w:after="300" w:before="30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5">
      <w:pPr>
        <w:spacing w:after="300" w:before="30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6">
      <w:pPr>
        <w:spacing w:after="300" w:before="30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Componente 1 — Enunciado de cambio</w:t>
      </w:r>
    </w:p>
    <w:p w:rsidR="00000000" w:rsidDel="00000000" w:rsidP="00000000" w:rsidRDefault="00000000" w:rsidRPr="00000000" w14:paraId="00000017">
      <w:pPr>
        <w:spacing w:after="300" w:before="300" w:lineRule="auto"/>
        <w:ind w:left="600" w:right="60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 proyecto busca que adultos jóvenes (20-25 años) con patrones de uso no intencional del smartphone, en contextos de tiempo no estructurado —pausas, transporte, momentos de espera—, transiten desde una respuesta automática al vacío temporal mediante scroll compulsivo hacia una capacidad de elegir conscientemente cómo ocupar ese tiempo, mediante una intervención de diseño que actúa sobre la sustitución del bucle de hábito automatizado.</w:t>
      </w:r>
    </w:p>
    <w:p w:rsidR="00000000" w:rsidDel="00000000" w:rsidP="00000000" w:rsidRDefault="00000000" w:rsidRPr="00000000" w14:paraId="00000018">
      <w:pPr>
        <w:spacing w:after="300" w:before="30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300" w:before="30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Componente 2 — Cadena causal</w:t>
      </w:r>
    </w:p>
    <w:p w:rsidR="00000000" w:rsidDel="00000000" w:rsidP="00000000" w:rsidRDefault="00000000" w:rsidRPr="00000000" w14:paraId="0000001A">
      <w:pPr>
        <w:spacing w:after="300" w:before="300" w:lineRule="auto"/>
        <w:ind w:left="600" w:right="600" w:firstLine="0"/>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Si el diseño ofrece una alternativa concreta y accesible en momentos de tiempo vacío → el usuario tiene una opción real cuando aparece el disparador (aburrimiento/espera) → la rutina automática de abrir la app se interrumpe → el usuario activa el Sistema 2 y ejerce elección consciente → se reduce progresivamente el uso no intencional y se recupera agencia sobre el comportamiento tecnológico.</w:t>
      </w:r>
    </w:p>
    <w:p w:rsidR="00000000" w:rsidDel="00000000" w:rsidP="00000000" w:rsidRDefault="00000000" w:rsidRPr="00000000" w14:paraId="0000001B">
      <w:pPr>
        <w:spacing w:after="300" w:before="30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300" w:before="30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Componente 3 — Mecanismo de cambio</w:t>
      </w:r>
    </w:p>
    <w:p w:rsidR="00000000" w:rsidDel="00000000" w:rsidP="00000000" w:rsidRDefault="00000000" w:rsidRPr="00000000" w14:paraId="0000001D">
      <w:pPr>
        <w:spacing w:after="300" w:before="300" w:lineRule="auto"/>
        <w:ind w:left="600" w:right="60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palanca es conductual: la sustitución del bucle del hábito. El mecanismo no elimina la señal —el tiempo vacío— sino que reemplaza la rutina disponible ante ella. Al ofrecer una alternativa que satisface genuinamente la necesidad subyacente (ocupar el tiempo, entretenerse, descansar), se interrumpe el camino de menor resistencia hacia el scroll. Esto fuerza la activación del procesamiento Sistema 2 —deliberado y consciente (Kahneman, 2011)— en lugar del Sistema 1 automatizado, debilitando progresivamente el circuito señal-rutina-recompensa instalado en los ganglios basales (Wood &amp; Neal, 2007).</w:t>
      </w:r>
    </w:p>
    <w:p w:rsidR="00000000" w:rsidDel="00000000" w:rsidP="00000000" w:rsidRDefault="00000000" w:rsidRPr="00000000" w14:paraId="0000001E">
      <w:pPr>
        <w:spacing w:after="300" w:before="30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300" w:before="30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Componente 4 — Contrato con el usuario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44.554160459673"/>
        <w:gridCol w:w="3780.95765056395"/>
        <w:tblGridChange w:id="0">
          <w:tblGrid>
            <w:gridCol w:w="5244.554160459673"/>
            <w:gridCol w:w="3780.9576505639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300" w:before="30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Lo que el proyecto ofrece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300" w:before="30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Lo que el proyecto pide</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Una alternativa concreta y satisfactoria ante el tiempo vacío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Disposición a probar una opción distinta al teléfono</w:t>
            </w:r>
          </w:p>
        </w:tc>
      </w:tr>
      <w:tr>
        <w:trPr>
          <w:cantSplit w:val="0"/>
          <w:trHeight w:val="1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Reducción del agotamiento mental y la culpa post-uso (reportados por los entrevistados)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Tolerancia inicial a la fricción del cambio de hábito</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Recuperación de actividades y atención desplazadas por el scroll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Compromiso de uso durante un período mínimo de prueba</w:t>
            </w:r>
          </w:p>
        </w:tc>
      </w:tr>
    </w:tbl>
    <w:p w:rsidR="00000000" w:rsidDel="00000000" w:rsidP="00000000" w:rsidRDefault="00000000" w:rsidRPr="00000000" w14:paraId="00000028">
      <w:pPr>
        <w:spacing w:after="300" w:before="30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300" w:before="30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Componente 5 — Supuestos críticos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376813257531"/>
        <w:gridCol w:w="1752.4809502924577"/>
        <w:gridCol w:w="2626.372255264032"/>
        <w:gridCol w:w="2316.2817922096024"/>
        <w:tblGridChange w:id="0">
          <w:tblGrid>
            <w:gridCol w:w="2330.376813257531"/>
            <w:gridCol w:w="1752.4809502924577"/>
            <w:gridCol w:w="2626.372255264032"/>
            <w:gridCol w:w="2316.2817922096024"/>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300" w:before="30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Supuesto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300" w:before="30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300" w:before="30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Evidencia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300" w:before="30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Riesgo si es falso</w:t>
            </w:r>
            <w:r w:rsidDel="00000000" w:rsidR="00000000" w:rsidRPr="00000000">
              <w:rPr>
                <w:rtl w:val="0"/>
              </w:rPr>
            </w:r>
          </w:p>
        </w:tc>
      </w:tr>
      <w:tr>
        <w:trPr>
          <w:cantSplit w:val="0"/>
          <w:trHeight w:val="23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 disparador del uso compulsivo es el tiempo no estructurado, no la plataforma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Validado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4/5 entrevistados identificaron "tiempo muerto", espera o aburrimiento como estado previo (Anexo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 mecanismo de sustitución no funciona: el problema sería la plataforma en sí, no el vacío</w:t>
            </w:r>
          </w:p>
        </w:tc>
      </w:tr>
      <w:tr>
        <w:trPr>
          <w:cantSplit w:val="0"/>
          <w:trHeight w:val="23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 usuario tiene necesidades genuinas desplazadas que una alternativa puede satisfacer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Parcialmente validado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Estado post-uso negativo en 3/5 sugiere que la necesidad real no se satisface (Anexo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alternativa no compite con la gratificación inmediata del scroll</w:t>
            </w:r>
          </w:p>
        </w:tc>
      </w:tr>
      <w:tr>
        <w:trPr>
          <w:cantSplit w:val="0"/>
          <w:trHeight w:val="30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 usuario está dispuesto a adoptar una alternativa al teléfono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Por validar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indagado directamente; Dezconecta (Miranda, 2024) muestra que el esfuerzo activo genera abandono (Anexo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solución es rechazada en adopción antes de probarse</w:t>
            </w:r>
          </w:p>
        </w:tc>
      </w:tr>
    </w:tbl>
    <w:p w:rsidR="00000000" w:rsidDel="00000000" w:rsidP="00000000" w:rsidRDefault="00000000" w:rsidRPr="00000000" w14:paraId="0000003A">
      <w:pPr>
        <w:spacing w:after="300" w:before="30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300" w:before="30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Componente 6 — Frontera con Taller de Título</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61.5673121940845"/>
        <w:gridCol w:w="4263.944498829538"/>
        <w:tblGridChange w:id="0">
          <w:tblGrid>
            <w:gridCol w:w="4761.5673121940845"/>
            <w:gridCol w:w="4263.944498829538"/>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300" w:before="30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Decisiones tomadas (no se vuelve atrás)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300" w:before="30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Decisiones abiertas para Taller</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Usuario: adultos jóvenes con uso no intencional autopercibido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Forma específica y materialidad de la intervención</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Problema: uso automático en tiempo no estructurado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 la solución requiere o no nuevos dispositivos físicos</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Mecanismo: sustitución del bucle de hábito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Mecánica de interacción y lenguaje visual</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300" w:before="300" w:lineRule="auto"/>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Base teórica: bio → UX → economía + adicción conductual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Escala y lógica de iteración</w:t>
            </w:r>
          </w:p>
        </w:tc>
      </w:tr>
    </w:tbl>
    <w:p w:rsidR="00000000" w:rsidDel="00000000" w:rsidP="00000000" w:rsidRDefault="00000000" w:rsidRPr="00000000" w14:paraId="00000046">
      <w:pPr>
        <w:spacing w:after="300" w:before="300" w:lineRule="auto"/>
        <w:ind w:left="600" w:right="60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Criterio que acotará lo abierto: la forma de la intervención se definirá a partir del trabajo de campo sobre autorregulación (qué hacen hoy los usuarios para no usar el celular) y del principio de no replicar los mecanismos de captura que el marco teórico identifica.</w:t>
      </w:r>
    </w:p>
    <w:p w:rsidR="00000000" w:rsidDel="00000000" w:rsidP="00000000" w:rsidRDefault="00000000" w:rsidRPr="00000000" w14:paraId="00000047">
      <w:pPr>
        <w:spacing w:after="300" w:before="30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300" w:before="30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Componente 7 — Indicadores de éxito</w:t>
      </w:r>
    </w:p>
    <w:p w:rsidR="00000000" w:rsidDel="00000000" w:rsidP="00000000" w:rsidRDefault="00000000" w:rsidRPr="00000000" w14:paraId="00000049">
      <w:pPr>
        <w:numPr>
          <w:ilvl w:val="0"/>
          <w:numId w:val="1"/>
        </w:numPr>
        <w:spacing w:after="0" w:afterAutospacing="0" w:before="300" w:lineRule="auto"/>
        <w:ind w:left="1320" w:right="60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 menos 3 de 5 usuarios testeados recurren a la alternativa en lugar del smartphone ante el mismo disparador, durante al menos 3 sesiones consecutivas.</w:t>
      </w:r>
    </w:p>
    <w:p w:rsidR="00000000" w:rsidDel="00000000" w:rsidP="00000000" w:rsidRDefault="00000000" w:rsidRPr="00000000" w14:paraId="0000004A">
      <w:pPr>
        <w:numPr>
          <w:ilvl w:val="0"/>
          <w:numId w:val="1"/>
        </w:numPr>
        <w:spacing w:after="0" w:afterAutospacing="0" w:before="0" w:beforeAutospacing="0" w:lineRule="auto"/>
        <w:ind w:left="1320" w:right="60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 menos el 60% de los usuarios testeados logra identificar el disparador (tiempo vacío) antes de abrir la app, tras una semana de uso.</w:t>
      </w:r>
    </w:p>
    <w:p w:rsidR="00000000" w:rsidDel="00000000" w:rsidP="00000000" w:rsidRDefault="00000000" w:rsidRPr="00000000" w14:paraId="0000004B">
      <w:pPr>
        <w:numPr>
          <w:ilvl w:val="0"/>
          <w:numId w:val="1"/>
        </w:numPr>
        <w:spacing w:after="300" w:before="0" w:beforeAutospacing="0" w:lineRule="auto"/>
        <w:ind w:left="1320" w:right="60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Reducción reportada de al menos un 30% en el tiempo de uso de plataformas de scroll durante el período de prueba, medido contra la línea base declarada en las entrevistas iniciales.</w:t>
      </w:r>
    </w:p>
    <w:p w:rsidR="00000000" w:rsidDel="00000000" w:rsidP="00000000" w:rsidRDefault="00000000" w:rsidRPr="00000000" w14:paraId="0000004C">
      <w:pPr>
        <w:spacing w:after="300" w:before="30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1">
      <w:pPr>
        <w:pStyle w:val="Heading1"/>
        <w:spacing w:after="300" w:before="300" w:lineRule="auto"/>
        <w:rPr>
          <w:rFonts w:ascii="Helvetica Neue" w:cs="Helvetica Neue" w:eastAsia="Helvetica Neue" w:hAnsi="Helvetica Neue"/>
        </w:rPr>
      </w:pPr>
      <w:bookmarkStart w:colFirst="0" w:colLast="0" w:name="_jn4jgoqb2lps" w:id="1"/>
      <w:bookmarkEnd w:id="1"/>
      <w:r w:rsidDel="00000000" w:rsidR="00000000" w:rsidRPr="00000000">
        <w:rPr>
          <w:rFonts w:ascii="Helvetica Neue" w:cs="Helvetica Neue" w:eastAsia="Helvetica Neue" w:hAnsi="Helvetica Neue"/>
          <w:rtl w:val="0"/>
        </w:rPr>
        <w:t xml:space="preserve">Anexo A — Evidencia de trabajo con usuarios</w:t>
      </w:r>
    </w:p>
    <w:p w:rsidR="00000000" w:rsidDel="00000000" w:rsidP="00000000" w:rsidRDefault="00000000" w:rsidRPr="00000000" w14:paraId="00000052">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Método.</w:t>
      </w:r>
      <w:r w:rsidDel="00000000" w:rsidR="00000000" w:rsidRPr="00000000">
        <w:rPr>
          <w:rFonts w:ascii="Helvetica Neue" w:cs="Helvetica Neue" w:eastAsia="Helvetica Neue" w:hAnsi="Helvetica Neue"/>
          <w:rtl w:val="0"/>
        </w:rPr>
        <w:t xml:space="preserve"> Se realizaron cinco entrevistas estructuradas presenciales, aplicadas de manera individual y en vivo. El investigador leyó cada pregunta al participante y registró sus respuestas en un formulario estandarizado que combinó escalas Likert (hábitos y dependencia móvil, evaluación crítica del uso) con preguntas abiertas sobre disparadores, sensaciones y vínculo con las plataformas. La modalidad presencial permitió repreguntar y precisar respuestas, a diferencia de un formulario autoaplicado.</w:t>
      </w:r>
    </w:p>
    <w:p w:rsidR="00000000" w:rsidDel="00000000" w:rsidP="00000000" w:rsidRDefault="00000000" w:rsidRPr="00000000" w14:paraId="00000053">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Participantes.</w:t>
      </w:r>
      <w:r w:rsidDel="00000000" w:rsidR="00000000" w:rsidRPr="00000000">
        <w:rPr>
          <w:rFonts w:ascii="Helvetica Neue" w:cs="Helvetica Neue" w:eastAsia="Helvetica Neue" w:hAnsi="Helvetica Neue"/>
          <w:rtl w:val="0"/>
        </w:rPr>
        <w:t xml:space="preserve"> Cinco adultos jóvenes de entre 20 y 23 años, reclutados mediante convocatoria abierta dirigida a personas con uso autopercibido como problemático del smartphone. Todos consumen habitualmente plataformas de scroll infinito (TikTok, Instagram Reels o YouTube Shorts).</w:t>
      </w:r>
    </w:p>
    <w:p w:rsidR="00000000" w:rsidDel="00000000" w:rsidP="00000000" w:rsidRDefault="00000000" w:rsidRPr="00000000" w14:paraId="00000054">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Hallazgo 1 — El disparador del uso compulsivo es el tiempo no estructurado, no la plataforma.</w:t>
      </w:r>
      <w:r w:rsidDel="00000000" w:rsidR="00000000" w:rsidRPr="00000000">
        <w:rPr>
          <w:rFonts w:ascii="Helvetica Neue" w:cs="Helvetica Neue" w:eastAsia="Helvetica Neue" w:hAnsi="Helvetica Neue"/>
          <w:rtl w:val="0"/>
        </w:rPr>
        <w:t xml:space="preserve"> Cuatro de los cinco participantes identificaron estados de "tiempo muerto", espera o aburrimiento como el momento previo a abrir la aplicación. Las plataformas no inician el uso: ocupan un vacío temporal que el usuario no sabe cómo llenar de otro modo. Un participante lo describió como "llenar esos vacíos temporales" cuando "está esperando que ocurra algo".</w:t>
      </w:r>
    </w:p>
    <w:p w:rsidR="00000000" w:rsidDel="00000000" w:rsidP="00000000" w:rsidRDefault="00000000" w:rsidRPr="00000000" w14:paraId="00000055">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Hallazgo 2 — Existe conciencia del daño pero no herramientas eficaces para revertirlo.</w:t>
      </w:r>
      <w:r w:rsidDel="00000000" w:rsidR="00000000" w:rsidRPr="00000000">
        <w:rPr>
          <w:rFonts w:ascii="Helvetica Neue" w:cs="Helvetica Neue" w:eastAsia="Helvetica Neue" w:hAnsi="Helvetica Neue"/>
          <w:rtl w:val="0"/>
        </w:rPr>
        <w:t xml:space="preserve"> El vínculo con las plataformas fue descrito en términos de dependencia: "hábito", "apego ansioso" y "es como una droga, sé que me hace mal". Esta autoconciencia no se traduce en control: los participantes reconocen el problema sin contar con una alternativa concreta que sustituya el uso.</w:t>
      </w:r>
    </w:p>
    <w:p w:rsidR="00000000" w:rsidDel="00000000" w:rsidP="00000000" w:rsidRDefault="00000000" w:rsidRPr="00000000" w14:paraId="00000056">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Hallazgo 3 — El estado posterior al uso prolongado es consistentemente negativo.</w:t>
      </w:r>
      <w:r w:rsidDel="00000000" w:rsidR="00000000" w:rsidRPr="00000000">
        <w:rPr>
          <w:rFonts w:ascii="Helvetica Neue" w:cs="Helvetica Neue" w:eastAsia="Helvetica Neue" w:hAnsi="Helvetica Neue"/>
          <w:rtl w:val="0"/>
        </w:rPr>
        <w:t xml:space="preserve"> Los participantes describieron sentirse "agotado mentalmente", "cansado" o con "culpa" tras sesiones largas. La plataforma no satisface la necesidad que disparó su uso —entretención, descanso, conexión—, sino que la posterga, generando un ciclo que se reinicia ante el siguiente vacío temporal.</w:t>
      </w:r>
    </w:p>
    <w:p w:rsidR="00000000" w:rsidDel="00000000" w:rsidP="00000000" w:rsidRDefault="00000000" w:rsidRPr="00000000" w14:paraId="00000057">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Limitaciones.</w:t>
      </w:r>
      <w:r w:rsidDel="00000000" w:rsidR="00000000" w:rsidRPr="00000000">
        <w:rPr>
          <w:rFonts w:ascii="Helvetica Neue" w:cs="Helvetica Neue" w:eastAsia="Helvetica Neue" w:hAnsi="Helvetica Neue"/>
          <w:rtl w:val="0"/>
        </w:rPr>
        <w:t xml:space="preserve"> La muestra es pequeña (n=5) y homogénea en rango etario, por lo que los hallazgos son indicativos y no generalizables. La convocatoria abierta a usuarios con uso autopercibido como problemático introduce un sesgo de autoselección que conviene contrastar, en etapas posteriores, con observación de usuarios que no se reconocen como problemáticos y con entrevistas a expertos (psicólogos del área de adicciones conductuales).</w:t>
      </w:r>
    </w:p>
    <w:p w:rsidR="00000000" w:rsidDel="00000000" w:rsidP="00000000" w:rsidRDefault="00000000" w:rsidRPr="00000000" w14:paraId="00000058">
      <w:pPr>
        <w:pStyle w:val="Heading1"/>
        <w:spacing w:after="300" w:before="300" w:lineRule="auto"/>
        <w:rPr>
          <w:rFonts w:ascii="Helvetica Neue" w:cs="Helvetica Neue" w:eastAsia="Helvetica Neue" w:hAnsi="Helvetica Neue"/>
        </w:rPr>
      </w:pPr>
      <w:bookmarkStart w:colFirst="0" w:colLast="0" w:name="_up5a8ilgfaok" w:id="2"/>
      <w:bookmarkEnd w:id="2"/>
      <w:r w:rsidDel="00000000" w:rsidR="00000000" w:rsidRPr="00000000">
        <w:rPr>
          <w:rFonts w:ascii="Helvetica Neue" w:cs="Helvetica Neue" w:eastAsia="Helvetica Neue" w:hAnsi="Helvetica Neue"/>
          <w:rtl w:val="0"/>
        </w:rPr>
        <w:t xml:space="preserve">Anexo B — Ajuste del marco teórico</w:t>
      </w:r>
    </w:p>
    <w:p w:rsidR="00000000" w:rsidDel="00000000" w:rsidP="00000000" w:rsidRDefault="00000000" w:rsidRPr="00000000" w14:paraId="00000059">
      <w:pPr>
        <w:spacing w:after="300" w:before="30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Qué se ajustó respecto a la entrega anterior</w:t>
      </w:r>
    </w:p>
    <w:p w:rsidR="00000000" w:rsidDel="00000000" w:rsidP="00000000" w:rsidRDefault="00000000" w:rsidRPr="00000000" w14:paraId="0000005A">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 feedback de la corrección cruzada identificó dos deudas centrales en el marco teórico: la ausencia del concepto clínico de adicción —tratado hasta ahora solo desde la neurobiología y la economía, pero no desde la psicología de las adicciones conductuales— y la falta de una perspectiva crítica que tensionara la propia propuesta de diseño. Adicionalmente, se incorporó una memoria de diseño previa del mismo programa, rompiendo el sesgo de no revisar antecedentes cercanos. Los tres ajustes se integran al cuerpo del marco, no como apéndice.</w:t>
      </w:r>
    </w:p>
    <w:p w:rsidR="00000000" w:rsidDel="00000000" w:rsidP="00000000" w:rsidRDefault="00000000" w:rsidRPr="00000000" w14:paraId="0000005B">
      <w:pPr>
        <w:spacing w:after="300" w:before="30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Concepto nuevo 1 — Adicción conductual</w:t>
      </w:r>
    </w:p>
    <w:p w:rsidR="00000000" w:rsidDel="00000000" w:rsidP="00000000" w:rsidRDefault="00000000" w:rsidRPr="00000000" w14:paraId="0000005C">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 incorpora el concepto clínico de adicción conductual para nombrar con precisión disciplinar lo que el marco describía solo en términos de mecanismo. Griffiths (2005) propone un modelo de componentes según el cual una conducta es adictiva cuando presenta saliencia, modificación del estado de ánimo, tolerancia, síndrome de abstinencia, conflicto y recaída. Estos criterios permiten distinguir el uso problemático del uso adictivo, y conectan con la evidencia primaria de este proyecto: los participantes describieron malestar al interrumpir el uso, recaída tras intentos de control y conflicto con otras áreas de su vida. El DSM-5 (American Psychiatric Association, 2013), si bien no reconoce aún la adicción al smartphone como trastorno formal, sí incorpora el trastorno por juego en internet como condición para estudio, estableciendo un precedente diagnóstico. Esta incorporación responde directamente a la observación de la comisión sobre tratar el fenómeno como adicción, comparable al azúcar o el alcohol.</w:t>
      </w:r>
    </w:p>
    <w:p w:rsidR="00000000" w:rsidDel="00000000" w:rsidP="00000000" w:rsidRDefault="00000000" w:rsidRPr="00000000" w14:paraId="0000005D">
      <w:pPr>
        <w:spacing w:after="300" w:before="30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Concepto nuevo 2 — Solucionismo tecnológico (perspectiva crítica)</w:t>
      </w:r>
    </w:p>
    <w:p w:rsidR="00000000" w:rsidDel="00000000" w:rsidP="00000000" w:rsidRDefault="00000000" w:rsidRPr="00000000" w14:paraId="0000005E">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Para evitar el sesgo de "caminar por una sola vereda", se incorpora a Evgeny Morozov (2013) y su crítica al solucionismo tecnológico: la tendencia a asumir que todo problema —incluso los creados por la tecnología— se resuelve con más tecnología o más diseño. Esta perspectiva tensiona productivamente la propia hipótesis de este proyecto: si el problema es un exceso de dispositivos diseñados para capturar la atención, ¿no es contradictorio responder con más dispositivos? Lejos de invalidar el proyecto, esta crítica obliga a justificar por qué una intervención de diseño es pertinente y a mantener abierta la pregunta de si la solución requiere o no nuevos artefactos —precisamente el punto que la comisión señaló como sesgo de solución.</w:t>
      </w:r>
    </w:p>
    <w:p w:rsidR="00000000" w:rsidDel="00000000" w:rsidP="00000000" w:rsidRDefault="00000000" w:rsidRPr="00000000" w14:paraId="0000005F">
      <w:pPr>
        <w:spacing w:after="300" w:before="30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Tesis de diseño previa revisada</w:t>
      </w:r>
    </w:p>
    <w:p w:rsidR="00000000" w:rsidDel="00000000" w:rsidP="00000000" w:rsidRDefault="00000000" w:rsidRPr="00000000" w14:paraId="00000060">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 revisó la memoria "Dezconecta: tu pausa digital para un sueño real" (Miranda, 2024), del mismo programa de Diseño Industrial UDP. El proyecto comparte diagnóstico —uso compulsivo de redes, ciclo del hábito, refuerzo intermitente— pero difiere en alcance: interviene únicamente en el momento previo a dormir mediante un kit analógico de actividades. Dos hallazgos de su investigación informan directamente este proyecto. Primero, su estado del arte concluye que las soluciones existentes son temporales y fallan porque siguen usando el teléfono como recurso, lo que respalda empíricamente la necesidad de una alternativa externa al dispositivo. Segundo, su testeo con usuarios reveló que pedir esfuerzo activo a un usuario agotado al final del día es un punto crítico de fracaso, lo que obliga a este proyecto a calibrar cuidadosamente qué le pide al usuario. Cabe notar que el marco de Dezconecta se apoya principalmente en divulgación (Clear, Duhigg); este proyecto profundiza esa base con fuentes científicas primarias (Schultz, Berridge, Wood &amp; Neal).</w:t>
      </w:r>
    </w:p>
    <w:p w:rsidR="00000000" w:rsidDel="00000000" w:rsidP="00000000" w:rsidRDefault="00000000" w:rsidRPr="00000000" w14:paraId="00000061">
      <w:pPr>
        <w:spacing w:after="300" w:before="30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Por qué estos ajustes informan la teoría de cambio</w:t>
      </w:r>
    </w:p>
    <w:p w:rsidR="00000000" w:rsidDel="00000000" w:rsidP="00000000" w:rsidRDefault="00000000" w:rsidRPr="00000000" w14:paraId="00000062">
      <w:pPr>
        <w:spacing w:after="300" w:before="3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Los tres ajustes sostienen componentes específicos. El concepto de adicción conductual otorga autoridad disciplinar al mecanismo de cambio (Componente 3): permite nombrar la palanca como una intervención sobre una conducta adictiva, no sobre una simple falta de voluntad. La crítica de Morozov obliga a mantener honesta la frontera con Taller (Componente 6), dejando abierta la forma de la solución en lugar de comprometerla prematuramente. Y la revisión de Dezconecta calibra el contrato con el usuario (Componente 4): su evidencia de que el usuario agotado abandona las actividades demandantes fija un límite realista sobre cuánto esfuerzo puede pedir este proyecto.</w:t>
      </w:r>
    </w:p>
    <w:p w:rsidR="00000000" w:rsidDel="00000000" w:rsidP="00000000" w:rsidRDefault="00000000" w:rsidRPr="00000000" w14:paraId="00000063">
      <w:pPr>
        <w:spacing w:after="300" w:before="30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4">
      <w:pPr>
        <w:spacing w:after="300" w:before="30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5">
      <w:pPr>
        <w:spacing w:after="300" w:before="30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6">
      <w:pP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731200" cy="7378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7378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