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60"/>
        <w:jc w:val="center"/>
      </w:pPr>
      <w:r>
        <w:rPr>
          <w:rFonts w:ascii="Calibri" w:cs="Calibri" w:eastAsia="Calibri" w:hAnsi="Calibri"/>
          <w:b/>
          <w:bCs/>
          <w:color w:val="0F6E56"/>
          <w:spacing w:val="30"/>
          <w:sz w:val="22"/>
          <w:szCs w:val="22"/>
        </w:rPr>
        <w:t xml:space="preserve">SEMINARIO DE TÍTULO · ENCARGO 11</w:t>
      </w:r>
    </w:p>
    <w:p>
      <w:pPr>
        <w:spacing w:after="40"/>
        <w:jc w:val="center"/>
      </w:pPr>
      <w:r>
        <w:rPr>
          <w:rFonts w:ascii="Calibri" w:cs="Calibri" w:eastAsia="Calibri" w:hAnsi="Calibri"/>
          <w:b/>
          <w:bCs/>
          <w:color w:val="1A2E33"/>
          <w:sz w:val="52"/>
          <w:szCs w:val="52"/>
        </w:rPr>
        <w:t xml:space="preserve">Pre-formulación del proyecto</w:t>
      </w:r>
    </w:p>
    <w:p>
      <w:pPr>
        <w:spacing w:after="320"/>
        <w:jc w:val="center"/>
      </w:pPr>
      <w:r>
        <w:rPr>
          <w:rFonts w:ascii="Calibri" w:cs="Calibri" w:eastAsia="Calibri" w:hAnsi="Calibri"/>
          <w:i/>
          <w:iCs/>
          <w:color w:val="555555"/>
          <w:sz w:val="26"/>
          <w:szCs w:val="26"/>
        </w:rPr>
        <w:t xml:space="preserve">Teoría de cambio y aterrizaje táctico</w:t>
      </w:r>
    </w:p>
    <w:p>
      <w:pPr>
        <w:pBdr>
          <w:top w:val="single" w:color="0F6E56" w:sz="8" w:space="10"/>
        </w:pBdr>
        <w:spacing w:after="0" w:before="200"/>
        <w:jc w:val="center"/>
      </w:pPr>
    </w:p>
    <w:p>
      <w:pPr>
        <w:spacing w:after="40" w:before="240"/>
        <w:jc w:val="center"/>
      </w:pPr>
      <w:r>
        <w:rPr>
          <w:rFonts w:ascii="Calibri" w:cs="Calibri" w:eastAsia="Calibri" w:hAnsi="Calibri"/>
          <w:b/>
          <w:bCs/>
          <w:color w:val="1A2E33"/>
          <w:sz w:val="26"/>
          <w:szCs w:val="26"/>
        </w:rPr>
        <w:t xml:space="preserve">Santiago Gaete Fernández</w:t>
      </w:r>
    </w:p>
    <w:p>
      <w:pPr>
        <w:spacing w:after="20"/>
        <w:jc w:val="center"/>
      </w:pPr>
      <w:r>
        <w:rPr>
          <w:rFonts w:ascii="Calibri" w:cs="Calibri" w:eastAsia="Calibri" w:hAnsi="Calibri"/>
          <w:color w:val="555555"/>
          <w:sz w:val="20"/>
          <w:szCs w:val="20"/>
        </w:rPr>
        <w:t xml:space="preserve">Escuela de Diseño · FAAD · Universidad Diego Portales</w:t>
      </w:r>
    </w:p>
    <w:p>
      <w:pPr>
        <w:jc w:val="center"/>
      </w:pPr>
      <w:r>
        <w:rPr>
          <w:rFonts w:ascii="Calibri" w:cs="Calibri" w:eastAsia="Calibri" w:hAnsi="Calibri"/>
          <w:color w:val="555555"/>
          <w:sz w:val="20"/>
          <w:szCs w:val="20"/>
        </w:rPr>
        <w:t xml:space="preserve">10 de junio de 2026</w:t>
      </w:r>
    </w:p>
    <w:p>
      <w:r>
        <w:br w:type="page"/>
      </w:r>
    </w:p>
    <w:p>
      <w:pPr>
        <w:spacing w:after="60"/>
      </w:pPr>
      <w:r>
        <w:rPr>
          <w:rFonts w:ascii="Calibri" w:cs="Calibri" w:eastAsia="Calibri" w:hAnsi="Calibri"/>
          <w:b/>
          <w:bCs/>
          <w:color w:val="0F6E56"/>
          <w:spacing w:val="40"/>
          <w:sz w:val="20"/>
          <w:szCs w:val="20"/>
        </w:rPr>
        <w:t xml:space="preserve">DOCUMENTO PRINCIPAL</w:t>
      </w:r>
    </w:p>
    <w:p>
      <w:pPr>
        <w:spacing w:after="200"/>
      </w:pPr>
      <w:r>
        <w:rPr>
          <w:rFonts w:ascii="Calibri" w:cs="Calibri" w:eastAsia="Calibri" w:hAnsi="Calibri"/>
          <w:i/>
          <w:iCs/>
          <w:color w:val="666666"/>
          <w:sz w:val="22"/>
          <w:szCs w:val="22"/>
        </w:rPr>
        <w:t xml:space="preserve">Los siete componentes de la teoría de cambio</w:t>
      </w:r>
    </w:p>
    <w:p>
      <w:pPr>
        <w:pStyle w:val="Heading1"/>
        <w:pBdr>
          <w:bottom w:val="single" w:color="0F6E56" w:sz="8" w:space="6"/>
        </w:pBdr>
        <w:spacing w:after="160" w:before="360"/>
      </w:pPr>
      <w:r>
        <w:rPr>
          <w:rFonts w:ascii="Calibri" w:cs="Calibri" w:eastAsia="Calibri" w:hAnsi="Calibri"/>
          <w:b/>
          <w:bCs/>
          <w:color w:val="1A2E33"/>
          <w:sz w:val="30"/>
          <w:szCs w:val="30"/>
        </w:rPr>
        <w:t xml:space="preserve">Componente 1 · Enunciado de cambio</w:t>
      </w:r>
    </w:p>
    <w:p>
      <w:pPr>
        <w:spacing w:after="160" w:line="300"/>
        <w:jc w:val="both"/>
      </w:pPr>
      <w:r>
        <w:rPr>
          <w:rFonts w:ascii="Calibri" w:cs="Calibri" w:eastAsia="Calibri" w:hAnsi="Calibri"/>
          <w:color w:val="222222"/>
          <w:sz w:val="22"/>
          <w:szCs w:val="22"/>
        </w:rPr>
        <w:t xml:space="preserve">Mi proyecto busca que adultos jóvenes (20-25 años) con patrones de uso no intencional del smartphone, en contextos de tiempo no estructurado —pausas, transporte, momentos de espera—, transiten desde una respuesta automática al vacío temporal mediante scroll compulsivo hacia una capacidad de elegir conscientemente cómo ocupar ese tiempo, mediante una intervención de diseño que actúa sobre la sustitución del bucle de hábito automatizado.</w:t>
      </w:r>
    </w:p>
    <w:p>
      <w:pPr>
        <w:pStyle w:val="Heading1"/>
        <w:pBdr>
          <w:bottom w:val="single" w:color="0F6E56" w:sz="8" w:space="6"/>
        </w:pBdr>
        <w:spacing w:after="160" w:before="360"/>
      </w:pPr>
      <w:r>
        <w:rPr>
          <w:rFonts w:ascii="Calibri" w:cs="Calibri" w:eastAsia="Calibri" w:hAnsi="Calibri"/>
          <w:b/>
          <w:bCs/>
          <w:color w:val="1A2E33"/>
          <w:sz w:val="30"/>
          <w:szCs w:val="30"/>
        </w:rPr>
        <w:t xml:space="preserve">Componente 2 · Cadena causal</w:t>
      </w:r>
    </w:p>
    <w:p>
      <w:pPr>
        <w:spacing w:after="160" w:line="300"/>
        <w:jc w:val="both"/>
      </w:pPr>
      <w:r>
        <w:rPr>
          <w:rFonts w:ascii="Calibri" w:cs="Calibri" w:eastAsia="Calibri" w:hAnsi="Calibri"/>
          <w:color w:val="222222"/>
          <w:sz w:val="22"/>
          <w:szCs w:val="22"/>
        </w:rPr>
        <w:t xml:space="preserve">Si el diseño ofrece una alternativa concreta y accesible en momentos de tiempo vacío → el usuario tiene una opción real cuando aparece el disparador (aburrimiento / espera) → la rutina automática de abrir la app se interrumpe → el usuario activa el Sistema 2 y ejerce elección consciente → se reduce progresivamente el uso no intencional y se recupera agencia sobre el comportamiento tecnológico.</w:t>
      </w:r>
    </w:p>
    <w:p>
      <w:pPr>
        <w:pStyle w:val="Heading1"/>
        <w:pBdr>
          <w:bottom w:val="single" w:color="0F6E56" w:sz="8" w:space="6"/>
        </w:pBdr>
        <w:spacing w:after="160" w:before="360"/>
      </w:pPr>
      <w:r>
        <w:rPr>
          <w:rFonts w:ascii="Calibri" w:cs="Calibri" w:eastAsia="Calibri" w:hAnsi="Calibri"/>
          <w:b/>
          <w:bCs/>
          <w:color w:val="1A2E33"/>
          <w:sz w:val="30"/>
          <w:szCs w:val="30"/>
        </w:rPr>
        <w:t xml:space="preserve">Componente 3 · Mecanismo de cambio</w:t>
      </w:r>
    </w:p>
    <w:p>
      <w:pPr>
        <w:spacing w:after="160" w:line="300"/>
        <w:jc w:val="both"/>
      </w:pPr>
      <w:r>
        <w:rPr>
          <w:rFonts w:ascii="Calibri" w:cs="Calibri" w:eastAsia="Calibri" w:hAnsi="Calibri"/>
          <w:color w:val="222222"/>
          <w:sz w:val="22"/>
          <w:szCs w:val="22"/>
        </w:rPr>
        <w:t xml:space="preserve">La palanca es conductual: la sustitución del bucle del hábito. El mecanismo no elimina la señal —el tiempo vacío— sino que reemplaza la rutina disponible ante ella. Al ofrecer una alternativa que satisface genuinamente la necesidad subyacente (ocupar el tiempo, entretenerse, descansar), se interrumpe el camino de menor resistencia hacia el scroll. Esto fuerza la activación del procesamiento Sistema 2 —deliberado y consciente (Kahneman, 2011)— en lugar del Sistema 1 automatizado, debilitando progresivamente el circuito señal-rutina-recompensa instalado en los ganglios basales (Wood &amp; Neal, 2007).</w:t>
      </w:r>
    </w:p>
    <w:p>
      <w:pPr>
        <w:pStyle w:val="Heading1"/>
        <w:pBdr>
          <w:bottom w:val="single" w:color="0F6E56" w:sz="8" w:space="6"/>
        </w:pBdr>
        <w:spacing w:after="160" w:before="360"/>
      </w:pPr>
      <w:r>
        <w:rPr>
          <w:rFonts w:ascii="Calibri" w:cs="Calibri" w:eastAsia="Calibri" w:hAnsi="Calibri"/>
          <w:b/>
          <w:bCs/>
          <w:color w:val="1A2E33"/>
          <w:sz w:val="30"/>
          <w:szCs w:val="30"/>
        </w:rPr>
        <w:t xml:space="preserve">Componente 4 · Contrato con 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6D1" w:sz="2"/>
              <w:left w:val="single" w:color="C9D6D1" w:sz="2"/>
              <w:bottom w:val="single" w:color="C9D6D1" w:sz="2"/>
              <w:right w:val="single" w:color="C9D6D1" w:sz="2"/>
            </w:tcBorders>
            <w:shd w:fill="0F6E56" w:color="auto" w:val="clear"/>
            <w:tcMar>
              <w:top w:type="dxa" w:w="80"/>
              <w:left w:type="dxa" w:w="120"/>
              <w:bottom w:type="dxa" w:w="80"/>
              <w:right w:type="dxa" w:w="120"/>
            </w:tcMar>
            <w:vAlign w:val="center"/>
          </w:tcPr>
          <w:p>
            <w:pPr>
              <w:spacing w:after="0" w:line="260"/>
              <w:jc w:val="left"/>
            </w:pPr>
            <w:r>
              <w:rPr>
                <w:rFonts w:ascii="Calibri" w:cs="Calibri" w:eastAsia="Calibri" w:hAnsi="Calibri"/>
                <w:b/>
                <w:bCs/>
                <w:color w:val="FFFFFF"/>
                <w:sz w:val="20"/>
                <w:szCs w:val="20"/>
              </w:rPr>
              <w:t xml:space="preserve">Lo que el proyecto ofrece</w:t>
            </w:r>
          </w:p>
        </w:tc>
        <w:tc>
          <w:tcPr>
            <w:tcW w:type="dxa" w:w="4680"/>
            <w:tcBorders>
              <w:top w:val="single" w:color="C9D6D1" w:sz="2"/>
              <w:left w:val="single" w:color="C9D6D1" w:sz="2"/>
              <w:bottom w:val="single" w:color="C9D6D1" w:sz="2"/>
              <w:right w:val="single" w:color="C9D6D1" w:sz="2"/>
            </w:tcBorders>
            <w:shd w:fill="0F6E56" w:color="auto" w:val="clear"/>
            <w:tcMar>
              <w:top w:type="dxa" w:w="80"/>
              <w:left w:type="dxa" w:w="120"/>
              <w:bottom w:type="dxa" w:w="80"/>
              <w:right w:type="dxa" w:w="120"/>
            </w:tcMar>
            <w:vAlign w:val="center"/>
          </w:tcPr>
          <w:p>
            <w:pPr>
              <w:spacing w:after="0" w:line="260"/>
              <w:jc w:val="left"/>
            </w:pPr>
            <w:r>
              <w:rPr>
                <w:rFonts w:ascii="Calibri" w:cs="Calibri" w:eastAsia="Calibri" w:hAnsi="Calibri"/>
                <w:b/>
                <w:bCs/>
                <w:color w:val="FFFFFF"/>
                <w:sz w:val="20"/>
                <w:szCs w:val="20"/>
              </w:rPr>
              <w:t xml:space="preserve">Lo que el proyecto pide</w:t>
            </w:r>
          </w:p>
        </w:tc>
      </w:tr>
      <w:tr>
        <w:tc>
          <w:tcPr>
            <w:tcW w:type="dxa" w:w="4680"/>
            <w:tcBorders>
              <w:top w:val="single" w:color="C9D6D1" w:sz="2"/>
              <w:left w:val="single" w:color="C9D6D1" w:sz="2"/>
              <w:bottom w:val="single" w:color="C9D6D1" w:sz="2"/>
              <w:right w:val="single" w:color="C9D6D1" w:sz="2"/>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222222"/>
                <w:sz w:val="20"/>
                <w:szCs w:val="20"/>
              </w:rPr>
              <w:t xml:space="preserve">Una alternativa concreta y satisfactoria ante el tiempo vacío</w:t>
            </w:r>
          </w:p>
        </w:tc>
        <w:tc>
          <w:tcPr>
            <w:tcW w:type="dxa" w:w="4680"/>
            <w:tcBorders>
              <w:top w:val="single" w:color="C9D6D1" w:sz="2"/>
              <w:left w:val="single" w:color="C9D6D1" w:sz="2"/>
              <w:bottom w:val="single" w:color="C9D6D1" w:sz="2"/>
              <w:right w:val="single" w:color="C9D6D1" w:sz="2"/>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222222"/>
                <w:sz w:val="20"/>
                <w:szCs w:val="20"/>
              </w:rPr>
              <w:t xml:space="preserve">Disposición a probar una opción distinta al teléfono</w:t>
            </w:r>
          </w:p>
        </w:tc>
      </w:tr>
      <w:tr>
        <w:tc>
          <w:tcPr>
            <w:tcW w:type="dxa" w:w="4680"/>
            <w:tcBorders>
              <w:top w:val="single" w:color="C9D6D1" w:sz="2"/>
              <w:left w:val="single" w:color="C9D6D1" w:sz="2"/>
              <w:bottom w:val="single" w:color="C9D6D1" w:sz="2"/>
              <w:right w:val="single" w:color="C9D6D1" w:sz="2"/>
            </w:tcBorders>
            <w:shd w:fill="EAF3EF" w:color="auto"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222222"/>
                <w:sz w:val="20"/>
                <w:szCs w:val="20"/>
              </w:rPr>
              <w:t xml:space="preserve">Reducción del agotamiento mental y la culpa post-uso (reportados por los entrevistados)</w:t>
            </w:r>
          </w:p>
        </w:tc>
        <w:tc>
          <w:tcPr>
            <w:tcW w:type="dxa" w:w="4680"/>
            <w:tcBorders>
              <w:top w:val="single" w:color="C9D6D1" w:sz="2"/>
              <w:left w:val="single" w:color="C9D6D1" w:sz="2"/>
              <w:bottom w:val="single" w:color="C9D6D1" w:sz="2"/>
              <w:right w:val="single" w:color="C9D6D1" w:sz="2"/>
            </w:tcBorders>
            <w:shd w:fill="EAF3EF" w:color="auto"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222222"/>
                <w:sz w:val="20"/>
                <w:szCs w:val="20"/>
              </w:rPr>
              <w:t xml:space="preserve">Tolerancia inicial a la fricción del cambio de hábito</w:t>
            </w:r>
          </w:p>
        </w:tc>
      </w:tr>
      <w:tr>
        <w:tc>
          <w:tcPr>
            <w:tcW w:type="dxa" w:w="4680"/>
            <w:tcBorders>
              <w:top w:val="single" w:color="C9D6D1" w:sz="2"/>
              <w:left w:val="single" w:color="C9D6D1" w:sz="2"/>
              <w:bottom w:val="single" w:color="C9D6D1" w:sz="2"/>
              <w:right w:val="single" w:color="C9D6D1" w:sz="2"/>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222222"/>
                <w:sz w:val="20"/>
                <w:szCs w:val="20"/>
              </w:rPr>
              <w:t xml:space="preserve">Recuperación de actividades y atención desplazadas por el scroll</w:t>
            </w:r>
          </w:p>
        </w:tc>
        <w:tc>
          <w:tcPr>
            <w:tcW w:type="dxa" w:w="4680"/>
            <w:tcBorders>
              <w:top w:val="single" w:color="C9D6D1" w:sz="2"/>
              <w:left w:val="single" w:color="C9D6D1" w:sz="2"/>
              <w:bottom w:val="single" w:color="C9D6D1" w:sz="2"/>
              <w:right w:val="single" w:color="C9D6D1" w:sz="2"/>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222222"/>
                <w:sz w:val="20"/>
                <w:szCs w:val="20"/>
              </w:rPr>
              <w:t xml:space="preserve">Compromiso de uso durante un período mínimo de prueba</w:t>
            </w:r>
          </w:p>
        </w:tc>
      </w:tr>
    </w:tbl>
    <w:p>
      <w:pPr>
        <w:pStyle w:val="Heading1"/>
        <w:pBdr>
          <w:bottom w:val="single" w:color="0F6E56" w:sz="8" w:space="6"/>
        </w:pBdr>
        <w:spacing w:after="160" w:before="360"/>
      </w:pPr>
      <w:r>
        <w:rPr>
          <w:rFonts w:ascii="Calibri" w:cs="Calibri" w:eastAsia="Calibri" w:hAnsi="Calibri"/>
          <w:b/>
          <w:bCs/>
          <w:color w:val="1A2E33"/>
          <w:sz w:val="30"/>
          <w:szCs w:val="30"/>
        </w:rPr>
        <w:t xml:space="preserve">Componente 5 · Supuestos críticos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530"/>
        <w:gridCol w:w="2330"/>
      </w:tblGrid>
      <w:tr>
        <w:trPr>
          <w:tblHeader/>
        </w:trPr>
        <w:tc>
          <w:tcPr>
            <w:tcW w:type="dxa" w:w="3000"/>
            <w:tcBorders>
              <w:top w:val="single" w:color="C9D6D1" w:sz="2"/>
              <w:left w:val="single" w:color="C9D6D1" w:sz="2"/>
              <w:bottom w:val="single" w:color="C9D6D1" w:sz="2"/>
              <w:right w:val="single" w:color="C9D6D1" w:sz="2"/>
            </w:tcBorders>
            <w:shd w:fill="0F6E56" w:color="auto" w:val="clear"/>
            <w:tcMar>
              <w:top w:type="dxa" w:w="80"/>
              <w:left w:type="dxa" w:w="120"/>
              <w:bottom w:type="dxa" w:w="80"/>
              <w:right w:type="dxa" w:w="120"/>
            </w:tcMar>
            <w:vAlign w:val="center"/>
          </w:tcPr>
          <w:p>
            <w:pPr>
              <w:spacing w:after="0" w:line="260"/>
              <w:jc w:val="left"/>
            </w:pPr>
            <w:r>
              <w:rPr>
                <w:rFonts w:ascii="Calibri" w:cs="Calibri" w:eastAsia="Calibri" w:hAnsi="Calibri"/>
                <w:b/>
                <w:bCs/>
                <w:color w:val="FFFFFF"/>
                <w:sz w:val="20"/>
                <w:szCs w:val="20"/>
              </w:rPr>
              <w:t xml:space="preserve">Supuesto</w:t>
            </w:r>
          </w:p>
        </w:tc>
        <w:tc>
          <w:tcPr>
            <w:tcW w:type="dxa" w:w="1500"/>
            <w:tcBorders>
              <w:top w:val="single" w:color="C9D6D1" w:sz="2"/>
              <w:left w:val="single" w:color="C9D6D1" w:sz="2"/>
              <w:bottom w:val="single" w:color="C9D6D1" w:sz="2"/>
              <w:right w:val="single" w:color="C9D6D1" w:sz="2"/>
            </w:tcBorders>
            <w:shd w:fill="0F6E56" w:color="auto" w:val="clear"/>
            <w:tcMar>
              <w:top w:type="dxa" w:w="80"/>
              <w:left w:type="dxa" w:w="120"/>
              <w:bottom w:type="dxa" w:w="80"/>
              <w:right w:type="dxa" w:w="120"/>
            </w:tcMar>
            <w:vAlign w:val="center"/>
          </w:tcPr>
          <w:p>
            <w:pPr>
              <w:spacing w:after="0" w:line="260"/>
              <w:jc w:val="left"/>
            </w:pPr>
            <w:r>
              <w:rPr>
                <w:rFonts w:ascii="Calibri" w:cs="Calibri" w:eastAsia="Calibri" w:hAnsi="Calibri"/>
                <w:b/>
                <w:bCs/>
                <w:color w:val="FFFFFF"/>
                <w:sz w:val="20"/>
                <w:szCs w:val="20"/>
              </w:rPr>
              <w:t xml:space="preserve">Estado</w:t>
            </w:r>
          </w:p>
        </w:tc>
        <w:tc>
          <w:tcPr>
            <w:tcW w:type="dxa" w:w="2530"/>
            <w:tcBorders>
              <w:top w:val="single" w:color="C9D6D1" w:sz="2"/>
              <w:left w:val="single" w:color="C9D6D1" w:sz="2"/>
              <w:bottom w:val="single" w:color="C9D6D1" w:sz="2"/>
              <w:right w:val="single" w:color="C9D6D1" w:sz="2"/>
            </w:tcBorders>
            <w:shd w:fill="0F6E56" w:color="auto" w:val="clear"/>
            <w:tcMar>
              <w:top w:type="dxa" w:w="80"/>
              <w:left w:type="dxa" w:w="120"/>
              <w:bottom w:type="dxa" w:w="80"/>
              <w:right w:type="dxa" w:w="120"/>
            </w:tcMar>
            <w:vAlign w:val="center"/>
          </w:tcPr>
          <w:p>
            <w:pPr>
              <w:spacing w:after="0" w:line="260"/>
              <w:jc w:val="left"/>
            </w:pPr>
            <w:r>
              <w:rPr>
                <w:rFonts w:ascii="Calibri" w:cs="Calibri" w:eastAsia="Calibri" w:hAnsi="Calibri"/>
                <w:b/>
                <w:bCs/>
                <w:color w:val="FFFFFF"/>
                <w:sz w:val="20"/>
                <w:szCs w:val="20"/>
              </w:rPr>
              <w:t xml:space="preserve">Evidencia</w:t>
            </w:r>
          </w:p>
        </w:tc>
        <w:tc>
          <w:tcPr>
            <w:tcW w:type="dxa" w:w="2330"/>
            <w:tcBorders>
              <w:top w:val="single" w:color="C9D6D1" w:sz="2"/>
              <w:left w:val="single" w:color="C9D6D1" w:sz="2"/>
              <w:bottom w:val="single" w:color="C9D6D1" w:sz="2"/>
              <w:right w:val="single" w:color="C9D6D1" w:sz="2"/>
            </w:tcBorders>
            <w:shd w:fill="0F6E56" w:color="auto" w:val="clear"/>
            <w:tcMar>
              <w:top w:type="dxa" w:w="80"/>
              <w:left w:type="dxa" w:w="120"/>
              <w:bottom w:type="dxa" w:w="80"/>
              <w:right w:type="dxa" w:w="120"/>
            </w:tcMar>
            <w:vAlign w:val="center"/>
          </w:tcPr>
          <w:p>
            <w:pPr>
              <w:spacing w:after="0" w:line="260"/>
              <w:jc w:val="left"/>
            </w:pPr>
            <w:r>
              <w:rPr>
                <w:rFonts w:ascii="Calibri" w:cs="Calibri" w:eastAsia="Calibri" w:hAnsi="Calibri"/>
                <w:b/>
                <w:bCs/>
                <w:color w:val="FFFFFF"/>
                <w:sz w:val="20"/>
                <w:szCs w:val="20"/>
              </w:rPr>
              <w:t xml:space="preserve">Riesgo si es falso</w:t>
            </w:r>
          </w:p>
        </w:tc>
      </w:tr>
      <w:tr>
        <w:tc>
          <w:tcPr>
            <w:tcW w:type="dxa" w:w="3000"/>
            <w:tcBorders>
              <w:top w:val="single" w:color="C9D6D1" w:sz="2"/>
              <w:left w:val="single" w:color="C9D6D1" w:sz="2"/>
              <w:bottom w:val="single" w:color="C9D6D1" w:sz="2"/>
              <w:right w:val="single" w:color="C9D6D1" w:sz="2"/>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222222"/>
                <w:sz w:val="20"/>
                <w:szCs w:val="20"/>
              </w:rPr>
              <w:t xml:space="preserve">El disparador del uso compulsivo es el tiempo no estructurado, no la plataforma</w:t>
            </w:r>
          </w:p>
        </w:tc>
        <w:tc>
          <w:tcPr>
            <w:tcW w:type="dxa" w:w="1500"/>
            <w:tcBorders>
              <w:top w:val="single" w:color="C9D6D1" w:sz="2"/>
              <w:left w:val="single" w:color="C9D6D1" w:sz="2"/>
              <w:bottom w:val="single" w:color="C9D6D1" w:sz="2"/>
              <w:right w:val="single" w:color="C9D6D1" w:sz="2"/>
            </w:tcBorders>
            <w:tcMar>
              <w:top w:type="dxa" w:w="80"/>
              <w:left w:type="dxa" w:w="120"/>
              <w:bottom w:type="dxa" w:w="80"/>
              <w:right w:type="dxa" w:w="120"/>
            </w:tcMar>
            <w:vAlign w:val="center"/>
          </w:tcPr>
          <w:p>
            <w:pPr>
              <w:spacing w:after="0" w:line="260"/>
              <w:jc w:val="left"/>
            </w:pPr>
            <w:r>
              <w:rPr>
                <w:rFonts w:ascii="Calibri" w:cs="Calibri" w:eastAsia="Calibri" w:hAnsi="Calibri"/>
                <w:b/>
                <w:bCs/>
                <w:color w:val="222222"/>
                <w:sz w:val="20"/>
                <w:szCs w:val="20"/>
              </w:rPr>
              <w:t xml:space="preserve">Validado</w:t>
            </w:r>
          </w:p>
        </w:tc>
        <w:tc>
          <w:tcPr>
            <w:tcW w:type="dxa" w:w="2530"/>
            <w:tcBorders>
              <w:top w:val="single" w:color="C9D6D1" w:sz="2"/>
              <w:left w:val="single" w:color="C9D6D1" w:sz="2"/>
              <w:bottom w:val="single" w:color="C9D6D1" w:sz="2"/>
              <w:right w:val="single" w:color="C9D6D1" w:sz="2"/>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222222"/>
                <w:sz w:val="20"/>
                <w:szCs w:val="20"/>
              </w:rPr>
              <w:t xml:space="preserve">4/5 entrevistados identificaron “tiempo muerto”, espera o aburrimiento como estado previo (Anexo A)</w:t>
            </w:r>
          </w:p>
        </w:tc>
        <w:tc>
          <w:tcPr>
            <w:tcW w:type="dxa" w:w="2330"/>
            <w:tcBorders>
              <w:top w:val="single" w:color="C9D6D1" w:sz="2"/>
              <w:left w:val="single" w:color="C9D6D1" w:sz="2"/>
              <w:bottom w:val="single" w:color="C9D6D1" w:sz="2"/>
              <w:right w:val="single" w:color="C9D6D1" w:sz="2"/>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222222"/>
                <w:sz w:val="20"/>
                <w:szCs w:val="20"/>
              </w:rPr>
              <w:t xml:space="preserve">El mecanismo de sustitución no funciona: el problema sería la plataforma en sí, no el vacío</w:t>
            </w:r>
          </w:p>
        </w:tc>
      </w:tr>
      <w:tr>
        <w:tc>
          <w:tcPr>
            <w:tcW w:type="dxa" w:w="3000"/>
            <w:tcBorders>
              <w:top w:val="single" w:color="C9D6D1" w:sz="2"/>
              <w:left w:val="single" w:color="C9D6D1" w:sz="2"/>
              <w:bottom w:val="single" w:color="C9D6D1" w:sz="2"/>
              <w:right w:val="single" w:color="C9D6D1" w:sz="2"/>
            </w:tcBorders>
            <w:shd w:fill="EAF3EF" w:color="auto"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222222"/>
                <w:sz w:val="20"/>
                <w:szCs w:val="20"/>
              </w:rPr>
              <w:t xml:space="preserve">El usuario tiene necesidades genuinas desplazadas que una alternativa puede satisfacer</w:t>
            </w:r>
          </w:p>
        </w:tc>
        <w:tc>
          <w:tcPr>
            <w:tcW w:type="dxa" w:w="1500"/>
            <w:tcBorders>
              <w:top w:val="single" w:color="C9D6D1" w:sz="2"/>
              <w:left w:val="single" w:color="C9D6D1" w:sz="2"/>
              <w:bottom w:val="single" w:color="C9D6D1" w:sz="2"/>
              <w:right w:val="single" w:color="C9D6D1" w:sz="2"/>
            </w:tcBorders>
            <w:shd w:fill="EAF3EF" w:color="auto" w:val="clear"/>
            <w:tcMar>
              <w:top w:type="dxa" w:w="80"/>
              <w:left w:type="dxa" w:w="120"/>
              <w:bottom w:type="dxa" w:w="80"/>
              <w:right w:type="dxa" w:w="120"/>
            </w:tcMar>
            <w:vAlign w:val="center"/>
          </w:tcPr>
          <w:p>
            <w:pPr>
              <w:spacing w:after="0" w:line="260"/>
              <w:jc w:val="left"/>
            </w:pPr>
            <w:r>
              <w:rPr>
                <w:rFonts w:ascii="Calibri" w:cs="Calibri" w:eastAsia="Calibri" w:hAnsi="Calibri"/>
                <w:b/>
                <w:bCs/>
                <w:color w:val="222222"/>
                <w:sz w:val="20"/>
                <w:szCs w:val="20"/>
              </w:rPr>
              <w:t xml:space="preserve">Parcialmente validado</w:t>
            </w:r>
          </w:p>
        </w:tc>
        <w:tc>
          <w:tcPr>
            <w:tcW w:type="dxa" w:w="2530"/>
            <w:tcBorders>
              <w:top w:val="single" w:color="C9D6D1" w:sz="2"/>
              <w:left w:val="single" w:color="C9D6D1" w:sz="2"/>
              <w:bottom w:val="single" w:color="C9D6D1" w:sz="2"/>
              <w:right w:val="single" w:color="C9D6D1" w:sz="2"/>
            </w:tcBorders>
            <w:shd w:fill="EAF3EF" w:color="auto"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222222"/>
                <w:sz w:val="20"/>
                <w:szCs w:val="20"/>
              </w:rPr>
              <w:t xml:space="preserve">Estado post-uso negativo en 3/5 sugiere que la necesidad real no se satisface (Anexo A)</w:t>
            </w:r>
          </w:p>
        </w:tc>
        <w:tc>
          <w:tcPr>
            <w:tcW w:type="dxa" w:w="2330"/>
            <w:tcBorders>
              <w:top w:val="single" w:color="C9D6D1" w:sz="2"/>
              <w:left w:val="single" w:color="C9D6D1" w:sz="2"/>
              <w:bottom w:val="single" w:color="C9D6D1" w:sz="2"/>
              <w:right w:val="single" w:color="C9D6D1" w:sz="2"/>
            </w:tcBorders>
            <w:shd w:fill="EAF3EF" w:color="auto"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222222"/>
                <w:sz w:val="20"/>
                <w:szCs w:val="20"/>
              </w:rPr>
              <w:t xml:space="preserve">La alternativa no compite con la gratificación inmediata del scroll</w:t>
            </w:r>
          </w:p>
        </w:tc>
      </w:tr>
      <w:tr>
        <w:tc>
          <w:tcPr>
            <w:tcW w:type="dxa" w:w="3000"/>
            <w:tcBorders>
              <w:top w:val="single" w:color="C9D6D1" w:sz="2"/>
              <w:left w:val="single" w:color="C9D6D1" w:sz="2"/>
              <w:bottom w:val="single" w:color="C9D6D1" w:sz="2"/>
              <w:right w:val="single" w:color="C9D6D1" w:sz="2"/>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222222"/>
                <w:sz w:val="20"/>
                <w:szCs w:val="20"/>
              </w:rPr>
              <w:t xml:space="preserve">El usuario está dispuesto a adoptar una alternativa al teléfono</w:t>
            </w:r>
          </w:p>
        </w:tc>
        <w:tc>
          <w:tcPr>
            <w:tcW w:type="dxa" w:w="1500"/>
            <w:tcBorders>
              <w:top w:val="single" w:color="C9D6D1" w:sz="2"/>
              <w:left w:val="single" w:color="C9D6D1" w:sz="2"/>
              <w:bottom w:val="single" w:color="C9D6D1" w:sz="2"/>
              <w:right w:val="single" w:color="C9D6D1" w:sz="2"/>
            </w:tcBorders>
            <w:tcMar>
              <w:top w:type="dxa" w:w="80"/>
              <w:left w:type="dxa" w:w="120"/>
              <w:bottom w:type="dxa" w:w="80"/>
              <w:right w:type="dxa" w:w="120"/>
            </w:tcMar>
            <w:vAlign w:val="center"/>
          </w:tcPr>
          <w:p>
            <w:pPr>
              <w:spacing w:after="0" w:line="260"/>
              <w:jc w:val="left"/>
            </w:pPr>
            <w:r>
              <w:rPr>
                <w:rFonts w:ascii="Calibri" w:cs="Calibri" w:eastAsia="Calibri" w:hAnsi="Calibri"/>
                <w:b/>
                <w:bCs/>
                <w:color w:val="222222"/>
                <w:sz w:val="20"/>
                <w:szCs w:val="20"/>
              </w:rPr>
              <w:t xml:space="preserve">Por validar</w:t>
            </w:r>
          </w:p>
        </w:tc>
        <w:tc>
          <w:tcPr>
            <w:tcW w:type="dxa" w:w="2530"/>
            <w:tcBorders>
              <w:top w:val="single" w:color="C9D6D1" w:sz="2"/>
              <w:left w:val="single" w:color="C9D6D1" w:sz="2"/>
              <w:bottom w:val="single" w:color="C9D6D1" w:sz="2"/>
              <w:right w:val="single" w:color="C9D6D1" w:sz="2"/>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222222"/>
                <w:sz w:val="20"/>
                <w:szCs w:val="20"/>
              </w:rPr>
              <w:t xml:space="preserve">No indagado directamente; Dezconecta (Miranda, 2024) muestra que el esfuerzo activo genera abandono (Anexo B)</w:t>
            </w:r>
          </w:p>
        </w:tc>
        <w:tc>
          <w:tcPr>
            <w:tcW w:type="dxa" w:w="2330"/>
            <w:tcBorders>
              <w:top w:val="single" w:color="C9D6D1" w:sz="2"/>
              <w:left w:val="single" w:color="C9D6D1" w:sz="2"/>
              <w:bottom w:val="single" w:color="C9D6D1" w:sz="2"/>
              <w:right w:val="single" w:color="C9D6D1" w:sz="2"/>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222222"/>
                <w:sz w:val="20"/>
                <w:szCs w:val="20"/>
              </w:rPr>
              <w:t xml:space="preserve">La solución es rechazada en adopción antes de probarse</w:t>
            </w:r>
          </w:p>
        </w:tc>
      </w:tr>
    </w:tbl>
    <w:p>
      <w:pPr>
        <w:pStyle w:val="Heading1"/>
        <w:pBdr>
          <w:bottom w:val="single" w:color="0F6E56" w:sz="8" w:space="6"/>
        </w:pBdr>
        <w:spacing w:after="160" w:before="360"/>
      </w:pPr>
      <w:r>
        <w:rPr>
          <w:rFonts w:ascii="Calibri" w:cs="Calibri" w:eastAsia="Calibri" w:hAnsi="Calibri"/>
          <w:b/>
          <w:bCs/>
          <w:color w:val="1A2E33"/>
          <w:sz w:val="30"/>
          <w:szCs w:val="30"/>
        </w:rPr>
        <w:t xml:space="preserve">Componente 6 · Frontera con Taller de Título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6D1" w:sz="2"/>
              <w:left w:val="single" w:color="C9D6D1" w:sz="2"/>
              <w:bottom w:val="single" w:color="C9D6D1" w:sz="2"/>
              <w:right w:val="single" w:color="C9D6D1" w:sz="2"/>
            </w:tcBorders>
            <w:shd w:fill="0F6E56" w:color="auto" w:val="clear"/>
            <w:tcMar>
              <w:top w:type="dxa" w:w="80"/>
              <w:left w:type="dxa" w:w="120"/>
              <w:bottom w:type="dxa" w:w="80"/>
              <w:right w:type="dxa" w:w="120"/>
            </w:tcMar>
            <w:vAlign w:val="center"/>
          </w:tcPr>
          <w:p>
            <w:pPr>
              <w:spacing w:after="0" w:line="260"/>
              <w:jc w:val="left"/>
            </w:pPr>
            <w:r>
              <w:rPr>
                <w:rFonts w:ascii="Calibri" w:cs="Calibri" w:eastAsia="Calibri" w:hAnsi="Calibri"/>
                <w:b/>
                <w:bCs/>
                <w:color w:val="FFFFFF"/>
                <w:sz w:val="20"/>
                <w:szCs w:val="20"/>
              </w:rPr>
              <w:t xml:space="preserve">Decisiones tomadas (no se vuelve atrás)</w:t>
            </w:r>
          </w:p>
        </w:tc>
        <w:tc>
          <w:tcPr>
            <w:tcW w:type="dxa" w:w="4680"/>
            <w:tcBorders>
              <w:top w:val="single" w:color="C9D6D1" w:sz="2"/>
              <w:left w:val="single" w:color="C9D6D1" w:sz="2"/>
              <w:bottom w:val="single" w:color="C9D6D1" w:sz="2"/>
              <w:right w:val="single" w:color="C9D6D1" w:sz="2"/>
            </w:tcBorders>
            <w:shd w:fill="0F6E56" w:color="auto" w:val="clear"/>
            <w:tcMar>
              <w:top w:type="dxa" w:w="80"/>
              <w:left w:type="dxa" w:w="120"/>
              <w:bottom w:type="dxa" w:w="80"/>
              <w:right w:type="dxa" w:w="120"/>
            </w:tcMar>
            <w:vAlign w:val="center"/>
          </w:tcPr>
          <w:p>
            <w:pPr>
              <w:spacing w:after="0" w:line="260"/>
              <w:jc w:val="left"/>
            </w:pPr>
            <w:r>
              <w:rPr>
                <w:rFonts w:ascii="Calibri" w:cs="Calibri" w:eastAsia="Calibri" w:hAnsi="Calibri"/>
                <w:b/>
                <w:bCs/>
                <w:color w:val="FFFFFF"/>
                <w:sz w:val="20"/>
                <w:szCs w:val="20"/>
              </w:rPr>
              <w:t xml:space="preserve">Decisiones abiertas para Taller</w:t>
            </w:r>
          </w:p>
        </w:tc>
      </w:tr>
      <w:tr>
        <w:tc>
          <w:tcPr>
            <w:tcW w:type="dxa" w:w="4680"/>
            <w:tcBorders>
              <w:top w:val="single" w:color="C9D6D1" w:sz="2"/>
              <w:left w:val="single" w:color="C9D6D1" w:sz="2"/>
              <w:bottom w:val="single" w:color="C9D6D1" w:sz="2"/>
              <w:right w:val="single" w:color="C9D6D1" w:sz="2"/>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222222"/>
                <w:sz w:val="20"/>
                <w:szCs w:val="20"/>
              </w:rPr>
              <w:t xml:space="preserve">Usuario: adultos jóvenes con uso no intencional autopercibido</w:t>
            </w:r>
          </w:p>
        </w:tc>
        <w:tc>
          <w:tcPr>
            <w:tcW w:type="dxa" w:w="4680"/>
            <w:tcBorders>
              <w:top w:val="single" w:color="C9D6D1" w:sz="2"/>
              <w:left w:val="single" w:color="C9D6D1" w:sz="2"/>
              <w:bottom w:val="single" w:color="C9D6D1" w:sz="2"/>
              <w:right w:val="single" w:color="C9D6D1" w:sz="2"/>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222222"/>
                <w:sz w:val="20"/>
                <w:szCs w:val="20"/>
              </w:rPr>
              <w:t xml:space="preserve">Forma específica y materialidad de la intervención</w:t>
            </w:r>
          </w:p>
        </w:tc>
      </w:tr>
      <w:tr>
        <w:tc>
          <w:tcPr>
            <w:tcW w:type="dxa" w:w="4680"/>
            <w:tcBorders>
              <w:top w:val="single" w:color="C9D6D1" w:sz="2"/>
              <w:left w:val="single" w:color="C9D6D1" w:sz="2"/>
              <w:bottom w:val="single" w:color="C9D6D1" w:sz="2"/>
              <w:right w:val="single" w:color="C9D6D1" w:sz="2"/>
            </w:tcBorders>
            <w:shd w:fill="EAF3EF" w:color="auto"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222222"/>
                <w:sz w:val="20"/>
                <w:szCs w:val="20"/>
              </w:rPr>
              <w:t xml:space="preserve">Problema: uso automático en tiempo no estructurado</w:t>
            </w:r>
          </w:p>
        </w:tc>
        <w:tc>
          <w:tcPr>
            <w:tcW w:type="dxa" w:w="4680"/>
            <w:tcBorders>
              <w:top w:val="single" w:color="C9D6D1" w:sz="2"/>
              <w:left w:val="single" w:color="C9D6D1" w:sz="2"/>
              <w:bottom w:val="single" w:color="C9D6D1" w:sz="2"/>
              <w:right w:val="single" w:color="C9D6D1" w:sz="2"/>
            </w:tcBorders>
            <w:shd w:fill="EAF3EF" w:color="auto"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222222"/>
                <w:sz w:val="20"/>
                <w:szCs w:val="20"/>
              </w:rPr>
              <w:t xml:space="preserve">Si la solución requiere o no nuevos dispositivos físicos</w:t>
            </w:r>
          </w:p>
        </w:tc>
      </w:tr>
      <w:tr>
        <w:tc>
          <w:tcPr>
            <w:tcW w:type="dxa" w:w="4680"/>
            <w:tcBorders>
              <w:top w:val="single" w:color="C9D6D1" w:sz="2"/>
              <w:left w:val="single" w:color="C9D6D1" w:sz="2"/>
              <w:bottom w:val="single" w:color="C9D6D1" w:sz="2"/>
              <w:right w:val="single" w:color="C9D6D1" w:sz="2"/>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222222"/>
                <w:sz w:val="20"/>
                <w:szCs w:val="20"/>
              </w:rPr>
              <w:t xml:space="preserve">Mecanismo: sustitución del bucle de hábito</w:t>
            </w:r>
          </w:p>
        </w:tc>
        <w:tc>
          <w:tcPr>
            <w:tcW w:type="dxa" w:w="4680"/>
            <w:tcBorders>
              <w:top w:val="single" w:color="C9D6D1" w:sz="2"/>
              <w:left w:val="single" w:color="C9D6D1" w:sz="2"/>
              <w:bottom w:val="single" w:color="C9D6D1" w:sz="2"/>
              <w:right w:val="single" w:color="C9D6D1" w:sz="2"/>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222222"/>
                <w:sz w:val="20"/>
                <w:szCs w:val="20"/>
              </w:rPr>
              <w:t xml:space="preserve">Mecánica de interacción y lenguaje visual</w:t>
            </w:r>
          </w:p>
        </w:tc>
      </w:tr>
      <w:tr>
        <w:tc>
          <w:tcPr>
            <w:tcW w:type="dxa" w:w="4680"/>
            <w:tcBorders>
              <w:top w:val="single" w:color="C9D6D1" w:sz="2"/>
              <w:left w:val="single" w:color="C9D6D1" w:sz="2"/>
              <w:bottom w:val="single" w:color="C9D6D1" w:sz="2"/>
              <w:right w:val="single" w:color="C9D6D1" w:sz="2"/>
            </w:tcBorders>
            <w:shd w:fill="EAF3EF" w:color="auto"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222222"/>
                <w:sz w:val="20"/>
                <w:szCs w:val="20"/>
              </w:rPr>
              <w:t xml:space="preserve">Base teórica: bio → UX → economía + adicción conductual</w:t>
            </w:r>
          </w:p>
        </w:tc>
        <w:tc>
          <w:tcPr>
            <w:tcW w:type="dxa" w:w="4680"/>
            <w:tcBorders>
              <w:top w:val="single" w:color="C9D6D1" w:sz="2"/>
              <w:left w:val="single" w:color="C9D6D1" w:sz="2"/>
              <w:bottom w:val="single" w:color="C9D6D1" w:sz="2"/>
              <w:right w:val="single" w:color="C9D6D1" w:sz="2"/>
            </w:tcBorders>
            <w:shd w:fill="EAF3EF" w:color="auto"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222222"/>
                <w:sz w:val="20"/>
                <w:szCs w:val="20"/>
              </w:rPr>
              <w:t xml:space="preserve">Escala y lógica de iteración</w:t>
            </w:r>
          </w:p>
        </w:tc>
      </w:tr>
    </w:tbl>
    <w:p>
      <w:pPr>
        <w:spacing w:before="60"/>
      </w:pPr>
    </w:p>
    <w:p>
      <w:pPr>
        <w:pBdr>
          <w:left w:val="single" w:color="0F6E56" w:sz="18" w:space="12"/>
        </w:pBdr>
        <w:spacing w:after="200" w:before="60" w:line="280"/>
        <w:ind w:left="200"/>
        <w:jc w:val="both"/>
      </w:pPr>
      <w:r>
        <w:rPr>
          <w:rFonts w:ascii="Calibri" w:cs="Calibri" w:eastAsia="Calibri" w:hAnsi="Calibri"/>
          <w:i/>
          <w:iCs/>
          <w:color w:val="444444"/>
          <w:sz w:val="20"/>
          <w:szCs w:val="20"/>
        </w:rPr>
        <w:t xml:space="preserve">Criterio que acotará lo abierto: la forma de la intervención se definirá a partir del trabajo de campo sobre autorregulación (qué hacen hoy los usuarios para no usar el celular) y del principio de no replicar los mecanismos de captura que el marco teórico identifica.</w:t>
      </w:r>
    </w:p>
    <w:p>
      <w:pPr>
        <w:pStyle w:val="Heading1"/>
        <w:pBdr>
          <w:bottom w:val="single" w:color="0F6E56" w:sz="8" w:space="6"/>
        </w:pBdr>
        <w:spacing w:after="160" w:before="360"/>
      </w:pPr>
      <w:r>
        <w:rPr>
          <w:rFonts w:ascii="Calibri" w:cs="Calibri" w:eastAsia="Calibri" w:hAnsi="Calibri"/>
          <w:b/>
          <w:bCs/>
          <w:color w:val="1A2E33"/>
          <w:sz w:val="30"/>
          <w:szCs w:val="30"/>
        </w:rPr>
        <w:t xml:space="preserve">Componente 7 · Indicadores de éxito</w:t>
      </w:r>
    </w:p>
    <w:p>
      <w:pPr>
        <w:pStyle w:val="ListParagraph"/>
        <w:numPr>
          <w:ilvl w:val="0"/>
          <w:numId w:val="2"/>
        </w:numPr>
        <w:spacing w:after="120" w:line="300"/>
        <w:jc w:val="both"/>
      </w:pPr>
      <w:r>
        <w:rPr>
          <w:rFonts w:ascii="Calibri" w:cs="Calibri" w:eastAsia="Calibri" w:hAnsi="Calibri"/>
          <w:color w:val="222222"/>
          <w:sz w:val="22"/>
          <w:szCs w:val="22"/>
        </w:rPr>
        <w:t xml:space="preserve">Al menos 3 de 5 usuarios testeados recurren a la alternativa en lugar del smartphone ante el mismo disparador, durante al menos 3 sesiones consecutivas.</w:t>
      </w:r>
    </w:p>
    <w:p>
      <w:pPr>
        <w:pStyle w:val="ListParagraph"/>
        <w:numPr>
          <w:ilvl w:val="0"/>
          <w:numId w:val="2"/>
        </w:numPr>
        <w:spacing w:after="120" w:line="300"/>
        <w:jc w:val="both"/>
      </w:pPr>
      <w:r>
        <w:rPr>
          <w:rFonts w:ascii="Calibri" w:cs="Calibri" w:eastAsia="Calibri" w:hAnsi="Calibri"/>
          <w:color w:val="222222"/>
          <w:sz w:val="22"/>
          <w:szCs w:val="22"/>
        </w:rPr>
        <w:t xml:space="preserve">Al menos el 60% de los usuarios testeados logra identificar el disparador (tiempo vacío) antes de abrir la app, tras una semana de uso.</w:t>
      </w:r>
    </w:p>
    <w:p>
      <w:pPr>
        <w:pStyle w:val="ListParagraph"/>
        <w:numPr>
          <w:ilvl w:val="0"/>
          <w:numId w:val="2"/>
        </w:numPr>
        <w:spacing w:after="120" w:line="300"/>
        <w:jc w:val="both"/>
      </w:pPr>
      <w:r>
        <w:rPr>
          <w:rFonts w:ascii="Calibri" w:cs="Calibri" w:eastAsia="Calibri" w:hAnsi="Calibri"/>
          <w:color w:val="222222"/>
          <w:sz w:val="22"/>
          <w:szCs w:val="22"/>
        </w:rPr>
        <w:t xml:space="preserve">Reducción reportada de al menos un 30% en el tiempo de uso de plataformas de scroll durante el período de prueba, medido contra la línea base declarada en las entrevistas iniciales.</w:t>
      </w:r>
    </w:p>
    <w:p>
      <w:r>
        <w:br w:type="page"/>
      </w:r>
    </w:p>
    <w:p>
      <w:pPr>
        <w:spacing w:after="60"/>
      </w:pPr>
      <w:r>
        <w:rPr>
          <w:rFonts w:ascii="Calibri" w:cs="Calibri" w:eastAsia="Calibri" w:hAnsi="Calibri"/>
          <w:b/>
          <w:bCs/>
          <w:color w:val="0F6E56"/>
          <w:spacing w:val="40"/>
          <w:sz w:val="20"/>
          <w:szCs w:val="20"/>
        </w:rPr>
        <w:t xml:space="preserve">ANEXO A</w:t>
      </w:r>
    </w:p>
    <w:p>
      <w:pPr>
        <w:pStyle w:val="Heading1"/>
        <w:pBdr>
          <w:bottom w:val="single" w:color="0F6E56" w:sz="8" w:space="6"/>
        </w:pBdr>
        <w:spacing w:after="160" w:before="360"/>
      </w:pPr>
      <w:r>
        <w:rPr>
          <w:rFonts w:ascii="Calibri" w:cs="Calibri" w:eastAsia="Calibri" w:hAnsi="Calibri"/>
          <w:b/>
          <w:bCs/>
          <w:color w:val="1A2E33"/>
          <w:sz w:val="30"/>
          <w:szCs w:val="30"/>
        </w:rPr>
        <w:t xml:space="preserve">Evidencia de trabajo con usuarios</w:t>
      </w:r>
    </w:p>
    <w:p>
      <w:pPr>
        <w:spacing w:after="160" w:line="300"/>
        <w:jc w:val="both"/>
      </w:pPr>
      <w:r>
        <w:rPr>
          <w:rFonts w:ascii="Calibri" w:cs="Calibri" w:eastAsia="Calibri" w:hAnsi="Calibri"/>
          <w:b/>
          <w:bCs/>
          <w:color w:val="1A2E33"/>
          <w:sz w:val="22"/>
          <w:szCs w:val="22"/>
        </w:rPr>
        <w:t xml:space="preserve">Método. </w:t>
      </w:r>
      <w:r>
        <w:rPr>
          <w:rFonts w:ascii="Calibri" w:cs="Calibri" w:eastAsia="Calibri" w:hAnsi="Calibri"/>
          <w:color w:val="222222"/>
          <w:sz w:val="22"/>
          <w:szCs w:val="22"/>
        </w:rPr>
        <w:t xml:space="preserve">Se realizaron cinco entrevistas estructuradas presenciales, aplicadas de manera individual y en vivo. El investigador leyó cada pregunta al participante y registró sus respuestas en un formulario estandarizado que combinó escalas Likert (hábitos y dependencia móvil, evaluación crítica del uso) con preguntas abiertas sobre disparadores, sensaciones y vínculo con las plataformas. La modalidad presencial permitió repreguntar y precisar respuestas, a diferencia de un formulario autoaplicado.</w:t>
      </w:r>
    </w:p>
    <w:p>
      <w:pPr>
        <w:spacing w:after="160" w:line="300"/>
        <w:jc w:val="both"/>
      </w:pPr>
      <w:r>
        <w:rPr>
          <w:rFonts w:ascii="Calibri" w:cs="Calibri" w:eastAsia="Calibri" w:hAnsi="Calibri"/>
          <w:b/>
          <w:bCs/>
          <w:color w:val="1A2E33"/>
          <w:sz w:val="22"/>
          <w:szCs w:val="22"/>
        </w:rPr>
        <w:t xml:space="preserve">Participantes. </w:t>
      </w:r>
      <w:r>
        <w:rPr>
          <w:rFonts w:ascii="Calibri" w:cs="Calibri" w:eastAsia="Calibri" w:hAnsi="Calibri"/>
          <w:color w:val="222222"/>
          <w:sz w:val="22"/>
          <w:szCs w:val="22"/>
        </w:rPr>
        <w:t xml:space="preserve">Cinco adultos jóvenes de entre 20 y 23 años, reclutados mediante convocatoria abierta dirigida a personas con uso autopercibido como problemático del smartphone. Todos consumen habitualmente plataformas de scroll infinito (TikTok, Instagram Reels o YouTube Shorts).</w:t>
      </w:r>
    </w:p>
    <w:p>
      <w:pPr>
        <w:pStyle w:val="Heading2"/>
        <w:spacing w:after="120" w:before="260"/>
      </w:pPr>
      <w:r>
        <w:rPr>
          <w:rFonts w:ascii="Calibri" w:cs="Calibri" w:eastAsia="Calibri" w:hAnsi="Calibri"/>
          <w:b/>
          <w:bCs/>
          <w:color w:val="0F6E56"/>
          <w:sz w:val="24"/>
          <w:szCs w:val="24"/>
        </w:rPr>
        <w:t xml:space="preserve">Hallazgo 1 — El disparador es el tiempo no estructurado, no la plataforma</w:t>
      </w:r>
    </w:p>
    <w:p>
      <w:pPr>
        <w:spacing w:after="160" w:line="300"/>
        <w:jc w:val="both"/>
      </w:pPr>
      <w:r>
        <w:rPr>
          <w:rFonts w:ascii="Calibri" w:cs="Calibri" w:eastAsia="Calibri" w:hAnsi="Calibri"/>
          <w:color w:val="222222"/>
          <w:sz w:val="22"/>
          <w:szCs w:val="22"/>
        </w:rPr>
        <w:t xml:space="preserve">Cuatro de los cinco participantes identificaron estados de “tiempo muerto”, espera o aburrimiento como el momento previo a abrir la aplicación. Las plataformas no inician el uso: ocupan un vacío temporal que el usuario no sabe cómo llenar de otro modo. Un participante lo describió como “llenar esos vacíos temporales” cuando “está esperando que ocurra algo”.</w:t>
      </w:r>
    </w:p>
    <w:p>
      <w:pPr>
        <w:pStyle w:val="Heading2"/>
        <w:spacing w:after="120" w:before="260"/>
      </w:pPr>
      <w:r>
        <w:rPr>
          <w:rFonts w:ascii="Calibri" w:cs="Calibri" w:eastAsia="Calibri" w:hAnsi="Calibri"/>
          <w:b/>
          <w:bCs/>
          <w:color w:val="0F6E56"/>
          <w:sz w:val="24"/>
          <w:szCs w:val="24"/>
        </w:rPr>
        <w:t xml:space="preserve">Hallazgo 2 — Hay conciencia del daño pero no herramientas para revertirlo</w:t>
      </w:r>
    </w:p>
    <w:p>
      <w:pPr>
        <w:spacing w:after="160" w:line="300"/>
        <w:jc w:val="both"/>
      </w:pPr>
      <w:r>
        <w:rPr>
          <w:rFonts w:ascii="Calibri" w:cs="Calibri" w:eastAsia="Calibri" w:hAnsi="Calibri"/>
          <w:color w:val="222222"/>
          <w:sz w:val="22"/>
          <w:szCs w:val="22"/>
        </w:rPr>
        <w:t xml:space="preserve">El vínculo con las plataformas fue descrito en términos de dependencia: “hábito”, “apego ansioso” y “es como una droga, sé que me hace mal”. Esta autoconciencia no se traduce en control: los participantes reconocen el problema sin contar con una alternativa concreta que sustituya el uso.</w:t>
      </w:r>
    </w:p>
    <w:p>
      <w:pPr>
        <w:pStyle w:val="Heading2"/>
        <w:spacing w:after="120" w:before="260"/>
      </w:pPr>
      <w:r>
        <w:rPr>
          <w:rFonts w:ascii="Calibri" w:cs="Calibri" w:eastAsia="Calibri" w:hAnsi="Calibri"/>
          <w:b/>
          <w:bCs/>
          <w:color w:val="0F6E56"/>
          <w:sz w:val="24"/>
          <w:szCs w:val="24"/>
        </w:rPr>
        <w:t xml:space="preserve">Hallazgo 3 — El estado posterior al uso prolongado es negativo</w:t>
      </w:r>
    </w:p>
    <w:p>
      <w:pPr>
        <w:spacing w:after="160" w:line="300"/>
        <w:jc w:val="both"/>
      </w:pPr>
      <w:r>
        <w:rPr>
          <w:rFonts w:ascii="Calibri" w:cs="Calibri" w:eastAsia="Calibri" w:hAnsi="Calibri"/>
          <w:color w:val="222222"/>
          <w:sz w:val="22"/>
          <w:szCs w:val="22"/>
        </w:rPr>
        <w:t xml:space="preserve">Los participantes describieron sentirse “agotado mentalmente”, “cansado” o con “culpa” tras sesiones largas. La plataforma no satisface la necesidad que disparó su uso —entretención, descanso, conexión—, sino que la posterga, generando un ciclo que se reinicia ante el siguiente vacío temporal.</w:t>
      </w:r>
    </w:p>
    <w:p>
      <w:pPr>
        <w:spacing w:after="160" w:line="300"/>
        <w:jc w:val="both"/>
      </w:pPr>
      <w:r>
        <w:rPr>
          <w:rFonts w:ascii="Calibri" w:cs="Calibri" w:eastAsia="Calibri" w:hAnsi="Calibri"/>
          <w:b/>
          <w:bCs/>
          <w:color w:val="1A2E33"/>
          <w:sz w:val="22"/>
          <w:szCs w:val="22"/>
        </w:rPr>
        <w:t xml:space="preserve">Limitaciones. </w:t>
      </w:r>
      <w:r>
        <w:rPr>
          <w:rFonts w:ascii="Calibri" w:cs="Calibri" w:eastAsia="Calibri" w:hAnsi="Calibri"/>
          <w:color w:val="222222"/>
          <w:sz w:val="22"/>
          <w:szCs w:val="22"/>
        </w:rPr>
        <w:t xml:space="preserve">La muestra es pequeña (n=5) y homogénea en rango etario, por lo que los hallazgos son indicativos y no generalizables. La convocatoria abierta a usuarios con uso autopercibido como problemático introduce un sesgo de autoselección que conviene contrastar, en etapas posteriores, con observación de usuarios que no se reconocen como problemáticos y con entrevistas a expertos (psicólogos del área de adicciones conductuales).</w:t>
      </w:r>
    </w:p>
    <w:p>
      <w:r>
        <w:br w:type="page"/>
      </w:r>
    </w:p>
    <w:p>
      <w:pPr>
        <w:spacing w:after="60"/>
      </w:pPr>
      <w:r>
        <w:rPr>
          <w:rFonts w:ascii="Calibri" w:cs="Calibri" w:eastAsia="Calibri" w:hAnsi="Calibri"/>
          <w:b/>
          <w:bCs/>
          <w:color w:val="0F6E56"/>
          <w:spacing w:val="40"/>
          <w:sz w:val="20"/>
          <w:szCs w:val="20"/>
        </w:rPr>
        <w:t xml:space="preserve">ANEXO B</w:t>
      </w:r>
    </w:p>
    <w:p>
      <w:pPr>
        <w:pStyle w:val="Heading1"/>
        <w:pBdr>
          <w:bottom w:val="single" w:color="0F6E56" w:sz="8" w:space="6"/>
        </w:pBdr>
        <w:spacing w:after="160" w:before="360"/>
      </w:pPr>
      <w:r>
        <w:rPr>
          <w:rFonts w:ascii="Calibri" w:cs="Calibri" w:eastAsia="Calibri" w:hAnsi="Calibri"/>
          <w:b/>
          <w:bCs/>
          <w:color w:val="1A2E33"/>
          <w:sz w:val="30"/>
          <w:szCs w:val="30"/>
        </w:rPr>
        <w:t xml:space="preserve">Ajuste del marco teórico</w:t>
      </w:r>
    </w:p>
    <w:p>
      <w:pPr>
        <w:pStyle w:val="Heading2"/>
        <w:spacing w:after="120" w:before="260"/>
      </w:pPr>
      <w:r>
        <w:rPr>
          <w:rFonts w:ascii="Calibri" w:cs="Calibri" w:eastAsia="Calibri" w:hAnsi="Calibri"/>
          <w:b/>
          <w:bCs/>
          <w:color w:val="0F6E56"/>
          <w:sz w:val="24"/>
          <w:szCs w:val="24"/>
        </w:rPr>
        <w:t xml:space="preserve">Qué se ajustó respecto a la entrega anterior</w:t>
      </w:r>
    </w:p>
    <w:p>
      <w:pPr>
        <w:spacing w:after="160" w:line="300"/>
        <w:jc w:val="both"/>
      </w:pPr>
      <w:r>
        <w:rPr>
          <w:rFonts w:ascii="Calibri" w:cs="Calibri" w:eastAsia="Calibri" w:hAnsi="Calibri"/>
          <w:color w:val="222222"/>
          <w:sz w:val="22"/>
          <w:szCs w:val="22"/>
        </w:rPr>
        <w:t xml:space="preserve">El feedback de la corrección cruzada identificó dos deudas centrales en el marco teórico: la ausencia del concepto clínico de adicción —tratado hasta ahora solo desde la neurobiología y la economía, pero no desde la psicología de las adicciones conductuales— y la falta de una perspectiva crítica que tensionara la propia propuesta de diseño. Adicionalmente, se incorporó una memoria de diseño previa del mismo programa, rompiendo el sesgo de no revisar antecedentes cercanos. Los tres ajustes se integran al cuerpo del marco, no como apéndice.</w:t>
      </w:r>
    </w:p>
    <w:p>
      <w:pPr>
        <w:pStyle w:val="Heading2"/>
        <w:spacing w:after="120" w:before="260"/>
      </w:pPr>
      <w:r>
        <w:rPr>
          <w:rFonts w:ascii="Calibri" w:cs="Calibri" w:eastAsia="Calibri" w:hAnsi="Calibri"/>
          <w:b/>
          <w:bCs/>
          <w:color w:val="0F6E56"/>
          <w:sz w:val="24"/>
          <w:szCs w:val="24"/>
        </w:rPr>
        <w:t xml:space="preserve">Concepto nuevo 1 — Adicción conductual</w:t>
      </w:r>
    </w:p>
    <w:p>
      <w:pPr>
        <w:spacing w:after="160" w:line="300"/>
        <w:jc w:val="both"/>
      </w:pPr>
      <w:r>
        <w:rPr>
          <w:rFonts w:ascii="Calibri" w:cs="Calibri" w:eastAsia="Calibri" w:hAnsi="Calibri"/>
          <w:color w:val="222222"/>
          <w:sz w:val="22"/>
          <w:szCs w:val="22"/>
        </w:rPr>
        <w:t xml:space="preserve">Se incorpora el concepto clínico de adicción conductual para nombrar con precisión disciplinar lo que el marco describía solo en términos de mecanismo. Griffiths (2005) propone un modelo de componentes según el cual una conducta es adictiva cuando presenta saliencia, modificación del estado de ánimo, tolerancia, síndrome de abstinencia, conflicto y recaída. Estos criterios permiten distinguir el uso problemático del uso adictivo, y conectan con la evidencia primaria de este proyecto: los participantes describieron malestar al interrumpir el uso, recaída tras intentos de control y conflicto con otras áreas de su vida. El DSM-5 (American Psychiatric Association, 2013), si bien no reconoce aún la adicción al smartphone como trastorno formal, sí incorpora el trastorno por juego en internet como condición para estudio, estableciendo un precedente diagnóstico. Esta incorporación responde directamente a la observación de la comisión sobre tratar el fenómeno como adicción, comparable al azúcar o el alcohol.</w:t>
      </w:r>
    </w:p>
    <w:p>
      <w:pPr>
        <w:pStyle w:val="Heading2"/>
        <w:spacing w:after="120" w:before="260"/>
      </w:pPr>
      <w:r>
        <w:rPr>
          <w:rFonts w:ascii="Calibri" w:cs="Calibri" w:eastAsia="Calibri" w:hAnsi="Calibri"/>
          <w:b/>
          <w:bCs/>
          <w:color w:val="0F6E56"/>
          <w:sz w:val="24"/>
          <w:szCs w:val="24"/>
        </w:rPr>
        <w:t xml:space="preserve">Concepto nuevo 2 — Solucionismo tecnológico (perspectiva crítica)</w:t>
      </w:r>
    </w:p>
    <w:p>
      <w:pPr>
        <w:spacing w:after="160" w:line="300"/>
        <w:jc w:val="both"/>
      </w:pPr>
      <w:r>
        <w:rPr>
          <w:rFonts w:ascii="Calibri" w:cs="Calibri" w:eastAsia="Calibri" w:hAnsi="Calibri"/>
          <w:color w:val="222222"/>
          <w:sz w:val="22"/>
          <w:szCs w:val="22"/>
        </w:rPr>
        <w:t xml:space="preserve">Para evitar el sesgo de “caminar por una sola vereda”, se incorpora a Evgeny Morozov (2013) y su crítica al solucionismo tecnológico: la tendencia a asumir que todo problema —incluso los creados por la tecnología— se resuelve con más tecnología o más diseño. Esta perspectiva tensiona productivamente la propia hipótesis de este proyecto: si el problema es un exceso de dispositivos diseñados para capturar la atención, ¿no es contradictorio responder con más dispositivos? Lejos de invalidar el proyecto, esta crítica obliga a justificar por qué una intervención de diseño es pertinente y a mantener abierta la pregunta de si la solución requiere o no nuevos artefactos —precisamente el punto que la comisión señaló como sesgo de solución.</w:t>
      </w:r>
    </w:p>
    <w:p>
      <w:pPr>
        <w:pStyle w:val="Heading2"/>
        <w:spacing w:after="120" w:before="260"/>
      </w:pPr>
      <w:r>
        <w:rPr>
          <w:rFonts w:ascii="Calibri" w:cs="Calibri" w:eastAsia="Calibri" w:hAnsi="Calibri"/>
          <w:b/>
          <w:bCs/>
          <w:color w:val="0F6E56"/>
          <w:sz w:val="24"/>
          <w:szCs w:val="24"/>
        </w:rPr>
        <w:t xml:space="preserve">Tesis de diseño previa revisada</w:t>
      </w:r>
    </w:p>
    <w:p>
      <w:pPr>
        <w:spacing w:after="160" w:line="300"/>
        <w:jc w:val="both"/>
      </w:pPr>
      <w:r>
        <w:rPr>
          <w:rFonts w:ascii="Calibri" w:cs="Calibri" w:eastAsia="Calibri" w:hAnsi="Calibri"/>
          <w:color w:val="222222"/>
          <w:sz w:val="22"/>
          <w:szCs w:val="22"/>
        </w:rPr>
        <w:t xml:space="preserve">Se revisó la memoria “Dezconecta: tu pausa digital para un sueño real” (Miranda, 2024), del mismo programa de Diseño Industrial UDP. El proyecto comparte diagnóstico —uso compulsivo de redes, ciclo del hábito, refuerzo intermitente— pero difiere en alcance: interviene únicamente en el momento previo a dormir mediante un kit analógico de actividades. Dos hallazgos de su investigación informan directamente este proyecto. Primero, su estado del arte concluye que las soluciones existentes son temporales y fallan porque siguen usando el teléfono como recurso, lo que respalda empíricamente la necesidad de una alternativa externa al dispositivo. Segundo, su testeo con usuarios reveló que pedir esfuerzo activo a un usuario agotado al final del día es un punto crítico de fracaso, lo que obliga a este proyecto a calibrar cuidadosamente qué le pide al usuario. Cabe notar que el marco de Dezconecta se apoya principalmente en divulgación (Clear, Duhigg); este proyecto profundiza esa base con fuentes científicas primarias (Schultz, Berridge, Wood &amp; Neal).</w:t>
      </w:r>
    </w:p>
    <w:p>
      <w:pPr>
        <w:pStyle w:val="Heading2"/>
        <w:spacing w:after="120" w:before="260"/>
      </w:pPr>
      <w:r>
        <w:rPr>
          <w:rFonts w:ascii="Calibri" w:cs="Calibri" w:eastAsia="Calibri" w:hAnsi="Calibri"/>
          <w:b/>
          <w:bCs/>
          <w:color w:val="0F6E56"/>
          <w:sz w:val="24"/>
          <w:szCs w:val="24"/>
        </w:rPr>
        <w:t xml:space="preserve">Por qué estos ajustes informan la teoría de cambio</w:t>
      </w:r>
    </w:p>
    <w:p>
      <w:pPr>
        <w:spacing w:after="160" w:line="300"/>
        <w:jc w:val="both"/>
      </w:pPr>
      <w:r>
        <w:rPr>
          <w:rFonts w:ascii="Calibri" w:cs="Calibri" w:eastAsia="Calibri" w:hAnsi="Calibri"/>
          <w:color w:val="222222"/>
          <w:sz w:val="22"/>
          <w:szCs w:val="22"/>
        </w:rPr>
        <w:t xml:space="preserve">Los tres ajustes sostienen componentes específicos. El concepto de adicción conductual otorga autoridad disciplinar al mecanismo de cambio (Componente 3): permite nombrar la palanca como una intervención sobre una conducta adictiva, no sobre una simple falta de voluntad. La crítica de Morozov obliga a mantener honesta la frontera con Taller (Componente 6), dejando abierta la forma de la solución en lugar de comprometerla prematuramente. Y la revisión de Dezconecta calibra el contrato con el usuario (Componente 4): su evidencia de que el usuario agotado abandona las actividades demandantes fija un límite realista sobre cuánto esfuerzo puede pedir este proyecto.</w:t>
      </w:r>
    </w:p>
    <w:p>
      <w:r>
        <w:br w:type="page"/>
      </w:r>
    </w:p>
    <w:p>
      <w:pPr>
        <w:spacing w:after="60"/>
      </w:pPr>
      <w:r>
        <w:rPr>
          <w:rFonts w:ascii="Calibri" w:cs="Calibri" w:eastAsia="Calibri" w:hAnsi="Calibri"/>
          <w:b/>
          <w:bCs/>
          <w:color w:val="0F6E56"/>
          <w:spacing w:val="40"/>
          <w:sz w:val="20"/>
          <w:szCs w:val="20"/>
        </w:rPr>
        <w:t xml:space="preserve">DIAGRAMA</w:t>
      </w:r>
    </w:p>
    <w:p>
      <w:pPr>
        <w:pStyle w:val="Heading1"/>
        <w:pBdr>
          <w:bottom w:val="single" w:color="0F6E56" w:sz="8" w:space="6"/>
        </w:pBdr>
        <w:spacing w:after="160" w:before="360"/>
      </w:pPr>
      <w:r>
        <w:rPr>
          <w:rFonts w:ascii="Calibri" w:cs="Calibri" w:eastAsia="Calibri" w:hAnsi="Calibri"/>
          <w:b/>
          <w:bCs/>
          <w:color w:val="1A2E33"/>
          <w:sz w:val="30"/>
          <w:szCs w:val="30"/>
        </w:rPr>
        <w:t xml:space="preserve">Diagrama de teoría de cambio</w:t>
      </w:r>
    </w:p>
    <w:p>
      <w:pPr>
        <w:pBdr>
          <w:top w:val="dashed" w:color="0F6E56" w:sz="6" w:space="8"/>
          <w:left w:val="dashed" w:color="0F6E56" w:sz="6" w:space="8"/>
          <w:bottom w:val="dashed" w:color="0F6E56" w:sz="6" w:space="8"/>
          <w:right w:val="dashed" w:color="0F6E56" w:sz="6" w:space="8"/>
        </w:pBdr>
        <w:spacing w:after="160" w:before="200" w:line="300"/>
        <w:jc w:val="both"/>
      </w:pPr>
      <w:r>
        <w:rPr>
          <w:rFonts w:ascii="Calibri" w:cs="Calibri" w:eastAsia="Calibri" w:hAnsi="Calibri"/>
          <w:i/>
          <w:iCs/>
          <w:color w:val="777777"/>
          <w:sz w:val="20"/>
          <w:szCs w:val="20"/>
        </w:rPr>
        <w:t xml:space="preserve">[ Insertar aquí la lámina 16:9 del diagrama de teoría de cambio. Renderizar el código Mermaid en mermaid.live, exportar como imagen y pegarla en esta página, idealmente en orientación apaisada.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2026-06-10T12:50:20.193Z</dcterms:created>
  <dcterms:modified xsi:type="dcterms:W3CDTF">2026-06-10T12:50:20.193Z</dcterms:modified>
</cp:coreProperties>
</file>

<file path=docProps/custom.xml><?xml version="1.0" encoding="utf-8"?>
<Properties xmlns="http://schemas.openxmlformats.org/officeDocument/2006/custom-properties" xmlns:vt="http://schemas.openxmlformats.org/officeDocument/2006/docPropsVTypes"/>
</file>