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mbria" w:hAnsi="Cambria"/>
          <w:color w:val="666666"/>
          <w:sz w:val="24"/>
        </w:rPr>
        <w:t>CE QUE JE TE DOIS</w:t>
      </w:r>
    </w:p>
    <w:p>
      <w:pPr>
        <w:spacing w:before="480"/>
        <w:jc w:val="center"/>
      </w:pPr>
      <w:r>
        <w:rPr>
          <w:rFonts w:ascii="Cambria" w:hAnsi="Cambria"/>
          <w:sz w:val="52"/>
        </w:rPr>
        <w:t>Note sur la Bible de projet v6.0</w:t>
      </w:r>
    </w:p>
    <w:p>
      <w:pPr>
        <w:jc w:val="center"/>
      </w:pPr>
      <w:r>
        <w:rPr>
          <w:rFonts w:ascii="Cambria" w:hAnsi="Cambria"/>
          <w:i/>
          <w:sz w:val="28"/>
        </w:rPr>
        <w:t>Ce qui bloque, et ce qu'une v7 doit contenir</w:t>
      </w:r>
    </w:p>
    <w:p>
      <w:pPr>
        <w:jc w:val="center"/>
        <w:pBdr>
          <w:bottom w:val="single" w:sz="6" w:space="8" w:color="999999"/>
        </w:pBdr>
      </w:pPr>
    </w:p>
    <w:p>
      <w:pPr>
        <w:spacing w:before="1120"/>
        <w:jc w:val="center"/>
      </w:pPr>
      <w:r>
        <w:rPr>
          <w:rFonts w:ascii="Cambria" w:hAnsi="Cambria"/>
          <w:sz w:val="21"/>
        </w:rPr>
        <w:t>Document de travail établi à la demande de l'autrice</w:t>
        <w:br/>
        <w:t>pour transmission à son éditeur</w:t>
      </w:r>
    </w:p>
    <w:p>
      <w:pPr>
        <w:spacing w:before="560"/>
        <w:jc w:val="center"/>
      </w:pPr>
      <w:r>
        <w:rPr>
          <w:rFonts w:ascii="Cambria" w:hAnsi="Cambria"/>
          <w:sz w:val="21"/>
        </w:rPr>
        <w:t>22 octobre 2026</w:t>
      </w:r>
    </w:p>
    <w:p>
      <w:r>
        <w:br w:type="page"/>
      </w:r>
    </w:p>
    <w:p>
      <w:pPr>
        <w:jc w:val="both"/>
      </w:pPr>
      <w:r>
        <w:rPr>
          <w:b/>
          <w:i w:val="0"/>
        </w:rPr>
        <w:t>Objet :</w:t>
      </w:r>
      <w:r>
        <w:rPr>
          <w:b w:val="0"/>
          <w:i w:val="0"/>
        </w:rPr>
        <w:t xml:space="preserve"> lecture croisée de la </w:t>
      </w:r>
      <w:r>
        <w:rPr>
          <w:b w:val="0"/>
          <w:i/>
        </w:rPr>
        <w:t>Bible de projet v6.0</w:t>
      </w:r>
      <w:r>
        <w:rPr>
          <w:b w:val="0"/>
          <w:i w:val="0"/>
        </w:rPr>
        <w:t xml:space="preserve"> et de la </w:t>
      </w:r>
      <w:r>
        <w:rPr>
          <w:b w:val="0"/>
          <w:i/>
        </w:rPr>
        <w:t>Charte de réécriture v1.0.0</w:t>
      </w:r>
      <w:r>
        <w:rPr>
          <w:b w:val="0"/>
          <w:i w:val="0"/>
        </w:rPr>
        <w:t>.</w:t>
      </w:r>
    </w:p>
    <w:p>
      <w:pPr>
        <w:jc w:val="both"/>
      </w:pPr>
      <w:r>
        <w:rPr>
          <w:b/>
          <w:i w:val="0"/>
        </w:rPr>
        <w:t>Établie à la demande de l'autrice, pour transmission à l'éditeur.</w:t>
      </w:r>
    </w:p>
    <w:p>
      <w:pPr>
        <w:jc w:val="both"/>
      </w:pPr>
      <w:r>
        <w:rPr>
          <w:b/>
          <w:i w:val="0"/>
        </w:rPr>
        <w:t>Méthode :</w:t>
      </w:r>
      <w:r>
        <w:rPr>
          <w:b w:val="0"/>
          <w:i w:val="0"/>
        </w:rPr>
        <w:t xml:space="preserve"> lecture intégrale des deux documents ; contrôle des renvois internes et de la série des 54 repères ; vérification des données lyonnaises, hospitalières et chronologiques ; examen des versions et de la typographie des fichiers. Aucun manuscrit n'a été communiqué : cette note ne juge pas une prose, elle juge la faisabilité de l'instrument qui doit la produire.</w:t>
      </w:r>
    </w:p>
    <w:p>
      <w:pPr>
        <w:pStyle w:val="Heading1"/>
      </w:pPr>
      <w:r>
        <w:t>1. Le problème, en une phrase</w:t>
      </w:r>
    </w:p>
    <w:p>
      <w:pPr>
        <w:jc w:val="both"/>
      </w:pPr>
      <w:r>
        <w:rPr>
          <w:b/>
          <w:i w:val="0"/>
        </w:rPr>
        <w:t>La bible s'arrête un étage au-dessus du manuscrit : elle fixe ce qui doit advenir et les effets à produire, presque jamais par quel moyen matériel cela advient. Et pour les six scènes qui portent le livre, elle le fait dans le vocabulaire exact que la charte interdit.</w:t>
      </w:r>
    </w:p>
    <w:p>
      <w:pPr>
        <w:jc w:val="both"/>
      </w:pPr>
      <w:r>
        <w:rPr>
          <w:b w:val="0"/>
          <w:i w:val="0"/>
        </w:rPr>
        <w:t>Ce n'est pas un défaut de conception. C'est un défaut d'achèvement. Une bible de ce type décrit une direction ; celle-ci décrit une direction juste, avec une vraie prémisse et une vraie architecture en quatre mouvements. Mais ce roman repose sur trois dispositifs — un faux, une fuite, une preuve — et un dispositif ne se décrit pas par son effet moral. Il se décrit par son mécanisme. Tant que le mécanisme n'existe pas, l'écrivain doit l'inventer chapitre par chapitre, et c'est ainsi qu'un plan se défait.</w:t>
      </w:r>
    </w:p>
    <w:p>
      <w:pPr>
        <w:jc w:val="both"/>
      </w:pPr>
      <w:r>
        <w:rPr>
          <w:b w:val="0"/>
          <w:i w:val="0"/>
        </w:rPr>
        <w:t>Trois conséquences, toutes vérifiables dans le document actuel :</w:t>
      </w:r>
    </w:p>
    <w:p>
      <w:pPr>
        <w:spacing w:after="80"/>
        <w:ind w:left="482" w:hanging="482"/>
        <w:jc w:val="both"/>
      </w:pPr>
      <w:r>
        <w:rPr>
          <w:b w:val="0"/>
        </w:rPr>
        <w:t>1.</w:t>
        <w:tab/>
      </w:r>
      <w:r>
        <w:rPr>
          <w:b/>
          <w:i w:val="0"/>
        </w:rPr>
        <w:t>Les trois pivots du récit sont des événements sans mécanique.</w:t>
      </w:r>
      <w:r>
        <w:rPr>
          <w:b w:val="0"/>
          <w:i w:val="0"/>
        </w:rPr>
        <w:t xml:space="preserve"> Le faux CV (ch. 3-5), les fac-similés (ch. 4 et 24-30), l'inversion de la dette (ch. 22-23). La bible dit ce qu'ils produisent ; elle ne dit jamais ce qu'ils sont.</w:t>
      </w:r>
    </w:p>
    <w:p>
      <w:pPr>
        <w:spacing w:after="80"/>
        <w:ind w:left="482" w:hanging="482"/>
        <w:jc w:val="both"/>
      </w:pPr>
      <w:r>
        <w:rPr>
          <w:b w:val="0"/>
        </w:rPr>
        <w:t>2.</w:t>
        <w:tab/>
      </w:r>
      <w:r>
        <w:rPr>
          <w:b/>
          <w:i w:val="0"/>
        </w:rPr>
        <w:t>Une ligne dramatique déclarée n'a aucune scène.</w:t>
      </w:r>
      <w:r>
        <w:rPr>
          <w:b w:val="0"/>
          <w:i w:val="0"/>
        </w:rPr>
        <w:t xml:space="preserve"> Hélène est nommée comme un compte à solder dans la Directive suprême II ; elle n'apparaît dans aucun des trente chapitres. Le chapitre 30 revendique pourtant une victoire sur elle.</w:t>
      </w:r>
    </w:p>
    <w:p>
      <w:pPr>
        <w:spacing w:after="80"/>
        <w:ind w:left="482" w:hanging="482"/>
        <w:jc w:val="both"/>
      </w:pPr>
      <w:r>
        <w:rPr>
          <w:b w:val="0"/>
        </w:rPr>
        <w:t>3.</w:t>
        <w:tab/>
      </w:r>
      <w:r>
        <w:rPr>
          <w:b/>
          <w:i w:val="0"/>
        </w:rPr>
        <w:t>Les six briefs érotiques sont écrits en température, pas en situation.</w:t>
      </w:r>
      <w:r>
        <w:rPr>
          <w:b w:val="0"/>
          <w:i w:val="0"/>
        </w:rPr>
        <w:t xml:space="preserve"> Or la charte interdit précisément le changement de température (repère 51) et le vocabulaire de l'instinct (repère 30). Le document de direction et le document de style se contredisent au centre du livre.</w:t>
      </w:r>
    </w:p>
    <w:p>
      <w:pPr>
        <w:pStyle w:val="Heading1"/>
      </w:pPr>
      <w:r>
        <w:t>2. Ce que la bible réussit, et qu'il ne faut pas toucher</w:t>
      </w:r>
    </w:p>
    <w:p>
      <w:pPr>
        <w:jc w:val="both"/>
      </w:pPr>
      <w:r>
        <w:rPr>
          <w:b w:val="0"/>
          <w:i w:val="0"/>
        </w:rPr>
        <w:t>Il est utile de le dire avant le reste, parce qu'une réécriture qui perdrait ces quatre points aurait tout perdu :</w:t>
      </w:r>
    </w:p>
    <w:p>
      <w:pPr>
        <w:pStyle w:val="ListBullet"/>
        <w:spacing w:after="80"/>
      </w:pPr>
      <w:r>
        <w:rPr>
          <w:b/>
          <w:i w:val="0"/>
        </w:rPr>
        <w:t>La prémisse somatique.</w:t>
      </w:r>
      <w:r>
        <w:rPr>
          <w:b w:val="0"/>
          <w:i w:val="0"/>
        </w:rPr>
        <w:t xml:space="preserve"> Les mains d'un homme sur la poitrine d'une fille de dix-neuf ans, sa bave, son vomi, une nuit à la regarder nue sous un drap. C'est la seule idée du dossier qu'aucun autre livre ne possède, et elle transforme une vengeance en dette. Une dette ne se solde jamais : c'est un moteur de roman.</w:t>
      </w:r>
    </w:p>
    <w:p>
      <w:pPr>
        <w:pStyle w:val="ListBullet"/>
        <w:spacing w:after="80"/>
      </w:pPr>
      <w:r>
        <w:rPr>
          <w:b/>
          <w:i w:val="0"/>
        </w:rPr>
        <w:t>La Directive suprême I.</w:t>
      </w:r>
      <w:r>
        <w:rPr>
          <w:b w:val="0"/>
          <w:i w:val="0"/>
        </w:rPr>
        <w:t xml:space="preserve"> « Bastien n'est pas un monstre, c'est un créancier moral. » C'est la clause qui rend le roman supportable et qui permet au lecteur de reprendre à son compte les justifications de la narratrice (repère 52).</w:t>
      </w:r>
    </w:p>
    <w:p>
      <w:pPr>
        <w:pStyle w:val="ListBullet"/>
        <w:spacing w:after="80"/>
      </w:pPr>
      <w:r>
        <w:rPr>
          <w:b/>
          <w:i w:val="0"/>
        </w:rPr>
        <w:t>Le renversement de protection.</w:t>
      </w:r>
      <w:r>
        <w:rPr>
          <w:b w:val="0"/>
          <w:i w:val="0"/>
        </w:rPr>
        <w:t xml:space="preserve"> La seule personne que Bastien ait jamais protégée est la seule qui puisse le détruire. C'est la meilleure trouvaille structurelle du document, et elle est enfouie dans une puce de la section IV au lieu d'être la colonne vertébrale du mouvement 3.</w:t>
      </w:r>
    </w:p>
    <w:p>
      <w:pPr>
        <w:pStyle w:val="ListBullet"/>
        <w:spacing w:after="80"/>
      </w:pPr>
      <w:r>
        <w:rPr>
          <w:b/>
          <w:i w:val="0"/>
        </w:rPr>
        <w:t>La géographie.</w:t>
      </w:r>
      <w:r>
        <w:rPr>
          <w:b w:val="0"/>
          <w:i w:val="0"/>
        </w:rPr>
        <w:t xml:space="preserve"> Vérifiée : la rue des Pierres-Plantées existe et descend bien la Croix-Rousse, le métro Foch est bien dans le 6e, Édouard-Herriot est bien un CHU des HCL (5 place d'Arsonval, 3e). Cette exactitude autorise la densité documentaire du reste.</w:t>
      </w:r>
    </w:p>
    <w:p>
      <w:pPr>
        <w:pStyle w:val="Heading1"/>
      </w:pPr>
      <w:r>
        <w:t>3. Le problème de vocabulaire, démonstration</w:t>
      </w:r>
    </w:p>
    <w:p>
      <w:pPr>
        <w:jc w:val="both"/>
      </w:pPr>
      <w:r>
        <w:rPr>
          <w:b w:val="0"/>
          <w:i w:val="0"/>
        </w:rPr>
        <w:t xml:space="preserve">La charte précise, à juste titre, que ses interdits concernent le récit et non les documents de travail. La remarque est exacte, et elle ne règle rien : le problème n'est pas que la bible emploie ces mots, c'est </w:t>
      </w:r>
      <w:r>
        <w:rPr>
          <w:b/>
          <w:i w:val="0"/>
        </w:rPr>
        <w:t>qu'elle ne donne rien d'autre au moment d'écrire</w:t>
      </w:r>
      <w:r>
        <w:rPr>
          <w:b w:val="0"/>
          <w:i w:val="0"/>
        </w:rPr>
        <w:t>. Un brief qui dit « fiévreuse et violente » ne laisse que deux issues : écrire de la fièvre, ou inventer la scène à la place de l'autrice.</w:t>
      </w:r>
    </w:p>
    <w:tbl>
      <w:tblPr>
        <w:tblStyle w:val="TableGrid"/>
        <w:tblW w:type="auto" w:w="0"/>
        <w:jc w:val="center"/>
        <w:tblLayout w:type="autofit"/>
        <w:tblLook w:firstColumn="1" w:firstRow="1" w:lastColumn="0" w:lastRow="0" w:noHBand="0" w:noVBand="1" w:val="04A0"/>
      </w:tblPr>
      <w:tblGrid>
        <w:gridCol w:w="3097"/>
        <w:gridCol w:w="3097"/>
        <w:gridCol w:w="3097"/>
      </w:tblGrid>
      <w:tr>
        <w:trPr>
          <w:tblHeader w:val="true"/>
        </w:trPr>
        <w:tc>
          <w:tcPr>
            <w:tcW w:type="dxa" w:w="3097"/>
            <w:shd w:val="clear" w:color="auto" w:fill="EDEDED"/>
          </w:tcPr>
          <w:p>
            <w:pPr>
              <w:spacing w:after="40" w:before="40"/>
            </w:pPr>
            <w:r>
              <w:rPr>
                <w:b/>
                <w:i w:val="0"/>
                <w:sz w:val="19"/>
              </w:rPr>
              <w:t>Ce que dit la bible</w:t>
            </w:r>
          </w:p>
        </w:tc>
        <w:tc>
          <w:tcPr>
            <w:tcW w:type="dxa" w:w="3097"/>
            <w:shd w:val="clear" w:color="auto" w:fill="EDEDED"/>
          </w:tcPr>
          <w:p>
            <w:pPr>
              <w:spacing w:after="40" w:before="40"/>
            </w:pPr>
            <w:r>
              <w:rPr>
                <w:b/>
                <w:i w:val="0"/>
                <w:sz w:val="19"/>
              </w:rPr>
              <w:t>Ce que cela installe</w:t>
            </w:r>
          </w:p>
        </w:tc>
        <w:tc>
          <w:tcPr>
            <w:tcW w:type="dxa" w:w="3097"/>
            <w:shd w:val="clear" w:color="auto" w:fill="EDEDED"/>
          </w:tcPr>
          <w:p>
            <w:pPr>
              <w:spacing w:after="40" w:before="40"/>
            </w:pPr>
            <w:r>
              <w:rPr>
                <w:b/>
                <w:i w:val="0"/>
                <w:sz w:val="19"/>
              </w:rPr>
              <w:t>Ce que la charte interdit</w:t>
            </w:r>
          </w:p>
        </w:tc>
      </w:tr>
      <w:tr>
        <w:tc>
          <w:tcPr>
            <w:tcW w:type="dxa" w:w="3097"/>
          </w:tcPr>
          <w:p>
            <w:pPr>
              <w:spacing w:after="40" w:before="40"/>
            </w:pPr>
            <w:r>
              <w:rPr>
                <w:b w:val="0"/>
                <w:i w:val="0"/>
                <w:sz w:val="19"/>
              </w:rPr>
              <w:t>« L'orage sur la Guillotière »</w:t>
            </w:r>
          </w:p>
        </w:tc>
        <w:tc>
          <w:tcPr>
            <w:tcW w:type="dxa" w:w="3097"/>
          </w:tcPr>
          <w:p>
            <w:pPr>
              <w:spacing w:after="40" w:before="40"/>
            </w:pPr>
            <w:r>
              <w:rPr>
                <w:b w:val="0"/>
                <w:i w:val="0"/>
                <w:sz w:val="19"/>
              </w:rPr>
              <w:t>la métaphore naturelle du désir</w:t>
            </w:r>
          </w:p>
        </w:tc>
        <w:tc>
          <w:tcPr>
            <w:tcW w:type="dxa" w:w="3097"/>
          </w:tcPr>
          <w:p>
            <w:pPr>
              <w:spacing w:after="40" w:before="40"/>
            </w:pPr>
            <w:r>
              <w:rPr>
                <w:b w:val="0"/>
                <w:i w:val="0"/>
                <w:sz w:val="19"/>
              </w:rPr>
              <w:t>repère 3, qui cite « l'orage dans » parmi les formules proscrites</w:t>
            </w:r>
          </w:p>
        </w:tc>
      </w:tr>
      <w:tr>
        <w:tc>
          <w:tcPr>
            <w:tcW w:type="dxa" w:w="3097"/>
          </w:tcPr>
          <w:p>
            <w:pPr>
              <w:spacing w:after="40" w:before="40"/>
            </w:pPr>
            <w:r>
              <w:rPr>
                <w:b w:val="0"/>
                <w:i w:val="0"/>
                <w:sz w:val="19"/>
              </w:rPr>
              <w:t>« Première étreinte fiévreuse, violente »</w:t>
            </w:r>
          </w:p>
        </w:tc>
        <w:tc>
          <w:tcPr>
            <w:tcW w:type="dxa" w:w="3097"/>
          </w:tcPr>
          <w:p>
            <w:pPr>
              <w:spacing w:after="40" w:before="40"/>
            </w:pPr>
            <w:r>
              <w:rPr>
                <w:b w:val="0"/>
                <w:i w:val="0"/>
                <w:sz w:val="19"/>
              </w:rPr>
              <w:t>la montée en registre</w:t>
            </w:r>
          </w:p>
        </w:tc>
        <w:tc>
          <w:tcPr>
            <w:tcW w:type="dxa" w:w="3097"/>
          </w:tcPr>
          <w:p>
            <w:pPr>
              <w:spacing w:after="40" w:before="40"/>
            </w:pPr>
            <w:r>
              <w:rPr>
                <w:b w:val="0"/>
                <w:i w:val="0"/>
                <w:sz w:val="19"/>
              </w:rPr>
              <w:t>repère 51 (changement de ton), 26 (adjectifs gonflés), 30 (vocabulaire de l'instinct)</w:t>
            </w:r>
          </w:p>
        </w:tc>
      </w:tr>
      <w:tr>
        <w:tc>
          <w:tcPr>
            <w:tcW w:type="dxa" w:w="3097"/>
          </w:tcPr>
          <w:p>
            <w:pPr>
              <w:spacing w:after="40" w:before="40"/>
            </w:pPr>
            <w:r>
              <w:rPr>
                <w:b w:val="0"/>
                <w:i w:val="0"/>
                <w:sz w:val="19"/>
              </w:rPr>
              <w:t>« odeur de pluie et de sueur »</w:t>
            </w:r>
          </w:p>
        </w:tc>
        <w:tc>
          <w:tcPr>
            <w:tcW w:type="dxa" w:w="3097"/>
          </w:tcPr>
          <w:p>
            <w:pPr>
              <w:spacing w:after="40" w:before="40"/>
            </w:pPr>
            <w:r>
              <w:rPr>
                <w:b w:val="0"/>
                <w:i w:val="0"/>
                <w:sz w:val="19"/>
              </w:rPr>
              <w:t>la sensation générique</w:t>
            </w:r>
          </w:p>
        </w:tc>
        <w:tc>
          <w:tcPr>
            <w:tcW w:type="dxa" w:w="3097"/>
          </w:tcPr>
          <w:p>
            <w:pPr>
              <w:spacing w:after="40" w:before="40"/>
            </w:pPr>
            <w:r>
              <w:rPr>
                <w:b w:val="0"/>
                <w:i w:val="0"/>
                <w:sz w:val="19"/>
              </w:rPr>
              <w:t>repère 17 (poésie sensorielle passe-partout)</w:t>
            </w:r>
          </w:p>
        </w:tc>
      </w:tr>
      <w:tr>
        <w:tc>
          <w:tcPr>
            <w:tcW w:type="dxa" w:w="3097"/>
          </w:tcPr>
          <w:p>
            <w:pPr>
              <w:spacing w:after="40" w:before="40"/>
            </w:pPr>
            <w:r>
              <w:rPr>
                <w:b w:val="0"/>
                <w:i w:val="0"/>
                <w:sz w:val="19"/>
              </w:rPr>
              <w:t>« une rage sourde »</w:t>
            </w:r>
          </w:p>
        </w:tc>
        <w:tc>
          <w:tcPr>
            <w:tcW w:type="dxa" w:w="3097"/>
          </w:tcPr>
          <w:p>
            <w:pPr>
              <w:spacing w:after="40" w:before="40"/>
            </w:pPr>
            <w:r>
              <w:rPr>
                <w:b w:val="0"/>
                <w:i w:val="0"/>
                <w:sz w:val="19"/>
              </w:rPr>
              <w:t>l'adjectif d'intensité</w:t>
            </w:r>
          </w:p>
        </w:tc>
        <w:tc>
          <w:tcPr>
            <w:tcW w:type="dxa" w:w="3097"/>
          </w:tcPr>
          <w:p>
            <w:pPr>
              <w:spacing w:after="40" w:before="40"/>
            </w:pPr>
            <w:r>
              <w:rPr>
                <w:b w:val="0"/>
                <w:i w:val="0"/>
                <w:sz w:val="19"/>
              </w:rPr>
              <w:t>repère 26</w:t>
            </w:r>
          </w:p>
        </w:tc>
      </w:tr>
      <w:tr>
        <w:tc>
          <w:tcPr>
            <w:tcW w:type="dxa" w:w="3097"/>
          </w:tcPr>
          <w:p>
            <w:pPr>
              <w:spacing w:after="40" w:before="40"/>
            </w:pPr>
            <w:r>
              <w:rPr>
                <w:b w:val="0"/>
                <w:i w:val="0"/>
                <w:sz w:val="19"/>
              </w:rPr>
              <w:t>« une morsure d'adieu »</w:t>
            </w:r>
          </w:p>
        </w:tc>
        <w:tc>
          <w:tcPr>
            <w:tcW w:type="dxa" w:w="3097"/>
          </w:tcPr>
          <w:p>
            <w:pPr>
              <w:spacing w:after="40" w:before="40"/>
            </w:pPr>
            <w:r>
              <w:rPr>
                <w:b w:val="0"/>
                <w:i w:val="0"/>
                <w:sz w:val="19"/>
              </w:rPr>
              <w:t>le mot-bannière</w:t>
            </w:r>
          </w:p>
        </w:tc>
        <w:tc>
          <w:tcPr>
            <w:tcW w:type="dxa" w:w="3097"/>
          </w:tcPr>
          <w:p>
            <w:pPr>
              <w:spacing w:after="40" w:before="40"/>
            </w:pPr>
            <w:r>
              <w:rPr>
                <w:b w:val="0"/>
                <w:i w:val="0"/>
                <w:sz w:val="19"/>
              </w:rPr>
              <w:t>repère 30</w:t>
            </w:r>
          </w:p>
        </w:tc>
      </w:tr>
      <w:tr>
        <w:tc>
          <w:tcPr>
            <w:tcW w:type="dxa" w:w="3097"/>
          </w:tcPr>
          <w:p>
            <w:pPr>
              <w:spacing w:after="40" w:before="40"/>
            </w:pPr>
            <w:r>
              <w:rPr>
                <w:b w:val="0"/>
                <w:i w:val="0"/>
                <w:sz w:val="19"/>
              </w:rPr>
              <w:t>« douceur factice », « transformant la tendresse en venin »</w:t>
            </w:r>
          </w:p>
        </w:tc>
        <w:tc>
          <w:tcPr>
            <w:tcW w:type="dxa" w:w="3097"/>
          </w:tcPr>
          <w:p>
            <w:pPr>
              <w:spacing w:after="40" w:before="40"/>
            </w:pPr>
            <w:r>
              <w:rPr>
                <w:b w:val="0"/>
                <w:i w:val="0"/>
                <w:sz w:val="19"/>
              </w:rPr>
              <w:t>le verdict qui dispense d'écrire la scène</w:t>
            </w:r>
          </w:p>
        </w:tc>
        <w:tc>
          <w:tcPr>
            <w:tcW w:type="dxa" w:w="3097"/>
          </w:tcPr>
          <w:p>
            <w:pPr>
              <w:spacing w:after="40" w:before="40"/>
            </w:pPr>
            <w:r>
              <w:rPr>
                <w:b w:val="0"/>
                <w:i w:val="0"/>
                <w:sz w:val="19"/>
              </w:rPr>
              <w:t>repères 15 et 49 (commentaire plaqué, sous-texte absent)</w:t>
            </w:r>
          </w:p>
        </w:tc>
      </w:tr>
      <w:tr>
        <w:tc>
          <w:tcPr>
            <w:tcW w:type="dxa" w:w="3097"/>
          </w:tcPr>
          <w:p>
            <w:pPr>
              <w:spacing w:after="40" w:before="40"/>
            </w:pPr>
            <w:r>
              <w:rPr>
                <w:b w:val="0"/>
                <w:i w:val="0"/>
                <w:sz w:val="19"/>
              </w:rPr>
              <w:t>« sans illusion, sans catharsis »</w:t>
            </w:r>
          </w:p>
        </w:tc>
        <w:tc>
          <w:tcPr>
            <w:tcW w:type="dxa" w:w="3097"/>
          </w:tcPr>
          <w:p>
            <w:pPr>
              <w:spacing w:after="40" w:before="40"/>
            </w:pPr>
            <w:r>
              <w:rPr>
                <w:b w:val="0"/>
                <w:i w:val="0"/>
                <w:sz w:val="19"/>
              </w:rPr>
              <w:t>le texte qui commente sa propre conformité</w:t>
            </w:r>
          </w:p>
        </w:tc>
        <w:tc>
          <w:tcPr>
            <w:tcW w:type="dxa" w:w="3097"/>
          </w:tcPr>
          <w:p>
            <w:pPr>
              <w:spacing w:after="40" w:before="40"/>
            </w:pPr>
            <w:r>
              <w:rPr>
                <w:b w:val="0"/>
                <w:i w:val="0"/>
                <w:sz w:val="19"/>
              </w:rPr>
              <w:t>repères 37 et 49</w:t>
            </w:r>
          </w:p>
        </w:tc>
      </w:tr>
      <w:tr>
        <w:tc>
          <w:tcPr>
            <w:tcW w:type="dxa" w:w="3097"/>
          </w:tcPr>
          <w:p>
            <w:pPr>
              <w:spacing w:after="40" w:before="40"/>
            </w:pPr>
            <w:r>
              <w:rPr>
                <w:b w:val="0"/>
                <w:i w:val="0"/>
                <w:sz w:val="19"/>
              </w:rPr>
              <w:t>« chaleur brute », « beauté brute », « jouissance physique brute », « sensualité vorace » (section IV)</w:t>
            </w:r>
          </w:p>
        </w:tc>
        <w:tc>
          <w:tcPr>
            <w:tcW w:type="dxa" w:w="3097"/>
          </w:tcPr>
          <w:p>
            <w:pPr>
              <w:spacing w:after="40" w:before="40"/>
            </w:pPr>
            <w:r>
              <w:rPr>
                <w:b w:val="0"/>
                <w:i w:val="0"/>
                <w:sz w:val="19"/>
              </w:rPr>
              <w:t>le vocabulaire de l'instinct appliqué aux corps</w:t>
            </w:r>
          </w:p>
        </w:tc>
        <w:tc>
          <w:tcPr>
            <w:tcW w:type="dxa" w:w="3097"/>
          </w:tcPr>
          <w:p>
            <w:pPr>
              <w:spacing w:after="40" w:before="40"/>
            </w:pPr>
            <w:r>
              <w:rPr>
                <w:b w:val="0"/>
                <w:i w:val="0"/>
                <w:sz w:val="19"/>
              </w:rPr>
              <w:t>repère 30</w:t>
            </w:r>
          </w:p>
        </w:tc>
      </w:tr>
    </w:tbl>
    <w:p/>
    <w:p>
      <w:pPr>
        <w:jc w:val="both"/>
      </w:pPr>
      <w:r>
        <w:rPr>
          <w:b/>
          <w:i w:val="0"/>
        </w:rPr>
        <w:t>La conséquence est mécanique :</w:t>
      </w:r>
      <w:r>
        <w:rPr>
          <w:b w:val="0"/>
          <w:i w:val="0"/>
        </w:rPr>
        <w:t xml:space="preserve"> écrites à partir de ces briefs, les six scènes reviennent en audit avec un faisceau de repères 3, 17, 26 et 30. Le manuscrit sera conforme et mort. Il faut donc traduire chaque brief en </w:t>
      </w:r>
      <w:r>
        <w:rPr>
          <w:b/>
          <w:i w:val="0"/>
        </w:rPr>
        <w:t>situation</w:t>
      </w:r>
      <w:r>
        <w:rPr>
          <w:b w:val="0"/>
          <w:i w:val="0"/>
        </w:rPr>
        <w:t xml:space="preserve"> avant d'écrire une ligne — qui commence, où, à quelle heure, quel objet se déplace, quelle phrase est dite, quelle phrase est retenue, ce qui est refusé, et ce que la scène coûte après. Une scène sans refus est un spectacle ; une scène sans coût est décorative (repère 50).</w:t>
      </w:r>
    </w:p>
    <w:p>
      <w:pPr>
        <w:pStyle w:val="Heading1"/>
      </w:pPr>
      <w:r>
        <w:t>4. Six contradictions internes, vérifiables</w:t>
      </w:r>
    </w:p>
    <w:tbl>
      <w:tblPr>
        <w:tblStyle w:val="TableGrid"/>
        <w:tblW w:type="auto" w:w="0"/>
        <w:jc w:val="center"/>
        <w:tblLayout w:type="autofit"/>
        <w:tblLook w:firstColumn="1" w:firstRow="1" w:lastColumn="0" w:lastRow="0" w:noHBand="0" w:noVBand="1" w:val="04A0"/>
      </w:tblPr>
      <w:tblGrid>
        <w:gridCol w:w="2323"/>
        <w:gridCol w:w="2323"/>
        <w:gridCol w:w="2323"/>
        <w:gridCol w:w="2323"/>
      </w:tblGrid>
      <w:tr>
        <w:trPr>
          <w:tblHeader w:val="true"/>
        </w:trPr>
        <w:tc>
          <w:tcPr>
            <w:tcW w:type="dxa" w:w="2323"/>
            <w:shd w:val="clear" w:color="auto" w:fill="EDEDED"/>
          </w:tcPr>
          <w:p>
            <w:pPr>
              <w:spacing w:after="40" w:before="40"/>
            </w:pPr>
            <w:r>
              <w:rPr>
                <w:b/>
                <w:i w:val="0"/>
                <w:sz w:val="19"/>
              </w:rPr>
              <w:t>#</w:t>
            </w:r>
          </w:p>
        </w:tc>
        <w:tc>
          <w:tcPr>
            <w:tcW w:type="dxa" w:w="2323"/>
            <w:shd w:val="clear" w:color="auto" w:fill="EDEDED"/>
          </w:tcPr>
          <w:p>
            <w:pPr>
              <w:spacing w:after="40" w:before="40"/>
            </w:pPr>
            <w:r>
              <w:rPr>
                <w:b/>
                <w:i w:val="0"/>
                <w:sz w:val="19"/>
              </w:rPr>
              <w:t>Ce que dit la bible, un endroit</w:t>
            </w:r>
          </w:p>
        </w:tc>
        <w:tc>
          <w:tcPr>
            <w:tcW w:type="dxa" w:w="2323"/>
            <w:shd w:val="clear" w:color="auto" w:fill="EDEDED"/>
          </w:tcPr>
          <w:p>
            <w:pPr>
              <w:spacing w:after="40" w:before="40"/>
            </w:pPr>
            <w:r>
              <w:rPr>
                <w:b/>
                <w:i w:val="0"/>
                <w:sz w:val="19"/>
              </w:rPr>
              <w:t>Ce que dit la bible, un autre endroit</w:t>
            </w:r>
          </w:p>
        </w:tc>
        <w:tc>
          <w:tcPr>
            <w:tcW w:type="dxa" w:w="2323"/>
            <w:shd w:val="clear" w:color="auto" w:fill="EDEDED"/>
          </w:tcPr>
          <w:p>
            <w:pPr>
              <w:spacing w:after="40" w:before="40"/>
            </w:pPr>
            <w:r>
              <w:rPr>
                <w:b/>
                <w:i w:val="0"/>
                <w:sz w:val="19"/>
              </w:rPr>
              <w:t>Conséquence</w:t>
            </w:r>
          </w:p>
        </w:tc>
      </w:tr>
      <w:tr>
        <w:tc>
          <w:tcPr>
            <w:tcW w:type="dxa" w:w="2323"/>
          </w:tcPr>
          <w:p>
            <w:pPr>
              <w:spacing w:after="40" w:before="40"/>
            </w:pPr>
            <w:r>
              <w:rPr>
                <w:b w:val="0"/>
                <w:i w:val="0"/>
                <w:sz w:val="19"/>
              </w:rPr>
              <w:t>C1</w:t>
            </w:r>
          </w:p>
        </w:tc>
        <w:tc>
          <w:tcPr>
            <w:tcW w:type="dxa" w:w="2323"/>
          </w:tcPr>
          <w:p>
            <w:pPr>
              <w:spacing w:after="40" w:before="40"/>
            </w:pPr>
            <w:r>
              <w:rPr>
                <w:b w:val="0"/>
                <w:i w:val="0"/>
                <w:sz w:val="19"/>
              </w:rPr>
              <w:t>Ch. 3 : « Révélations croisées : […] mensonge de Maddie sur son CV […]. Rire partagé. »</w:t>
            </w:r>
          </w:p>
        </w:tc>
        <w:tc>
          <w:tcPr>
            <w:tcW w:type="dxa" w:w="2323"/>
          </w:tcPr>
          <w:p>
            <w:pPr>
              <w:spacing w:after="40" w:before="40"/>
            </w:pPr>
            <w:r>
              <w:rPr>
                <w:b w:val="0"/>
                <w:i w:val="0"/>
                <w:sz w:val="19"/>
              </w:rPr>
              <w:t xml:space="preserve">Section IV : « </w:t>
            </w:r>
            <w:r>
              <w:rPr>
                <w:b/>
                <w:i w:val="0"/>
                <w:sz w:val="19"/>
              </w:rPr>
              <w:t>Dès le Chapitre 5, Nora découvre le mensonge de Maddie sur son CV.</w:t>
            </w:r>
            <w:r>
              <w:rPr>
                <w:b w:val="0"/>
                <w:i w:val="0"/>
                <w:sz w:val="19"/>
              </w:rPr>
              <w:t xml:space="preserve"> »</w:t>
            </w:r>
          </w:p>
        </w:tc>
        <w:tc>
          <w:tcPr>
            <w:tcW w:type="dxa" w:w="2323"/>
          </w:tcPr>
          <w:p>
            <w:pPr>
              <w:spacing w:after="40" w:before="40"/>
            </w:pPr>
            <w:r>
              <w:rPr>
                <w:b w:val="0"/>
                <w:i w:val="0"/>
                <w:sz w:val="19"/>
              </w:rPr>
              <w:t>Si Maddie l'avoue au ch. 3, le ch. 5 ne découvre rien. Le pivot du mouvement 1 est sans objet.</w:t>
            </w:r>
          </w:p>
        </w:tc>
      </w:tr>
      <w:tr>
        <w:tc>
          <w:tcPr>
            <w:tcW w:type="dxa" w:w="2323"/>
          </w:tcPr>
          <w:p>
            <w:pPr>
              <w:spacing w:after="40" w:before="40"/>
            </w:pPr>
            <w:r>
              <w:rPr>
                <w:b w:val="0"/>
                <w:i w:val="0"/>
                <w:sz w:val="19"/>
              </w:rPr>
              <w:t>C2</w:t>
            </w:r>
          </w:p>
        </w:tc>
        <w:tc>
          <w:tcPr>
            <w:tcW w:type="dxa" w:w="2323"/>
          </w:tcPr>
          <w:p>
            <w:pPr>
              <w:spacing w:after="40" w:before="40"/>
            </w:pPr>
            <w:r>
              <w:rPr>
                <w:b w:val="0"/>
                <w:i w:val="0"/>
                <w:sz w:val="19"/>
              </w:rPr>
              <w:t xml:space="preserve">Section IV : le compromis du ch. 5 est « </w:t>
            </w:r>
            <w:r>
              <w:rPr>
                <w:b/>
                <w:i w:val="0"/>
                <w:sz w:val="19"/>
              </w:rPr>
              <w:t>le premier compromis éthique de Nora</w:t>
            </w:r>
            <w:r>
              <w:rPr>
                <w:b w:val="0"/>
                <w:i w:val="0"/>
                <w:sz w:val="19"/>
              </w:rPr>
              <w:t xml:space="preserve"> ».</w:t>
            </w:r>
          </w:p>
        </w:tc>
        <w:tc>
          <w:tcPr>
            <w:tcW w:type="dxa" w:w="2323"/>
          </w:tcPr>
          <w:p>
            <w:pPr>
              <w:spacing w:after="40" w:before="40"/>
            </w:pPr>
            <w:r>
              <w:rPr>
                <w:b w:val="0"/>
                <w:i w:val="0"/>
                <w:sz w:val="19"/>
              </w:rPr>
              <w:t>Ch. 4 : Nora « confie à Maddie les dossiers bruts fuités » — à une inconnue de la veille.</w:t>
            </w:r>
          </w:p>
        </w:tc>
        <w:tc>
          <w:tcPr>
            <w:tcW w:type="dxa" w:w="2323"/>
          </w:tcPr>
          <w:p>
            <w:pPr>
              <w:spacing w:after="40" w:before="40"/>
            </w:pPr>
            <w:r>
              <w:rPr>
                <w:b w:val="0"/>
                <w:i w:val="0"/>
                <w:sz w:val="19"/>
              </w:rPr>
              <w:t>Le premier compromis a lieu au ch. 4. L'arc éthique de Nora est décalé d'un chapitre, et sa faute initiale n'est pas motivée.</w:t>
            </w:r>
          </w:p>
        </w:tc>
      </w:tr>
      <w:tr>
        <w:tc>
          <w:tcPr>
            <w:tcW w:type="dxa" w:w="2323"/>
          </w:tcPr>
          <w:p>
            <w:pPr>
              <w:spacing w:after="40" w:before="40"/>
            </w:pPr>
            <w:r>
              <w:rPr>
                <w:b w:val="0"/>
                <w:i w:val="0"/>
                <w:sz w:val="19"/>
              </w:rPr>
              <w:t>C3</w:t>
            </w:r>
          </w:p>
        </w:tc>
        <w:tc>
          <w:tcPr>
            <w:tcW w:type="dxa" w:w="2323"/>
          </w:tcPr>
          <w:p>
            <w:pPr>
              <w:spacing w:after="40" w:before="40"/>
            </w:pPr>
            <w:r>
              <w:rPr>
                <w:b w:val="0"/>
                <w:i w:val="0"/>
                <w:sz w:val="19"/>
              </w:rPr>
              <w:t xml:space="preserve">Section III : le registre B « </w:t>
            </w:r>
            <w:r>
              <w:rPr>
                <w:b/>
                <w:i w:val="0"/>
                <w:sz w:val="19"/>
              </w:rPr>
              <w:t>naît exclusivement au contact de Nora</w:t>
            </w:r>
            <w:r>
              <w:rPr>
                <w:b w:val="0"/>
                <w:i w:val="0"/>
                <w:sz w:val="19"/>
              </w:rPr>
              <w:t xml:space="preserve"> ».</w:t>
            </w:r>
          </w:p>
        </w:tc>
        <w:tc>
          <w:tcPr>
            <w:tcW w:type="dxa" w:w="2323"/>
          </w:tcPr>
          <w:p>
            <w:pPr>
              <w:spacing w:after="40" w:before="40"/>
            </w:pPr>
            <w:r>
              <w:rPr>
                <w:b w:val="0"/>
                <w:i w:val="0"/>
                <w:sz w:val="19"/>
              </w:rPr>
              <w:t>Ch. 13 : dans le lit de Nora, Maddie pense aux mains de Bastien. Et la scène fondatrice (les mains sur la poitrine) est la matière la plus charnelle du livre.</w:t>
            </w:r>
          </w:p>
        </w:tc>
        <w:tc>
          <w:tcPr>
            <w:tcW w:type="dxa" w:w="2323"/>
          </w:tcPr>
          <w:p>
            <w:pPr>
              <w:spacing w:after="40" w:before="40"/>
            </w:pPr>
            <w:r>
              <w:rPr>
                <w:b w:val="0"/>
                <w:i w:val="0"/>
                <w:sz w:val="19"/>
              </w:rPr>
              <w:t>Le registre qui définit le style du roman ne peut pas naître là où la bible le dit, ni servir à ce qu'elle lui fait servir.</w:t>
            </w:r>
          </w:p>
        </w:tc>
      </w:tr>
      <w:tr>
        <w:tc>
          <w:tcPr>
            <w:tcW w:type="dxa" w:w="2323"/>
          </w:tcPr>
          <w:p>
            <w:pPr>
              <w:spacing w:after="40" w:before="40"/>
            </w:pPr>
            <w:r>
              <w:rPr>
                <w:b w:val="0"/>
                <w:i w:val="0"/>
                <w:sz w:val="19"/>
              </w:rPr>
              <w:t>C4</w:t>
            </w:r>
          </w:p>
        </w:tc>
        <w:tc>
          <w:tcPr>
            <w:tcW w:type="dxa" w:w="2323"/>
          </w:tcPr>
          <w:p>
            <w:pPr>
              <w:spacing w:after="40" w:before="40"/>
            </w:pPr>
            <w:r>
              <w:rPr>
                <w:b w:val="0"/>
                <w:i w:val="0"/>
                <w:sz w:val="19"/>
              </w:rPr>
              <w:t xml:space="preserve">Directive II : « équilibrer les comptes, </w:t>
            </w:r>
            <w:r>
              <w:rPr>
                <w:b/>
                <w:i w:val="0"/>
                <w:sz w:val="19"/>
              </w:rPr>
              <w:t>neutraliser la menace maternelle (Hélène)</w:t>
            </w:r>
            <w:r>
              <w:rPr>
                <w:b w:val="0"/>
                <w:i w:val="0"/>
                <w:sz w:val="19"/>
              </w:rPr>
              <w:t>, reprendre le contrôle sur Paul, asservir Bastien. »</w:t>
            </w:r>
          </w:p>
        </w:tc>
        <w:tc>
          <w:tcPr>
            <w:tcW w:type="dxa" w:w="2323"/>
          </w:tcPr>
          <w:p>
            <w:pPr>
              <w:spacing w:after="40" w:before="40"/>
            </w:pPr>
            <w:r>
              <w:rPr>
                <w:b w:val="0"/>
                <w:i w:val="0"/>
                <w:sz w:val="19"/>
              </w:rPr>
              <w:t>Aucun chapitre ne fait apparaître Hélène. Ch. 30 : « sa mère est tenue à distance ».</w:t>
            </w:r>
          </w:p>
        </w:tc>
        <w:tc>
          <w:tcPr>
            <w:tcW w:type="dxa" w:w="2323"/>
          </w:tcPr>
          <w:p>
            <w:pPr>
              <w:spacing w:after="40" w:before="40"/>
            </w:pPr>
            <w:r>
              <w:rPr>
                <w:b w:val="0"/>
                <w:i w:val="0"/>
                <w:sz w:val="19"/>
              </w:rPr>
              <w:t>Un compte déclaré, zéro scène, et une victoire finale que le lecteur n'a pas vue se gagner.</w:t>
            </w:r>
          </w:p>
        </w:tc>
      </w:tr>
      <w:tr>
        <w:tc>
          <w:tcPr>
            <w:tcW w:type="dxa" w:w="2323"/>
          </w:tcPr>
          <w:p>
            <w:pPr>
              <w:spacing w:after="40" w:before="40"/>
            </w:pPr>
            <w:r>
              <w:rPr>
                <w:b w:val="0"/>
                <w:i w:val="0"/>
                <w:sz w:val="19"/>
              </w:rPr>
              <w:t>C5</w:t>
            </w:r>
          </w:p>
        </w:tc>
        <w:tc>
          <w:tcPr>
            <w:tcW w:type="dxa" w:w="2323"/>
          </w:tcPr>
          <w:p>
            <w:pPr>
              <w:spacing w:after="40" w:before="40"/>
            </w:pPr>
            <w:r>
              <w:rPr>
                <w:b w:val="0"/>
                <w:i w:val="0"/>
                <w:sz w:val="19"/>
              </w:rPr>
              <w:t xml:space="preserve">Ch. 30 : « </w:t>
            </w:r>
            <w:r>
              <w:rPr>
                <w:b/>
                <w:i w:val="0"/>
                <w:sz w:val="19"/>
              </w:rPr>
              <w:t>Nora est détruite</w:t>
            </w:r>
            <w:r>
              <w:rPr>
                <w:b w:val="0"/>
                <w:i w:val="0"/>
                <w:sz w:val="19"/>
              </w:rPr>
              <w:t>. »</w:t>
            </w:r>
          </w:p>
        </w:tc>
        <w:tc>
          <w:tcPr>
            <w:tcW w:type="dxa" w:w="2323"/>
          </w:tcPr>
          <w:p>
            <w:pPr>
              <w:spacing w:after="40" w:before="40"/>
            </w:pPr>
            <w:r>
              <w:rPr>
                <w:b w:val="0"/>
                <w:i w:val="0"/>
                <w:sz w:val="19"/>
              </w:rPr>
              <w:t>Directive II énumère les comptes : Hélène, Paul, Bastien. Nora n'y figure pas.</w:t>
            </w:r>
          </w:p>
        </w:tc>
        <w:tc>
          <w:tcPr>
            <w:tcW w:type="dxa" w:w="2323"/>
          </w:tcPr>
          <w:p>
            <w:pPr>
              <w:spacing w:after="40" w:before="40"/>
            </w:pPr>
            <w:r>
              <w:rPr>
                <w:b w:val="0"/>
                <w:i w:val="0"/>
                <w:sz w:val="19"/>
              </w:rPr>
              <w:t>Le personnage détruit n'est pas un compte à solder. Le statut de Nora dans le livre n'est pas décidé.</w:t>
            </w:r>
          </w:p>
        </w:tc>
      </w:tr>
      <w:tr>
        <w:tc>
          <w:tcPr>
            <w:tcW w:type="dxa" w:w="2323"/>
          </w:tcPr>
          <w:p>
            <w:pPr>
              <w:spacing w:after="40" w:before="40"/>
            </w:pPr>
            <w:r>
              <w:rPr>
                <w:b w:val="0"/>
                <w:i w:val="0"/>
                <w:sz w:val="19"/>
              </w:rPr>
              <w:t>C6</w:t>
            </w:r>
          </w:p>
        </w:tc>
        <w:tc>
          <w:tcPr>
            <w:tcW w:type="dxa" w:w="2323"/>
          </w:tcPr>
          <w:p>
            <w:pPr>
              <w:spacing w:after="40" w:before="40"/>
            </w:pPr>
            <w:r>
              <w:rPr>
                <w:b w:val="0"/>
                <w:i w:val="0"/>
                <w:sz w:val="19"/>
              </w:rPr>
              <w:t xml:space="preserve">Ch. 30 : « </w:t>
            </w:r>
            <w:r>
              <w:rPr>
                <w:b/>
                <w:i w:val="0"/>
                <w:sz w:val="19"/>
              </w:rPr>
              <w:t>Victoire totale, stérile, gelée</w:t>
            </w:r>
            <w:r>
              <w:rPr>
                <w:b w:val="0"/>
                <w:i w:val="0"/>
                <w:sz w:val="19"/>
              </w:rPr>
              <w:t>. »</w:t>
            </w:r>
          </w:p>
        </w:tc>
        <w:tc>
          <w:tcPr>
            <w:tcW w:type="dxa" w:w="2323"/>
          </w:tcPr>
          <w:p>
            <w:pPr>
              <w:spacing w:after="40" w:before="40"/>
            </w:pPr>
            <w:r>
              <w:rPr>
                <w:b w:val="0"/>
                <w:i w:val="0"/>
                <w:sz w:val="19"/>
              </w:rPr>
              <w:t xml:space="preserve">Charte, repère 54 : la fin « laisse le dilemme moral intact », avec « quelque chose d'irrémédiablement pourri — </w:t>
            </w:r>
            <w:r>
              <w:rPr>
                <w:b/>
                <w:i w:val="0"/>
                <w:sz w:val="19"/>
              </w:rPr>
              <w:t>mais le texte ne dit pas quoi</w:t>
            </w:r>
            <w:r>
              <w:rPr>
                <w:b w:val="0"/>
                <w:i w:val="0"/>
                <w:sz w:val="19"/>
              </w:rPr>
              <w:t xml:space="preserve"> ».</w:t>
            </w:r>
          </w:p>
        </w:tc>
        <w:tc>
          <w:tcPr>
            <w:tcW w:type="dxa" w:w="2323"/>
          </w:tcPr>
          <w:p>
            <w:pPr>
              <w:spacing w:after="40" w:before="40"/>
            </w:pPr>
            <w:r>
              <w:rPr>
                <w:b w:val="0"/>
                <w:i w:val="0"/>
                <w:sz w:val="19"/>
              </w:rPr>
              <w:t>Le document de direction énonce le verdict que le document de style interdit d'énoncer. La dernière page est écrite à l'avance en sens contraire.</w:t>
            </w:r>
          </w:p>
        </w:tc>
      </w:tr>
    </w:tbl>
    <w:p/>
    <w:p>
      <w:pPr>
        <w:pStyle w:val="Heading1"/>
      </w:pPr>
      <w:r>
        <w:t>5. Quatre points techniquement intenables ou non décidés</w:t>
      </w:r>
    </w:p>
    <w:p>
      <w:pPr>
        <w:jc w:val="both"/>
      </w:pPr>
      <w:r>
        <w:rPr>
          <w:b w:val="0"/>
          <w:i w:val="0"/>
        </w:rPr>
        <w:t>Ce ne sont pas des contradictions : ce sont des impossibilités factuelles, ou des décisions différées qui bloquent l'écriture.</w:t>
      </w:r>
    </w:p>
    <w:p>
      <w:pPr>
        <w:jc w:val="both"/>
      </w:pPr>
      <w:r>
        <w:rPr>
          <w:b/>
          <w:i w:val="0"/>
        </w:rPr>
        <w:t>P1. Le faux de Bastien est impossible tel que décrit.</w:t>
      </w:r>
      <w:r>
        <w:rPr>
          <w:b w:val="0"/>
          <w:i w:val="0"/>
        </w:rPr>
        <w:t xml:space="preserve"> La bible dit qu'il « a antidaté la fiche d'observation ». Une fiche d'observation est un enregistrement horodaté par le logiciel : on n'antidate pas un horodatage en écrivant une date sur une feuille. Ce qui est possible, et plus fort : la </w:t>
      </w:r>
      <w:r>
        <w:rPr>
          <w:b/>
          <w:i w:val="0"/>
        </w:rPr>
        <w:t>fiche de triage est en papier</w:t>
      </w:r>
      <w:r>
        <w:rPr>
          <w:b w:val="0"/>
          <w:i w:val="0"/>
        </w:rPr>
        <w:t>. À l'entrée des urgences, l'heure, le motif et le score de gravité sont écrits à la main, et la saisie vient après. C'est ce papier que Bastien réécrit. Un stylo, une heure écrite deux fois, une rature. Le faux devient minuscule, physique, datable — et il faut alors expliquer en une scène pourquoi le dossier numérique ne le contredit pas.</w:t>
      </w:r>
    </w:p>
    <w:p>
      <w:pPr>
        <w:jc w:val="both"/>
      </w:pPr>
      <w:r>
        <w:rPr>
          <w:b/>
          <w:i w:val="0"/>
        </w:rPr>
        <w:t>P2. Les fac-similés de dossiers médicaux ne peuvent pas être publiés.</w:t>
      </w:r>
      <w:r>
        <w:rPr>
          <w:b w:val="0"/>
          <w:i w:val="0"/>
        </w:rPr>
        <w:t xml:space="preserve"> Secret médical, données de santé, identification des patients : aucune rédaction ne le fait, et un personnage défini par son éthique de terrain ne le proposerait pas. La difficulté contient sa solution, et cette solution est meilleure : </w:t>
      </w:r>
      <w:r>
        <w:rPr>
          <w:b/>
          <w:i w:val="0"/>
        </w:rPr>
        <w:t>Maddie ne falsifie pas, elle caviarde.</w:t>
      </w:r>
      <w:r>
        <w:rPr>
          <w:b w:val="0"/>
          <w:i w:val="0"/>
        </w:rPr>
        <w:t xml:space="preserve"> Elle compose les fac-similés, donc elle choisit les bandes noires. Ce qu'elle masque décide de ce que le journal prouve. C'est légal, c'est son métier, c'est de sa main — et cela prépare le retournement des ch. 24-30 sans invraisemblance : elle n'a pas à fabriquer un faux, il lui suffit de déplacer un caviardage. </w:t>
      </w:r>
      <w:r>
        <w:rPr>
          <w:b/>
          <w:i w:val="0"/>
        </w:rPr>
        <w:t>Décision de l'autrice : cette solution est retenue.</w:t>
      </w:r>
      <w:r>
        <w:rPr>
          <w:b w:val="0"/>
          <w:i w:val="0"/>
        </w:rPr>
        <w:t xml:space="preserve"> La v7 doit donc remplacer « fac-similés des dossiers bruts » par un protocole de publication : pièces administratives, caviardage composé par Maddie, et enjeu porté sur ce qu'elle masque. Le faux document, lui, reste unique et il est celui de Bastien (P1).</w:t>
      </w:r>
    </w:p>
    <w:p>
      <w:pPr>
        <w:jc w:val="both"/>
      </w:pPr>
      <w:r>
        <w:rPr>
          <w:b/>
          <w:i w:val="0"/>
        </w:rPr>
        <w:t>P3. Le levier sur Paul ne peut pas tenir une carrière.</w:t>
      </w:r>
      <w:r>
        <w:rPr>
          <w:b w:val="0"/>
          <w:i w:val="0"/>
        </w:rPr>
        <w:t xml:space="preserve"> Un appel manqué il y a huit ans ne fait pas risquer une licence et la correctionnelle. Il faut une faute réelle, ou un mensonge qui a duré huit ans, ou quelque chose que Maddie sait de lui aujourd'hui. Le repère 52 exige une justification que le lecteur reprendrait à son compte : un appel manqué ne suffit pas.</w:t>
      </w:r>
    </w:p>
    <w:p>
      <w:pPr>
        <w:jc w:val="both"/>
      </w:pPr>
      <w:r>
        <w:rPr>
          <w:b/>
          <w:i w:val="0"/>
        </w:rPr>
        <w:t>P4. Deux personnages-clés n'existent pas.</w:t>
      </w:r>
      <w:r>
        <w:rPr>
          <w:b w:val="0"/>
          <w:i w:val="0"/>
        </w:rPr>
        <w:t xml:space="preserve"> L'</w:t>
      </w:r>
      <w:r>
        <w:rPr>
          <w:b/>
          <w:i w:val="0"/>
        </w:rPr>
        <w:t>interne de première année</w:t>
      </w:r>
      <w:r>
        <w:rPr>
          <w:b w:val="0"/>
          <w:i w:val="0"/>
        </w:rPr>
        <w:t xml:space="preserve"> n'a ni nom, ni âge, ni destin — alors qu'elle est la raison du faux, l'arme que Maddie découvre au ch. 6, et le point exact où le roman doit franchir sa ligne morale. Et </w:t>
      </w:r>
      <w:r>
        <w:rPr>
          <w:b/>
          <w:i w:val="0"/>
        </w:rPr>
        <w:t>Yanis Benali</w:t>
      </w:r>
      <w:r>
        <w:rPr>
          <w:b w:val="0"/>
          <w:i w:val="0"/>
        </w:rPr>
        <w:t xml:space="preserve"> est décrit comme « un enfant/adolescent » : la barre oblique est une décision différée, et c'est la plus lourde du livre. Six ans et seize ans ne font ni le même scandale ni la même douleur publique.</w:t>
      </w:r>
    </w:p>
    <w:p>
      <w:pPr>
        <w:pStyle w:val="Heading1"/>
      </w:pPr>
      <w:r>
        <w:t>6. Les décisions qui ne relèvent pas de l'éditeur</w:t>
      </w:r>
    </w:p>
    <w:p>
      <w:pPr>
        <w:jc w:val="both"/>
      </w:pPr>
      <w:r>
        <w:rPr>
          <w:b w:val="0"/>
          <w:i w:val="0"/>
        </w:rPr>
        <w:t>Une bible se réécrit, mais quatre choix appartiennent à l'autrice, et une v7 ne doit pas les trancher à sa place — elle doit les lui poser :</w:t>
      </w:r>
    </w:p>
    <w:p>
      <w:pPr>
        <w:spacing w:after="80"/>
        <w:ind w:left="482" w:hanging="482"/>
        <w:jc w:val="both"/>
      </w:pPr>
      <w:r>
        <w:rPr>
          <w:b w:val="0"/>
        </w:rPr>
        <w:t>1.</w:t>
        <w:tab/>
      </w:r>
      <w:r>
        <w:rPr>
          <w:b/>
          <w:i w:val="0"/>
        </w:rPr>
        <w:t>Le temps et la position de narration.</w:t>
      </w:r>
      <w:r>
        <w:rPr>
          <w:b w:val="0"/>
          <w:i w:val="0"/>
        </w:rPr>
        <w:t xml:space="preserve"> La charte (§ 2) exige un temps « fixé dans la bible ». La bible fixe la première personne et ne dit pas un mot du temps. Aucun audit de voix n'est possible avant cette réponse.</w:t>
      </w:r>
    </w:p>
    <w:p>
      <w:pPr>
        <w:spacing w:after="80"/>
        <w:ind w:left="482" w:hanging="482"/>
        <w:jc w:val="both"/>
      </w:pPr>
      <w:r>
        <w:rPr>
          <w:b w:val="0"/>
        </w:rPr>
        <w:t>2.</w:t>
        <w:tab/>
      </w:r>
      <w:r>
        <w:rPr>
          <w:b/>
          <w:i w:val="0"/>
        </w:rPr>
        <w:t>Nora : coût ou cible.</w:t>
      </w:r>
      <w:r>
        <w:rPr>
          <w:b w:val="0"/>
          <w:i w:val="0"/>
        </w:rPr>
        <w:t xml:space="preserve"> Le ch. 30 la détruit ; la Directive II ne la compte pas. Si sa destruction n'était pas prévue, c'est le seul dégât non porté au débit, et c'est là que se loge le « quelque chose de pourri » du repère 54. Si elle était visée, le personnage devient une prédatrice en série et le repère 52 s'effondre.</w:t>
      </w:r>
    </w:p>
    <w:p>
      <w:pPr>
        <w:spacing w:after="80"/>
        <w:ind w:left="482" w:hanging="482"/>
        <w:jc w:val="both"/>
      </w:pPr>
      <w:r>
        <w:rPr>
          <w:b w:val="0"/>
        </w:rPr>
        <w:t>3.</w:t>
        <w:tab/>
      </w:r>
      <w:r>
        <w:rPr>
          <w:b/>
          <w:i w:val="0"/>
        </w:rPr>
        <w:t>Ce que Maddie exige aux ch. 22-23.</w:t>
      </w:r>
      <w:r>
        <w:rPr>
          <w:b w:val="0"/>
          <w:i w:val="0"/>
        </w:rPr>
        <w:t xml:space="preserve"> Le livre entier repose sur une transaction, et la transaction n'est pas écrite. Il faut une demande concrète, exécutable, et assez petite pour être obscène.</w:t>
      </w:r>
    </w:p>
    <w:p>
      <w:pPr>
        <w:spacing w:after="80"/>
        <w:ind w:left="482" w:hanging="482"/>
        <w:jc w:val="both"/>
      </w:pPr>
      <w:r>
        <w:rPr>
          <w:b w:val="0"/>
        </w:rPr>
        <w:t>4.</w:t>
        <w:tab/>
      </w:r>
      <w:r>
        <w:rPr>
          <w:b/>
          <w:i w:val="0"/>
        </w:rPr>
        <w:t>Hélène : une scène ou une mention.</w:t>
      </w:r>
      <w:r>
        <w:rPr>
          <w:b w:val="0"/>
          <w:i w:val="0"/>
        </w:rPr>
        <w:t xml:space="preserve"> Une mère qu'on ne voit pas est une mère qu'on ne craint pas.</w:t>
      </w:r>
    </w:p>
    <w:p>
      <w:pPr>
        <w:pStyle w:val="Heading1"/>
      </w:pPr>
      <w:r>
        <w:t>7. Ce qu'une v7 doit contenir, dans l'ordre</w:t>
      </w:r>
    </w:p>
    <w:p>
      <w:pPr>
        <w:spacing w:after="80"/>
        <w:ind w:left="482" w:hanging="482"/>
        <w:jc w:val="both"/>
      </w:pPr>
      <w:r>
        <w:rPr>
          <w:b w:val="0"/>
        </w:rPr>
        <w:t>1.</w:t>
        <w:tab/>
      </w:r>
      <w:r>
        <w:rPr>
          <w:b/>
          <w:i w:val="0"/>
        </w:rPr>
        <w:t>Le temps et la position de narration</w:t>
      </w:r>
      <w:r>
        <w:rPr>
          <w:b w:val="0"/>
          <w:i w:val="0"/>
        </w:rPr>
        <w:t>, une ligne chacun, en tête de la section I.</w:t>
      </w:r>
    </w:p>
    <w:p>
      <w:pPr>
        <w:spacing w:after="80"/>
        <w:ind w:left="482" w:hanging="482"/>
        <w:jc w:val="both"/>
      </w:pPr>
      <w:r>
        <w:rPr>
          <w:b w:val="0"/>
        </w:rPr>
        <w:t>2.</w:t>
        <w:tab/>
      </w:r>
      <w:r>
        <w:rPr>
          <w:b/>
          <w:i w:val="0"/>
        </w:rPr>
        <w:t>La ligne de vie de Maddie, 19-27 ans</w:t>
      </w:r>
      <w:r>
        <w:rPr>
          <w:b w:val="0"/>
          <w:i w:val="0"/>
        </w:rPr>
        <w:t xml:space="preserve"> (une page). Ce qu'elle a fait pour manger, ce qu'elle a falsifié en premier, ce qu'elle doit encore, ce qu'elle a fait de son père. C'est la seule chose qui rende le registre A crédible.</w:t>
      </w:r>
    </w:p>
    <w:p>
      <w:pPr>
        <w:spacing w:after="80"/>
        <w:ind w:left="482" w:hanging="482"/>
        <w:jc w:val="both"/>
      </w:pPr>
      <w:r>
        <w:rPr>
          <w:b w:val="0"/>
        </w:rPr>
        <w:t>3.</w:t>
        <w:tab/>
      </w:r>
      <w:r>
        <w:rPr>
          <w:b/>
          <w:i w:val="0"/>
        </w:rPr>
        <w:t>Le mécanisme des trois pivots</w:t>
      </w:r>
      <w:r>
        <w:rPr>
          <w:b w:val="0"/>
          <w:i w:val="0"/>
        </w:rPr>
        <w:t xml:space="preserve"> : le contenu exact du faux CV et ce que Nora découvre au ch. 5 ; le protocole de publication par caviardage retenu en P2 ; la fiche de triage papier ; la demande de Maddie et son support matériel.</w:t>
      </w:r>
    </w:p>
    <w:p>
      <w:pPr>
        <w:spacing w:after="80"/>
        <w:ind w:left="482" w:hanging="482"/>
        <w:jc w:val="both"/>
      </w:pPr>
      <w:r>
        <w:rPr>
          <w:b w:val="0"/>
        </w:rPr>
        <w:t>4.</w:t>
        <w:tab/>
      </w:r>
      <w:r>
        <w:rPr>
          <w:b/>
          <w:i w:val="0"/>
        </w:rPr>
        <w:t>Une scène par compte</w:t>
      </w:r>
      <w:r>
        <w:rPr>
          <w:b w:val="0"/>
          <w:i w:val="0"/>
        </w:rPr>
        <w:t xml:space="preserve"> : Hélène, l'interne. Et un destin pour l'interne, décidé par l'autrice.</w:t>
      </w:r>
    </w:p>
    <w:p>
      <w:pPr>
        <w:spacing w:after="80"/>
        <w:ind w:left="482" w:hanging="482"/>
        <w:jc w:val="both"/>
      </w:pPr>
      <w:r>
        <w:rPr>
          <w:b w:val="0"/>
        </w:rPr>
        <w:t>5.</w:t>
        <w:tab/>
      </w:r>
      <w:r>
        <w:rPr>
          <w:b/>
          <w:i w:val="0"/>
        </w:rPr>
        <w:t>L'identité des personnages secondaires</w:t>
      </w:r>
      <w:r>
        <w:rPr>
          <w:b w:val="0"/>
          <w:i w:val="0"/>
        </w:rPr>
        <w:t xml:space="preserve"> : l'interne (nom, âge, service, état), Manon, Yanis Benali (âge fixe).</w:t>
      </w:r>
    </w:p>
    <w:p>
      <w:pPr>
        <w:spacing w:after="80"/>
        <w:ind w:left="482" w:hanging="482"/>
        <w:jc w:val="both"/>
      </w:pPr>
      <w:r>
        <w:rPr>
          <w:b w:val="0"/>
        </w:rPr>
        <w:t>6.</w:t>
        <w:tab/>
      </w:r>
      <w:r>
        <w:rPr>
          <w:b/>
          <w:i w:val="0"/>
        </w:rPr>
        <w:t>Les six scènes érotiques traduites en situations</w:t>
      </w:r>
      <w:r>
        <w:rPr>
          <w:b w:val="0"/>
          <w:i w:val="0"/>
        </w:rPr>
        <w:t xml:space="preserve"> : fonction vérifiable, six données matérielles, degré d'explicite, registre dominant. Sans aucun adjectif de température.</w:t>
      </w:r>
    </w:p>
    <w:p>
      <w:pPr>
        <w:spacing w:after="80"/>
        <w:ind w:left="482" w:hanging="482"/>
        <w:jc w:val="both"/>
      </w:pPr>
      <w:r>
        <w:rPr>
          <w:b w:val="0"/>
        </w:rPr>
        <w:t>7.</w:t>
        <w:tab/>
      </w:r>
      <w:r>
        <w:rPr>
          <w:b/>
          <w:i w:val="0"/>
        </w:rPr>
        <w:t>La fin</w:t>
      </w:r>
      <w:r>
        <w:rPr>
          <w:b w:val="0"/>
          <w:i w:val="0"/>
        </w:rPr>
        <w:t xml:space="preserve"> : statut des trois adjectifs du ch. 30 (« victoire totale, stérile, gelée » — ce que Maddie croit, ou ce que le livre affirme ?) et </w:t>
      </w:r>
      <w:r>
        <w:rPr>
          <w:b/>
          <w:i w:val="0"/>
        </w:rPr>
        <w:t>une dernière image ordinaire</w:t>
      </w:r>
      <w:r>
        <w:rPr>
          <w:b w:val="0"/>
          <w:i w:val="0"/>
        </w:rPr>
        <w:t>, plantée dès le ch. 1. Le dossier fournit déjà l'objet : la cafetière inox de l'inventaire du studio.</w:t>
      </w:r>
    </w:p>
    <w:p>
      <w:pPr>
        <w:spacing w:after="80"/>
        <w:ind w:left="482" w:hanging="482"/>
        <w:jc w:val="both"/>
      </w:pPr>
      <w:r>
        <w:rPr>
          <w:b w:val="0"/>
        </w:rPr>
        <w:t>8.</w:t>
        <w:tab/>
      </w:r>
      <w:r>
        <w:rPr>
          <w:b/>
          <w:i w:val="0"/>
        </w:rPr>
        <w:t>L'appareil</w:t>
      </w:r>
      <w:r>
        <w:rPr>
          <w:b w:val="0"/>
          <w:i w:val="0"/>
        </w:rPr>
        <w:t xml:space="preserve"> : une légende des statuts (« Verrouillé » / « En cours » / « établi non écrit »), un journal des versions, et deux fiches d'institution d'une page — </w:t>
      </w:r>
      <w:r>
        <w:rPr>
          <w:b w:val="0"/>
          <w:i/>
        </w:rPr>
        <w:t>L'Écho du Rhône</w:t>
      </w:r>
      <w:r>
        <w:rPr>
          <w:b w:val="0"/>
          <w:i w:val="0"/>
        </w:rPr>
        <w:t xml:space="preserve"> et les urgences d'Édouard-Herriot. Une institution fictive doit être plus documentée qu'une institution réelle.</w:t>
      </w:r>
    </w:p>
    <w:p>
      <w:pPr>
        <w:spacing w:after="80"/>
        <w:ind w:left="482" w:hanging="482"/>
        <w:jc w:val="both"/>
      </w:pPr>
      <w:r>
        <w:rPr>
          <w:b w:val="0"/>
        </w:rPr>
        <w:t>9.</w:t>
        <w:tab/>
      </w:r>
      <w:r>
        <w:rPr>
          <w:b/>
          <w:i w:val="0"/>
        </w:rPr>
        <w:t>La relecture de la charte contre la bible, et réciproquement.</w:t>
      </w:r>
      <w:r>
        <w:rPr>
          <w:b w:val="0"/>
          <w:i w:val="0"/>
        </w:rPr>
        <w:t xml:space="preserve"> La charte elle-même appelle une v1.1 sur quatre points : séparer les repères 1-49 (défauts de prose) des repères 50-54 (exigences de scène et de fin), arbitrer trois doublons (« crucial » aux repères 8 et 26 ; la virgule devant « et » aux repères 29 et 35 ; la règle de trois aux repères 11 et 20), et ajouter trois critères </w:t>
      </w:r>
      <w:r>
        <w:rPr>
          <w:b/>
          <w:i w:val="0"/>
        </w:rPr>
        <w:t>positifs</w:t>
      </w:r>
      <w:r>
        <w:rPr>
          <w:b w:val="0"/>
          <w:i w:val="0"/>
        </w:rPr>
        <w:t>, faute de quoi l'audit ne saura que retirer.</w:t>
      </w:r>
    </w:p>
    <w:p>
      <w:pPr>
        <w:pStyle w:val="Heading1"/>
      </w:pPr>
      <w:r>
        <w:t>8. Objection prévisible, et réponse</w:t>
      </w:r>
    </w:p>
    <w:p>
      <w:pPr>
        <w:jc w:val="both"/>
      </w:pPr>
      <w:r>
        <w:rPr>
          <w:b/>
          <w:i w:val="0"/>
        </w:rPr>
        <w:t>« Une bible fixe la direction, pas les mécanismes. »</w:t>
      </w:r>
      <w:r>
        <w:rPr>
          <w:b w:val="0"/>
          <w:i w:val="0"/>
        </w:rPr>
        <w:t xml:space="preserve"> C'est vrai en général, et c'est faux ici, pour une raison précise : trois pivots de ce roman sont des dispositifs techniques — un faux, une fuite, une preuve. Sur un roman de mœurs, une direction ouverte suffit. Sur un noir, un faux impossible ne se rattrape pas à l'écriture : il s'entend à la lecture, et il emporte avec lui la crédibilité de tout le reste. La direction peut rester ouverte ; le mécanisme, non.</w:t>
      </w:r>
    </w:p>
    <w:p>
      <w:pPr>
        <w:jc w:val="both"/>
      </w:pPr>
      <w:r>
        <w:rPr>
          <w:b/>
          <w:i w:val="0"/>
        </w:rPr>
        <w:t>« La charte ne s'applique pas aux documents de travail. »</w:t>
      </w:r>
      <w:r>
        <w:rPr>
          <w:b w:val="0"/>
          <w:i w:val="0"/>
        </w:rPr>
        <w:t xml:space="preserve"> Exact, et sans effet sur le problème. La question n'est pas ce que la bible a le droit d'écrire, c'est ce qu'elle laisse à écrire. Un brief qui dit « fiévreuse et violente » ne transmet pas une intention : il transmet une température, et l'écrivain devra inventer la scène pour obéir à cette température.</w:t>
      </w:r>
    </w:p>
    <w:p>
      <w:pPr>
        <w:pStyle w:val="Heading1"/>
      </w:pPr>
      <w:r>
        <w:t>9. En résumé</w:t>
      </w:r>
    </w:p>
    <w:p>
      <w:pPr>
        <w:jc w:val="both"/>
      </w:pPr>
      <w:r>
        <w:rPr>
          <w:b w:val="0"/>
          <w:i w:val="0"/>
        </w:rPr>
        <w:t xml:space="preserve">Rien dans cette note ne met en cause la direction du roman. Tout met en cause sa </w:t>
      </w:r>
      <w:r>
        <w:rPr>
          <w:b/>
          <w:i w:val="0"/>
        </w:rPr>
        <w:t>faisabilité</w:t>
      </w:r>
      <w:r>
        <w:rPr>
          <w:b w:val="0"/>
          <w:i w:val="0"/>
        </w:rPr>
        <w:t>. La bible n'a pas à être refaite : elle a à être achevée, d'un étage. Les quatre points à préserver sont identifiés au § 2 ; les six contradictions au § 4 ; les quatre impossibilités au § 5. Une v7 qui exécute les neuf points du § 7 rend le manuscrit écrivable sans toucher à ce que le projet a de meilleur.</w:t>
      </w:r>
    </w:p>
    <w:p>
      <w:pPr>
        <w:jc w:val="both"/>
      </w:pPr>
      <w:r>
        <w:rPr>
          <w:b w:val="0"/>
          <w:i w:val="0"/>
        </w:rPr>
        <w:t>Je reste à disposition pour fournir, à la demande de l'autrice, la traduction détaillée des six scènes et le relevé de continuité (identités, chronologie, argent, lieux, objets) qui doit accompagner la v7.</w:t>
      </w:r>
    </w:p>
    <w:sectPr w:rsidR="00FC693F" w:rsidRPr="0006063C" w:rsidSect="00034616">
      <w:footerReference w:type="default" r:id="rId9"/>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17"/>
      </w:rPr>
      <w:fldChar w:fldCharType="begin"/>
      <w:fldChar w:fldCharType="PAG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mbria" w:hAnsi="Cambria"/>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sur la Bible de projet v6.0</dc:title>
  <dc:subject>CE QUE JE TE DOIS</dc:subject>
  <dc:creator>Note éditoriale</dc:creator>
  <cp:keywords/>
  <dc:description>Document de travail établi à la demande de l'autrice.</dc:description>
  <cp:lastModifiedBy/>
  <cp:revision>1</cp:revision>
  <dcterms:created xsi:type="dcterms:W3CDTF">2013-12-23T23:15:00Z</dcterms:created>
  <dcterms:modified xsi:type="dcterms:W3CDTF">2013-12-23T23:15:00Z</dcterms:modified>
  <cp:category/>
</cp:coreProperties>
</file>