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STYLE GUIDE</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EDITING</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[G1-A] TELL THE STORY</w:t>
              </w:r>
            </w:hyperlink>
          </w:p>
          <w:p>
            <w:pPr>
              <w:spacing w:before="80" w:after="30" w:line="240" w:lineRule="auto"/>
              <w:ind w:left="173"/>
            </w:pPr>
            <w:hyperlink w:anchor="_bkp_toc_2">
              <w:r>
                <w:rPr>
                  <w:rFonts w:ascii="Arial Black" w:hAnsi="Arial Black" w:cs="Arial Black" w:eastAsia="Arial Black"/>
                  <w:b/>
                  <w:color w:val="A0A0A0"/>
                  <w:sz w:val="22"/>
                </w:rPr>
                <w:t xml:space="preserve">[G1-B] HOUSE ESSENTIALS</w:t>
              </w:r>
            </w:hyperlink>
          </w:p>
          <w:p>
            <w:pPr>
              <w:spacing w:before="80" w:after="30" w:line="240" w:lineRule="auto"/>
              <w:ind w:left="173"/>
            </w:pPr>
            <w:hyperlink w:anchor="_bkp_toc_3">
              <w:r>
                <w:rPr>
                  <w:rFonts w:ascii="Arial Black" w:hAnsi="Arial Black" w:cs="Arial Black" w:eastAsia="Arial Black"/>
                  <w:b/>
                  <w:color w:val="A0A0A0"/>
                  <w:sz w:val="22"/>
                </w:rPr>
                <w:t xml:space="preserve">[G1-C] WORKFLOW</w:t>
              </w:r>
            </w:hyperlink>
          </w:p>
          <w:p>
            <w:pPr>
              <w:spacing w:before="60" w:after="20" w:line="240" w:lineRule="auto"/>
              <w:ind w:left="346"/>
            </w:pPr>
            <w:hyperlink w:anchor="_bkp_toc_4">
              <w:r>
                <w:rPr>
                  <w:rFonts w:ascii="Arial Black" w:hAnsi="Arial Black" w:cs="Arial Black" w:eastAsia="Arial Black"/>
                  <w:b/>
                  <w:color w:val="555555"/>
                  <w:sz w:val="19"/>
                </w:rPr>
                <w:t xml:space="preserve">[G1-C1] NO FIT SUPPLIED</w:t>
              </w:r>
            </w:hyperlink>
          </w:p>
          <w:p>
            <w:pPr>
              <w:spacing w:before="60" w:after="20" w:line="240" w:lineRule="auto"/>
              <w:ind w:left="346"/>
            </w:pPr>
            <w:hyperlink w:anchor="_bkp_toc_5">
              <w:r>
                <w:rPr>
                  <w:rFonts w:ascii="Arial Black" w:hAnsi="Arial Black" w:cs="Arial Black" w:eastAsia="Arial Black"/>
                  <w:b/>
                  <w:color w:val="555555"/>
                  <w:sz w:val="19"/>
                </w:rPr>
                <w:t xml:space="preserve">[G1-C2] FIT SUPPLIED</w:t>
              </w:r>
            </w:hyperlink>
          </w:p>
          <w:p>
            <w:pPr>
              <w:spacing w:before="80" w:after="30" w:line="240" w:lineRule="auto"/>
              <w:ind w:left="173"/>
            </w:pPr>
            <w:hyperlink w:anchor="_bkp_toc_6">
              <w:r>
                <w:rPr>
                  <w:rFonts w:ascii="Arial Black" w:hAnsi="Arial Black" w:cs="Arial Black" w:eastAsia="Arial Black"/>
                  <w:b/>
                  <w:color w:val="A0A0A0"/>
                  <w:sz w:val="22"/>
                </w:rPr>
                <w:t xml:space="preserve">[G1-D] RETURN</w:t>
              </w:r>
            </w:hyperlink>
          </w:p>
          <w:p>
            <w:pPr>
              <w:spacing w:before="60" w:after="20" w:line="240" w:lineRule="auto"/>
              <w:ind w:left="346"/>
            </w:pPr>
            <w:hyperlink w:anchor="_bkp_toc_7">
              <w:r>
                <w:rPr>
                  <w:rFonts w:ascii="Arial Black" w:hAnsi="Arial Black" w:cs="Arial Black" w:eastAsia="Arial Black"/>
                  <w:b/>
                  <w:color w:val="555555"/>
                  <w:sz w:val="19"/>
                </w:rPr>
                <w:t xml:space="preserve">[G1-D1] EDIT</w:t>
              </w:r>
            </w:hyperlink>
          </w:p>
          <w:p>
            <w:pPr>
              <w:spacing w:before="60" w:after="20" w:line="240" w:lineRule="auto"/>
              <w:ind w:left="346"/>
            </w:pPr>
            <w:hyperlink w:anchor="_bkp_toc_8">
              <w:r>
                <w:rPr>
                  <w:rFonts w:ascii="Arial Black" w:hAnsi="Arial Black" w:cs="Arial Black" w:eastAsia="Arial Black"/>
                  <w:b/>
                  <w:color w:val="555555"/>
                  <w:sz w:val="19"/>
                </w:rPr>
                <w:t xml:space="preserve">[G1-D2] STYLE LOG</w:t>
              </w:r>
            </w:hyperlink>
          </w:p>
          <w:p>
            <w:pPr>
              <w:spacing w:before="60" w:after="20" w:line="240" w:lineRule="auto"/>
              <w:ind w:left="346"/>
            </w:pPr>
            <w:hyperlink w:anchor="_bkp_toc_9">
              <w:r>
                <w:rPr>
                  <w:rFonts w:ascii="Arial Black" w:hAnsi="Arial Black" w:cs="Arial Black" w:eastAsia="Arial Black"/>
                  <w:b/>
                  <w:color w:val="555555"/>
                  <w:sz w:val="19"/>
                </w:rPr>
                <w:t xml:space="preserve">[G1-D3] EXAMPLE</w:t>
              </w:r>
            </w:hyperlink>
          </w:p>
          <w:p>
            <w:pPr>
              <w:spacing w:before="140" w:after="60" w:line="240" w:lineRule="auto"/>
              <w:ind w:left="0"/>
            </w:pPr>
            <w:hyperlink w:anchor="_bkp_toc_10">
              <w:r>
                <w:rPr>
                  <w:rFonts w:ascii="Arial Black" w:hAnsi="Arial Black" w:cs="Arial Black" w:eastAsia="Arial Black"/>
                  <w:b/>
                  <w:color w:val="000000"/>
                  <w:sz w:val="30"/>
                </w:rPr>
                <w:t xml:space="preserve">[P] PROCESSES</w:t>
              </w:r>
            </w:hyperlink>
          </w:p>
          <w:p>
            <w:pPr>
              <w:spacing w:before="80" w:after="30" w:line="240" w:lineRule="auto"/>
              <w:ind w:left="173"/>
            </w:pPr>
            <w:hyperlink w:anchor="_bkp_toc_11">
              <w:r>
                <w:rPr>
                  <w:rFonts w:ascii="Arial Black" w:hAnsi="Arial Black" w:cs="Arial Black" w:eastAsia="Arial Black"/>
                  <w:b/>
                  <w:color w:val="A0A0A0"/>
                  <w:sz w:val="22"/>
                </w:rPr>
                <w:t xml:space="preserve">[P1] COPY</w:t>
              </w:r>
            </w:hyperlink>
          </w:p>
          <w:p>
            <w:pPr>
              <w:spacing w:before="60" w:after="20" w:line="240" w:lineRule="auto"/>
              <w:ind w:left="346"/>
            </w:pPr>
            <w:hyperlink w:anchor="_bkp_toc_12">
              <w:r>
                <w:rPr>
                  <w:rFonts w:ascii="Arial Black" w:hAnsi="Arial Black" w:cs="Arial Black" w:eastAsia="Arial Black"/>
                  <w:b/>
                  <w:color w:val="555555"/>
                  <w:sz w:val="19"/>
                </w:rPr>
                <w:t xml:space="preserve">[P1-A] HEADS AND DECKS</w:t>
              </w:r>
            </w:hyperlink>
          </w:p>
          <w:p>
            <w:pPr>
              <w:spacing w:before="60" w:after="20" w:line="240" w:lineRule="auto"/>
              <w:ind w:left="346"/>
            </w:pPr>
            <w:hyperlink w:anchor="_bkp_toc_13">
              <w:r>
                <w:rPr>
                  <w:rFonts w:ascii="Arial Black" w:hAnsi="Arial Black" w:cs="Arial Black" w:eastAsia="Arial Black"/>
                  <w:b/>
                  <w:color w:val="555555"/>
                  <w:sz w:val="19"/>
                </w:rPr>
                <w:t xml:space="preserve">[P1-B] BODY</w:t>
              </w:r>
            </w:hyperlink>
          </w:p>
          <w:p>
            <w:pPr>
              <w:spacing w:before="80" w:after="30" w:line="240" w:lineRule="auto"/>
              <w:ind w:left="173"/>
            </w:pPr>
            <w:hyperlink w:anchor="_bkp_toc_14">
              <w:r>
                <w:rPr>
                  <w:rFonts w:ascii="Arial Black" w:hAnsi="Arial Black" w:cs="Arial Black" w:eastAsia="Arial Black"/>
                  <w:b/>
                  <w:color w:val="A0A0A0"/>
                  <w:sz w:val="22"/>
                </w:rPr>
                <w:t xml:space="preserve">[P2] VERIFICATION</w:t>
              </w:r>
            </w:hyperlink>
          </w:p>
          <w:p>
            <w:pPr>
              <w:spacing w:before="80" w:after="30" w:line="240" w:lineRule="auto"/>
              <w:ind w:left="173"/>
            </w:pPr>
            <w:hyperlink w:anchor="_bkp_toc_15">
              <w:r>
                <w:rPr>
                  <w:rFonts w:ascii="Arial Black" w:hAnsi="Arial Black" w:cs="Arial Black" w:eastAsia="Arial Black"/>
                  <w:b/>
                  <w:color w:val="A0A0A0"/>
                  <w:sz w:val="22"/>
                </w:rPr>
                <w:t xml:space="preserve">[P3] PHOTOS</w:t>
              </w:r>
            </w:hyperlink>
          </w:p>
          <w:p>
            <w:pPr>
              <w:spacing w:before="60" w:after="20" w:line="240" w:lineRule="auto"/>
              <w:ind w:left="346"/>
            </w:pPr>
            <w:hyperlink w:anchor="_bkp_toc_16">
              <w:r>
                <w:rPr>
                  <w:rFonts w:ascii="Arial Black" w:hAnsi="Arial Black" w:cs="Arial Black" w:eastAsia="Arial Black"/>
                  <w:b/>
                  <w:color w:val="555555"/>
                  <w:sz w:val="19"/>
                </w:rPr>
                <w:t xml:space="preserve">CAPTIONS</w:t>
              </w:r>
            </w:hyperlink>
          </w:p>
          <w:p>
            <w:pPr>
              <w:spacing w:before="60" w:after="20" w:line="240" w:lineRule="auto"/>
              <w:ind w:left="346"/>
            </w:pPr>
            <w:hyperlink w:anchor="_bkp_toc_17">
              <w:r>
                <w:rPr>
                  <w:rFonts w:ascii="Arial Black" w:hAnsi="Arial Black" w:cs="Arial Black" w:eastAsia="Arial Black"/>
                  <w:b/>
                  <w:color w:val="555555"/>
                  <w:sz w:val="19"/>
                </w:rPr>
                <w:t xml:space="preserve">MUGSHOTS</w:t>
              </w:r>
            </w:hyperlink>
          </w:p>
          <w:p>
            <w:pPr>
              <w:spacing w:before="80" w:after="30" w:line="240" w:lineRule="auto"/>
              <w:ind w:left="173"/>
            </w:pPr>
            <w:hyperlink w:anchor="_bkp_toc_18">
              <w:r>
                <w:rPr>
                  <w:rFonts w:ascii="Arial Black" w:hAnsi="Arial Black" w:cs="Arial Black" w:eastAsia="Arial Black"/>
                  <w:b/>
                  <w:color w:val="A0A0A0"/>
                  <w:sz w:val="22"/>
                </w:rPr>
                <w:t xml:space="preserve">[P4] CHECKING</w:t>
              </w:r>
            </w:hyperlink>
          </w:p>
          <w:p>
            <w:pPr>
              <w:spacing w:before="80" w:after="30" w:line="240" w:lineRule="auto"/>
              <w:ind w:left="173"/>
            </w:pPr>
            <w:hyperlink w:anchor="_bkp_toc_19">
              <w:r>
                <w:rPr>
                  <w:rFonts w:ascii="Arial Black" w:hAnsi="Arial Black" w:cs="Arial Black" w:eastAsia="Arial Black"/>
                  <w:b/>
                  <w:color w:val="A0A0A0"/>
                  <w:sz w:val="22"/>
                </w:rPr>
                <w:t xml:space="preserve">[P5] 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0">
              <w:r>
                <w:rPr>
                  <w:rFonts w:ascii="Arial Black" w:hAnsi="Arial Black" w:cs="Arial Black" w:eastAsia="Arial Black"/>
                  <w:b/>
                  <w:color w:val="000000"/>
                  <w:sz w:val="32"/>
                </w:rPr>
                <w:t xml:space="preserve">STATUS</w:t>
              </w:r>
            </w:hyperlink>
          </w:p>
          <w:p>
            <w:pPr>
              <w:spacing w:before="100" w:after="40" w:line="240" w:lineRule="auto"/>
              <w:ind w:left="173"/>
            </w:pPr>
            <w:hyperlink w:anchor="_bkp_toc_21">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22">
              <w:r>
                <w:rPr>
                  <w:rFonts w:ascii="Arial Black" w:hAnsi="Arial Black" w:cs="Arial Black" w:eastAsia="Arial Black"/>
                  <w:b/>
                  <w:color w:val="A0A0A0"/>
                  <w:sz w:val="24"/>
                </w:rPr>
                <w:t xml:space="preserve">SECOND TIER</w:t>
              </w:r>
            </w:hyperlink>
          </w:p>
          <w:p>
            <w:pPr>
              <w:spacing w:before="100" w:after="40" w:line="240" w:lineRule="auto"/>
              <w:ind w:left="173"/>
            </w:pPr>
            <w:hyperlink w:anchor="_bkp_toc_23">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24">
              <w:r>
                <w:rPr>
                  <w:rFonts w:ascii="Arial Black" w:hAnsi="Arial Black" w:cs="Arial Black" w:eastAsia="Arial Black"/>
                  <w:b/>
                  <w:color w:val="000000"/>
                  <w:sz w:val="32"/>
                </w:rPr>
                <w:t xml:space="preserve">REFS</w:t>
              </w:r>
            </w:hyperlink>
          </w:p>
          <w:p>
            <w:pPr>
              <w:spacing w:before="100" w:after="40" w:line="240" w:lineRule="auto"/>
              <w:ind w:left="173"/>
            </w:pPr>
            <w:hyperlink w:anchor="_bkp_toc_25">
              <w:r>
                <w:rPr>
                  <w:rFonts w:ascii="Arial Black" w:hAnsi="Arial Black" w:cs="Arial Black" w:eastAsia="Arial Black"/>
                  <w:b/>
                  <w:color w:val="A0A0A0"/>
                  <w:sz w:val="24"/>
                </w:rPr>
                <w:t xml:space="preserve">NUMBERS</w:t>
              </w:r>
            </w:hyperlink>
          </w:p>
          <w:p>
            <w:pPr>
              <w:spacing w:before="100" w:after="40" w:line="240" w:lineRule="auto"/>
              <w:ind w:left="173"/>
            </w:pPr>
            <w:hyperlink w:anchor="_bkp_toc_26">
              <w:r>
                <w:rPr>
                  <w:rFonts w:ascii="Arial Black" w:hAnsi="Arial Black" w:cs="Arial Black" w:eastAsia="Arial Black"/>
                  <w:b/>
                  <w:color w:val="A0A0A0"/>
                  <w:sz w:val="24"/>
                </w:rPr>
                <w:t xml:space="preserve">TIMES</w:t>
              </w:r>
            </w:hyperlink>
          </w:p>
          <w:p>
            <w:pPr>
              <w:spacing w:before="100" w:after="40" w:line="240" w:lineRule="auto"/>
              <w:ind w:left="173"/>
            </w:pPr>
            <w:hyperlink w:anchor="_bkp_toc_27">
              <w:r>
                <w:rPr>
                  <w:rFonts w:ascii="Arial Black" w:hAnsi="Arial Black" w:cs="Arial Black" w:eastAsia="Arial Black"/>
                  <w:b/>
                  <w:color w:val="A0A0A0"/>
                  <w:sz w:val="24"/>
                </w:rPr>
                <w:t xml:space="preserve">DATES</w:t>
              </w:r>
            </w:hyperlink>
          </w:p>
          <w:p>
            <w:pPr>
              <w:spacing w:before="100" w:after="40" w:line="240" w:lineRule="auto"/>
              <w:ind w:left="173"/>
            </w:pPr>
            <w:hyperlink w:anchor="_bkp_toc_28">
              <w:r>
                <w:rPr>
                  <w:rFonts w:ascii="Arial Black" w:hAnsi="Arial Black" w:cs="Arial Black" w:eastAsia="Arial Black"/>
                  <w:b/>
                  <w:color w:val="A0A0A0"/>
                  <w:sz w:val="24"/>
                </w:rPr>
                <w:t xml:space="preserve">DATELINES</w:t>
              </w:r>
            </w:hyperlink>
          </w:p>
          <w:p>
            <w:pPr>
              <w:spacing w:before="100" w:after="40" w:line="240" w:lineRule="auto"/>
              <w:ind w:left="173"/>
            </w:pPr>
            <w:hyperlink w:anchor="_bkp_toc_29">
              <w:r>
                <w:rPr>
                  <w:rFonts w:ascii="Arial Black" w:hAnsi="Arial Black" w:cs="Arial Black" w:eastAsia="Arial Black"/>
                  <w:b/>
                  <w:color w:val="A0A0A0"/>
                  <w:sz w:val="24"/>
                </w:rPr>
                <w:t xml:space="preserve">CURRENCY</w:t>
              </w:r>
            </w:hyperlink>
          </w:p>
          <w:p>
            <w:pPr>
              <w:spacing w:before="100" w:after="40" w:line="240" w:lineRule="auto"/>
              <w:ind w:left="173"/>
            </w:pPr>
            <w:hyperlink w:anchor="_bkp_toc_30">
              <w:r>
                <w:rPr>
                  <w:rFonts w:ascii="Arial Black" w:hAnsi="Arial Black" w:cs="Arial Black" w:eastAsia="Arial Black"/>
                  <w:b/>
                  <w:color w:val="A0A0A0"/>
                  <w:sz w:val="24"/>
                </w:rPr>
                <w:t xml:space="preserve">MEASUREMENTS</w:t>
              </w:r>
            </w:hyperlink>
          </w:p>
          <w:p>
            <w:pPr>
              <w:spacing w:before="100" w:after="40" w:line="240" w:lineRule="auto"/>
              <w:ind w:left="173"/>
            </w:pPr>
            <w:hyperlink w:anchor="_bkp_toc_31">
              <w:r>
                <w:rPr>
                  <w:rFonts w:ascii="Arial Black" w:hAnsi="Arial Black" w:cs="Arial Black" w:eastAsia="Arial Black"/>
                  <w:b/>
                  <w:color w:val="A0A0A0"/>
                  <w:sz w:val="24"/>
                </w:rPr>
                <w:t xml:space="preserve">NAMES &amp; HONORIFICS</w:t>
              </w:r>
            </w:hyperlink>
          </w:p>
          <w:p>
            <w:pPr>
              <w:spacing w:before="100" w:after="40" w:line="240" w:lineRule="auto"/>
              <w:ind w:left="173"/>
            </w:pPr>
            <w:hyperlink w:anchor="_bkp_toc_32">
              <w:r>
                <w:rPr>
                  <w:rFonts w:ascii="Arial Black" w:hAnsi="Arial Black" w:cs="Arial Black" w:eastAsia="Arial Black"/>
                  <w:b/>
                  <w:color w:val="A0A0A0"/>
                  <w:sz w:val="24"/>
                </w:rPr>
                <w:t xml:space="preserve">ACRONYMS</w:t>
              </w:r>
            </w:hyperlink>
          </w:p>
          <w:p>
            <w:pPr>
              <w:spacing w:before="100" w:after="40" w:line="240" w:lineRule="auto"/>
              <w:ind w:left="173"/>
            </w:pPr>
            <w:hyperlink w:anchor="_bkp_toc_33">
              <w:r>
                <w:rPr>
                  <w:rFonts w:ascii="Arial Black" w:hAnsi="Arial Black" w:cs="Arial Black" w:eastAsia="Arial Black"/>
                  <w:b/>
                  <w:color w:val="A0A0A0"/>
                  <w:sz w:val="24"/>
                </w:rPr>
                <w:t xml:space="preserve">HEADLINE COUNTRY FORMS</w:t>
              </w:r>
            </w:hyperlink>
          </w:p>
          <w:p>
            <w:pPr>
              <w:spacing w:before="100" w:after="40" w:line="240" w:lineRule="auto"/>
              <w:ind w:left="173"/>
            </w:pPr>
            <w:hyperlink w:anchor="_bkp_toc_34">
              <w:r>
                <w:rPr>
                  <w:rFonts w:ascii="Arial Black" w:hAnsi="Arial Black" w:cs="Arial Black" w:eastAsia="Arial Black"/>
                  <w:b/>
                  <w:color w:val="A0A0A0"/>
                  <w:sz w:val="24"/>
                </w:rPr>
                <w:t xml:space="preserve">TITLE STYLING</w:t>
              </w:r>
            </w:hyperlink>
          </w:p>
          <w:p>
            <w:pPr>
              <w:spacing w:before="100" w:after="40" w:line="240" w:lineRule="auto"/>
              <w:ind w:left="173"/>
            </w:pPr>
            <w:hyperlink w:anchor="_bkp_toc_35">
              <w:r>
                <w:rPr>
                  <w:rFonts w:ascii="Arial Black" w:hAnsi="Arial Black" w:cs="Arial Black" w:eastAsia="Arial Black"/>
                  <w:b/>
                  <w:color w:val="A0A0A0"/>
                  <w:sz w:val="24"/>
                </w:rPr>
                <w:t xml:space="preserve">LANGUAGE FORMS</w:t>
              </w:r>
            </w:hyperlink>
          </w:p>
          <w:p>
            <w:pPr>
              <w:spacing w:before="100" w:after="40" w:line="240" w:lineRule="auto"/>
              <w:ind w:left="173"/>
            </w:pPr>
            <w:hyperlink w:anchor="_bkp_toc_36">
              <w:r>
                <w:rPr>
                  <w:rFonts w:ascii="Arial Black" w:hAnsi="Arial Black" w:cs="Arial Black" w:eastAsia="Arial Black"/>
                  <w:b/>
                  <w:color w:val="A0A0A0"/>
                  <w:sz w:val="24"/>
                </w:rPr>
                <w:t xml:space="preserve">COUNTRIES</w:t>
              </w:r>
            </w:hyperlink>
          </w:p>
          <w:p>
            <w:pPr>
              <w:spacing w:before="100" w:after="40" w:line="240" w:lineRule="auto"/>
              <w:ind w:left="173"/>
            </w:pPr>
            <w:hyperlink w:anchor="_bkp_toc_37">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38">
              <w:r>
                <w:rPr>
                  <w:rFonts w:ascii="Arial Black" w:hAnsi="Arial Black" w:cs="Arial Black" w:eastAsia="Arial Black"/>
                  <w:b/>
                  <w:color w:val="A0A0A0"/>
                  <w:sz w:val="24"/>
                </w:rPr>
                <w:t xml:space="preserve">THAI PLACES</w:t>
              </w:r>
            </w:hyperlink>
          </w:p>
          <w:p>
            <w:pPr>
              <w:spacing w:before="100" w:after="40" w:line="240" w:lineRule="auto"/>
              <w:ind w:left="173"/>
            </w:pPr>
            <w:hyperlink w:anchor="_bkp_toc_39">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0">
              <w:r>
                <w:rPr>
                  <w:rFonts w:ascii="Arial Black" w:hAnsi="Arial Black" w:cs="Arial Black" w:eastAsia="Arial Black"/>
                  <w:b/>
                  <w:color w:val="A0A0A0"/>
                  <w:sz w:val="24"/>
                </w:rPr>
                <w:t xml:space="preserve">VOCABULARY &amp; SPELLING</w:t>
              </w:r>
            </w:hyperlink>
          </w:p>
        </w:tc>
      </w:tr>
    </w:tbl>
    <w:p>
      <w:pPr>
        <w:sectPr>
          <w:headerReference w:type="default" r:id="rId6"/>
          <w:headerReference w:type="even" r:id="rId7"/>
          <w:footerReference w:type="default" r:id="rId8"/>
          <w:footerReference w:type="even" r:id="rId9"/>
          <w:headerReference w:type="first" r:id="rId10"/>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[G1] EDITING</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p>
    <w:p>
      <w:pP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p>
    <w:p>
      <w:pP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pPr>
      <w:r>
        <w:rPr>
          <w:b w:val="0"/>
          <w:i w:val="0"/>
        </w:rPr>
        <w:t>[G1-A]</w:t>
      </w:r>
      <w:r>
        <w:t xml:space="preserve"> </w:t>
      </w:r>
      <w:r>
        <w:rPr>
          <w:b w:val="0"/>
          <w:i w:val="0"/>
        </w:rPr>
        <w:t>TELL</w:t>
      </w:r>
      <w:r>
        <w:t xml:space="preserve"> </w:t>
      </w:r>
      <w:r>
        <w:rPr>
          <w:b w:val="0"/>
          <w:i w:val="0"/>
        </w:rPr>
        <w:t>THE</w:t>
      </w:r>
      <w:r>
        <w:t xml:space="preserve"> </w:t>
      </w:r>
      <w:r>
        <w:rPr>
          <w:b w:val="0"/>
          <w:i w:val="0"/>
        </w:rPr>
        <w:t>STORY</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p>
    <w:p>
      <w:pP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p>
    <w:p>
      <w:pP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p>
    <w:p>
      <w:pP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p>
    <w:p>
      <w:pP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p>
    <w:p>
      <w:pP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p>
    <w:p>
      <w:pP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p>
    <w:p>
      <w:pP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p>
    <w:p>
      <w:pP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p>
    <w:p>
      <w:pP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pPr>
      <w:r>
        <w:rPr>
          <w:b w:val="0"/>
          <w:i w:val="0"/>
        </w:rPr>
        <w:t>[G1-B]</w:t>
      </w:r>
      <w:r>
        <w:t xml:space="preserve"> </w:t>
      </w:r>
      <w:r>
        <w:rPr>
          <w:b w:val="0"/>
          <w:i w:val="0"/>
        </w:rPr>
        <w:t>HOUSE</w:t>
      </w:r>
      <w:r>
        <w:t xml:space="preserve"> </w:t>
      </w:r>
      <w:r>
        <w:rPr>
          <w:b w:val="0"/>
          <w:i w:val="0"/>
        </w:rPr>
        <w:t>ESSENTIALS</w:t>
      </w:r>
      <w:bookmarkEnd w:id="9002"/>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p>
    <w:p>
      <w:pP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pPr>
      <w:r>
        <w:rPr>
          <w:b w:val="0"/>
          <w:i w:val="0"/>
        </w:rPr>
        <w:t>[G1-C]</w:t>
      </w:r>
      <w:r>
        <w:t xml:space="preserve"> </w:t>
      </w:r>
      <w:r>
        <w:rPr>
          <w:b w:val="0"/>
          <w:i w:val="0"/>
        </w:rPr>
        <w:t>WORKFLOW</w:t>
      </w:r>
      <w:bookmarkEnd w:id="9003"/>
    </w:p>
    <w:p>
      <w:bookmarkStart w:id="9004" w:name="_bkp_toc_4"/>
      <w:pPr>
        <w:pStyle w:val="Heading3"/>
      </w:pPr>
      <w:r>
        <w:rPr>
          <w:b w:val="0"/>
          <w:i w:val="0"/>
        </w:rPr>
        <w:t>[G1-C1]</w:t>
      </w:r>
      <w:r>
        <w:t xml:space="preserve"> </w:t>
      </w:r>
      <w:r>
        <w:rPr>
          <w:b w:val="0"/>
          <w:i w:val="0"/>
        </w:rPr>
        <w:t>NO</w:t>
      </w:r>
      <w:r>
        <w:t xml:space="preserve"> </w:t>
      </w:r>
      <w:r>
        <w:rPr>
          <w:b w:val="0"/>
          <w:i w:val="0"/>
        </w:rPr>
        <w:t>FIT</w:t>
      </w:r>
      <w:r>
        <w:t xml:space="preserve"> </w:t>
      </w:r>
      <w:r>
        <w:rPr>
          <w:b w:val="0"/>
          <w:i w:val="0"/>
        </w:rPr>
        <w:t>SUPPLIED</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p>
    <w:p>
      <w:pP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p>
    <w:p>
      <w:pP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pPr>
      <w:r>
        <w:rPr>
          <w:b w:val="0"/>
          <w:i w:val="0"/>
        </w:rPr>
        <w:t>[G1-C2]</w:t>
      </w:r>
      <w:r>
        <w:t xml:space="preserve"> </w:t>
      </w:r>
      <w:r>
        <w:rPr>
          <w:b w:val="0"/>
          <w:i w:val="0"/>
        </w:rPr>
        <w:t>FIT</w:t>
      </w:r>
      <w:r>
        <w:t xml:space="preserve"> </w:t>
      </w:r>
      <w:r>
        <w:rPr>
          <w:b w:val="0"/>
          <w:i w:val="0"/>
        </w:rPr>
        <w:t>SUPPLIED</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p>
    <w:p>
      <w:pP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p>
    <w:p>
      <w:pPr/>
      <w:r>
        <w:rPr>
          <w:b w:val="0"/>
          <w:i w:val="0"/>
        </w:rPr>
        <w:t>cannot</w:t>
      </w:r>
      <w:r>
        <w:t xml:space="preserve"> </w:t>
      </w:r>
      <w:r>
        <w:rPr>
          <w:b w:val="0"/>
          <w:i w:val="0"/>
        </w:rPr>
        <w:t>be</w:t>
      </w:r>
      <w:r>
        <w:t xml:space="preserve"> </w:t>
      </w:r>
      <w:r>
        <w:rPr>
          <w:b w:val="0"/>
          <w:i w:val="0"/>
        </w:rPr>
        <w:t>generated.</w:t>
      </w:r>
    </w:p>
    <w:p>
      <w:bookmarkStart w:id="9006" w:name="_bkp_toc_6"/>
      <w:pPr>
        <w:pStyle w:val="Heading2"/>
      </w:pPr>
      <w:r>
        <w:rPr>
          <w:b w:val="0"/>
          <w:i w:val="0"/>
        </w:rPr>
        <w:t>[G1-D]</w:t>
      </w:r>
      <w:r>
        <w:t xml:space="preserve"> </w:t>
      </w:r>
      <w:r>
        <w:rPr>
          <w:b w:val="0"/>
          <w:i w:val="0"/>
        </w:rPr>
        <w:t>RETURN</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p>
    <w:p>
      <w:pP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p>
    <w:p>
      <w:pP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pPr>
      <w:r>
        <w:rPr>
          <w:b w:val="0"/>
          <w:i w:val="0"/>
        </w:rPr>
        <w:t>[G1-D1]</w:t>
      </w:r>
      <w:r>
        <w:t xml:space="preserve"> </w:t>
      </w:r>
      <w:r>
        <w:rPr>
          <w:b w:val="0"/>
          <w:i w:val="0"/>
        </w:rPr>
        <w:t>EDIT</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p>
    <w:p>
      <w:pP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p>
    <w:p>
      <w:pP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p>
    <w:p>
      <w:pP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p>
    <w:p>
      <w:pP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p>
    <w:p>
      <w:pP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p>
    <w:p>
      <w:pP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p>
    <w:p>
      <w:pP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p>
    <w:p>
      <w:pP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p>
    <w:p>
      <w:pP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b/>
        </w:rPr>
        <w:t>HOLD:</w:t>
      </w:r>
      <w:r>
        <w:t xml:space="preserve"> ... replaces the copy box only when one of those hazards remains unresolved</w:t>
      </w:r>
    </w:p>
    <w:p>
      <w:pP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p>
    <w:p>
      <w:pP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p>
    <w:p>
      <w:pP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p>
    <w:p>
      <w:pP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p>
    <w:p>
      <w:pP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pPr>
      <w:r>
        <w:rPr>
          <w:b w:val="0"/>
          <w:i w:val="0"/>
        </w:rPr>
        <w:t>[G1-D2]</w:t>
      </w:r>
      <w:r>
        <w:t xml:space="preserve"> </w:t>
      </w:r>
      <w:r>
        <w:rPr>
          <w:b w:val="0"/>
          <w:i w:val="0"/>
        </w:rPr>
        <w:t>STYLE</w:t>
      </w:r>
      <w:r>
        <w:t xml:space="preserve"> </w:t>
      </w:r>
      <w:r>
        <w:rPr>
          <w:b w:val="0"/>
          <w:i w:val="0"/>
        </w:rPr>
        <w:t>LOG</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p>
    <w:p>
      <w:pP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p>
    <w:p>
      <w:pP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p>
    <w:p>
      <w:pP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p>
    <w:p>
      <w:pP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pPr>
      <w:r>
        <w:rPr>
          <w:b w:val="0"/>
          <w:i w:val="0"/>
        </w:rPr>
        <w:t>[G1-D3]</w:t>
      </w:r>
      <w:r>
        <w:t xml:space="preserve"> </w:t>
      </w:r>
      <w:r>
        <w:rPr>
          <w:b w:val="0"/>
          <w:i w:val="0"/>
        </w:rPr>
        <w:t>EXAMPLE</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pPr>
        <w:sectPr>
          <w:headerReference w:type="default" r:id="rId11"/>
          <w:headerReference w:type="even" r:id="rId12"/>
          <w:footerReference w:type="default" r:id="rId13"/>
          <w:footerReference w:type="even" r:id="rId14"/>
          <w:headerReference w:type="first" r:id="rId15"/>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0" w:name="_bkp_toc_10"/>
      <w:pPr>
        <w:pStyle w:val="Heading1"/>
        <w:spacing w:after="0"/>
        <w:ind w:left="2340"/>
      </w:pPr>
      <w:r>
        <w:t>[P] PROCESSES</w:t>
      </w:r>
      <w:bookmarkEnd w:id="9010"/>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1" w:name="_bkp_toc_11"/>
      <w:pPr>
        <w:pStyle w:val="Heading2"/>
      </w:pPr>
      <w:r>
        <w:rPr>
          <w:b w:val="0"/>
          <w:i w:val="0"/>
        </w:rPr>
        <w:t>[P1]</w:t>
      </w:r>
      <w:r>
        <w:t xml:space="preserve"> </w:t>
      </w:r>
      <w:r>
        <w:rPr>
          <w:b w:val="0"/>
          <w:i w:val="0"/>
        </w:rPr>
        <w:t>COPY</w:t>
      </w:r>
      <w:bookmarkEnd w:id="9011"/>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p>
    <w:p>
      <w:pP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2" w:name="_bkp_toc_12"/>
      <w:pPr>
        <w:pStyle w:val="Heading3"/>
      </w:pPr>
      <w:r>
        <w:rPr>
          <w:b w:val="0"/>
          <w:i w:val="0"/>
        </w:rPr>
        <w:t>[P1-A]</w:t>
      </w:r>
      <w:r>
        <w:t xml:space="preserve"> </w:t>
      </w:r>
      <w:r>
        <w:rPr>
          <w:b w:val="0"/>
          <w:i w:val="0"/>
        </w:rPr>
        <w:t>HEADS</w:t>
      </w:r>
      <w:r>
        <w:t xml:space="preserve"> </w:t>
      </w:r>
      <w:r>
        <w:rPr>
          <w:b w:val="0"/>
          <w:i w:val="0"/>
        </w:rPr>
        <w:t>AND</w:t>
      </w:r>
      <w:r>
        <w:t xml:space="preserve"> </w:t>
      </w:r>
      <w:r>
        <w:rPr>
          <w:b w:val="0"/>
          <w:i w:val="0"/>
        </w:rPr>
        <w:t>DECKS</w:t>
      </w:r>
      <w:bookmarkEnd w:id="9012"/>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p>
    <w:p>
      <w:pP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p>
    <w:p>
      <w:pP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p>
    <w:p>
      <w:pP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6"/>
        </w:numPr>
      </w:pPr>
      <w:r>
        <w:rPr>
          <w:b w:val="0"/>
          <w:i w:val="0"/>
        </w:rPr>
        <w:t>baseline</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val="0"/>
          <w:i w:val="0"/>
        </w:rPr>
        <w:t>lean</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6"/>
        </w:numPr>
      </w:pPr>
      <w:r>
        <w:rPr>
          <w:b w:val="0"/>
          <w:i w:val="0"/>
        </w:rPr>
        <w:t>heavy</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p>
    <w:p>
      <w:pP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p>
    <w:p>
      <w:pP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3" w:name="_bkp_toc_13"/>
      <w:pPr>
        <w:pStyle w:val="Heading3"/>
      </w:pPr>
      <w:r>
        <w:rPr>
          <w:b w:val="0"/>
          <w:i w:val="0"/>
        </w:rPr>
        <w:t>[P1-B]</w:t>
      </w:r>
      <w:r>
        <w:t xml:space="preserve"> </w:t>
      </w:r>
      <w:r>
        <w:rPr>
          <w:b w:val="0"/>
          <w:i w:val="0"/>
        </w:rPr>
        <w:t>BODY</w:t>
      </w:r>
      <w:bookmarkEnd w:id="9013"/>
    </w:p>
    <w:p>
      <w:pPr>
        <w:pStyle w:val="BKPAxiomLabel"/>
        <w:pBdr>
          <w:left w:val="single" w:sz="28" w:space="9" w:color="000000"/>
        </w:pBdr>
      </w:pPr>
      <w:r>
        <w:t>AXIOM</w:t>
      </w:r>
    </w:p>
    <w:p>
      <w:pPr>
        <w:pStyle w:val="BKPAxiom"/>
        <w:pBdr>
          <w:left w:val="single" w:sz="28" w:space="9" w:color="000000"/>
        </w:pBdr>
      </w:pPr>
      <w:r>
        <w:rPr>
          <w:b w:val="0"/>
          <w:i w:val="0"/>
        </w:rPr>
        <w:t>Work</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rather</w:t>
      </w:r>
      <w:r>
        <w:t xml:space="preserve"> </w:t>
      </w:r>
      <w:r>
        <w:rPr>
          <w:b w:val="0"/>
          <w:i w:val="0"/>
        </w:rPr>
        <w:t>than</w:t>
      </w:r>
      <w:r>
        <w:t xml:space="preserve"> </w:t>
      </w:r>
      <w:r>
        <w:rPr>
          <w:b w:val="0"/>
          <w:i w:val="0"/>
        </w:rPr>
        <w:t>cutting</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p>
    <w:p>
      <w:pP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number</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p>
    <w:p>
      <w:pPr/>
      <w:r>
        <w:rPr>
          <w:b w:val="0"/>
          <w:i w:val="0"/>
        </w:rPr>
        <w:t>difference</w:t>
      </w:r>
      <w:r>
        <w:t xml:space="preserve"> </w:t>
      </w:r>
      <w:r>
        <w:rPr>
          <w:b w:val="0"/>
          <w:i w:val="0"/>
        </w:rPr>
        <w:t>is</w:t>
      </w:r>
      <w:r>
        <w:t xml:space="preserve"> </w:t>
      </w:r>
      <w:r>
        <w:rPr>
          <w:b w:val="0"/>
          <w:i w:val="0"/>
        </w:rPr>
        <w:t>the</w:t>
      </w:r>
      <w:r>
        <w:t xml:space="preserve"> </w:t>
      </w:r>
      <w:r>
        <w:rPr>
          <w:b w:val="0"/>
          <w:i w:val="0"/>
        </w:rPr>
        <w:t>number</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alone</w:t>
      </w:r>
      <w:r>
        <w:t xml:space="preserve"> </w:t>
      </w:r>
      <w:r>
        <w:rPr>
          <w:b w:val="0"/>
          <w:i w:val="0"/>
        </w:rPr>
        <w:t>carries</w:t>
      </w:r>
      <w:r>
        <w:t xml:space="preserve"> </w:t>
      </w:r>
      <w:r>
        <w:rPr>
          <w:b w:val="0"/>
          <w:i w:val="0"/>
        </w:rPr>
        <w:t>the</w:t>
      </w:r>
      <w:r>
        <w:t xml:space="preserve"> </w:t>
      </w:r>
      <w:r>
        <w:rPr>
          <w:b w:val="0"/>
          <w:i w:val="0"/>
        </w:rPr>
        <w:t>same</w:t>
      </w:r>
    </w:p>
    <w:p>
      <w:pPr/>
      <w:r>
        <w:rPr>
          <w:b w:val="0"/>
          <w:i w:val="0"/>
        </w:rPr>
        <w:t>meaning.</w:t>
      </w:r>
    </w:p>
    <w:p>
      <w:pPr/>
      <w:r>
        <w:rPr>
          <w:b w:val="0"/>
          <w:i w:val="0"/>
        </w:rPr>
        <w:t>DCX</w:t>
      </w:r>
      <w:r>
        <w:t xml:space="preserve"> </w:t>
      </w:r>
      <w:r>
        <w:rPr>
          <w:b w:val="0"/>
          <w:i w:val="0"/>
        </w:rPr>
        <w:t>counts</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Normalise</w:t>
      </w:r>
      <w:r>
        <w:t xml:space="preserve"> </w:t>
      </w:r>
      <w:r>
        <w:rPr>
          <w:b w:val="0"/>
          <w:i w:val="0"/>
        </w:rPr>
        <w:t>breaks</w:t>
      </w:r>
    </w:p>
    <w:p>
      <w:pPr/>
      <w:r>
        <w:rPr>
          <w:b w:val="0"/>
          <w:i w:val="0"/>
        </w:rPr>
        <w:t>away</w:t>
      </w:r>
      <w:r>
        <w:t xml:space="preserve"> </w:t>
      </w:r>
      <w:r>
        <w:rPr>
          <w:b w:val="0"/>
          <w:i w:val="0"/>
        </w:rPr>
        <w:t>before</w:t>
      </w:r>
      <w:r>
        <w:t xml:space="preserve"> </w:t>
      </w:r>
      <w:r>
        <w:rPr>
          <w:b w:val="0"/>
          <w:i w:val="0"/>
        </w:rPr>
        <w:t>counting.</w:t>
      </w:r>
    </w:p>
    <w:p>
      <w:pP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then</w:t>
      </w:r>
      <w:r>
        <w:t xml:space="preserve"> </w:t>
      </w:r>
      <w:r>
        <w:rPr>
          <w:b w:val="0"/>
          <w:i w:val="0"/>
        </w:rPr>
        <w:t>use</w:t>
      </w:r>
      <w:r>
        <w:t xml:space="preserve"> </w:t>
      </w:r>
      <w:r>
        <w:rPr>
          <w:b w:val="0"/>
          <w:i w:val="0"/>
        </w:rPr>
        <w:t>two</w:t>
      </w:r>
      <w:r>
        <w:t xml:space="preserve"> </w:t>
      </w:r>
      <w:r>
        <w:rPr>
          <w:b w:val="0"/>
          <w:i w:val="0"/>
        </w:rPr>
        <w:t>post-edit</w:t>
      </w:r>
      <w:r>
        <w:t xml:space="preserve"> </w:t>
      </w:r>
      <w:r>
        <w:rPr>
          <w:b w:val="0"/>
          <w:i w:val="0"/>
        </w:rPr>
        <w:t>count</w:t>
      </w:r>
      <w:r>
        <w:t xml:space="preserve"> </w:t>
      </w:r>
      <w:r>
        <w:rPr>
          <w:b w:val="0"/>
          <w:i w:val="0"/>
        </w:rPr>
        <w:t>passes:</w:t>
      </w:r>
    </w:p>
    <w:p>
      <w:pPr>
        <w:pStyle w:val="BKPNumbered"/>
        <w:numPr>
          <w:ilvl w:val="0"/>
          <w:numId w:val="8"/>
        </w:numPr>
      </w:pPr>
      <w:r>
        <w:rPr>
          <w:b w:val="0"/>
          <w:i w:val="0"/>
        </w:rPr>
        <w:t>Count</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It</w:t>
      </w:r>
      <w:r>
        <w:t xml:space="preserve"> </w:t>
      </w:r>
      <w:r>
        <w:rPr>
          <w:b w:val="0"/>
          <w:i w:val="0"/>
        </w:rPr>
        <w:t>should</w:t>
      </w:r>
      <w:r>
        <w:t xml:space="preserve"> </w:t>
      </w:r>
      <w:r>
        <w:rPr>
          <w:b w:val="0"/>
          <w:i w:val="0"/>
        </w:rPr>
        <w:t>match</w:t>
      </w:r>
      <w:r>
        <w:t xml:space="preserve"> </w:t>
      </w:r>
      <w:r>
        <w:rPr>
          <w:b w:val="0"/>
          <w:i w:val="0"/>
        </w:rPr>
        <w:t>the</w:t>
      </w:r>
      <w:r>
        <w:t xml:space="preserve"> </w:t>
      </w:r>
      <w:r>
        <w:rPr>
          <w:b w:val="0"/>
          <w:i w:val="0"/>
        </w:rPr>
        <w:t>supplied</w:t>
      </w:r>
      <w:r>
        <w:t xml:space="preserve"> </w:t>
      </w:r>
      <w:r>
        <w:rPr>
          <w:b w:val="0"/>
          <w:i w:val="0"/>
        </w:rPr>
        <w:t>current</w:t>
      </w:r>
      <w:r>
        <w:t xml:space="preserve"> </w:t>
      </w:r>
      <w:r>
        <w:rPr>
          <w:b w:val="0"/>
          <w:i w:val="0"/>
        </w:rPr>
        <w:t>total;</w:t>
      </w:r>
      <w:r>
        <w:t xml:space="preserve"> </w:t>
      </w:r>
      <w:r>
        <w:rPr>
          <w:b w:val="0"/>
          <w:i w:val="0"/>
        </w:rPr>
        <w:t>if</w:t>
      </w:r>
      <w:r>
        <w:t xml:space="preserve"> </w:t>
      </w:r>
      <w:r>
        <w:rPr>
          <w:b w:val="0"/>
          <w:i w:val="0"/>
        </w:rPr>
        <w:t>not,</w:t>
      </w:r>
    </w:p>
    <w:p>
      <w:pPr>
        <w:pStyle w:val="BKPListContinuation"/>
      </w:pP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Numbered"/>
        <w:numPr>
          <w:ilvl w:val="0"/>
          <w:numId w:val="8"/>
        </w:numPr>
      </w:pPr>
      <w:r>
        <w:rPr>
          <w:b w:val="0"/>
          <w:i w:val="0"/>
        </w:rPr>
        <w:t>Recast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then</w:t>
      </w:r>
      <w:r>
        <w:t xml:space="preserve"> </w:t>
      </w:r>
      <w:r>
        <w:rPr>
          <w:b w:val="0"/>
          <w:i w:val="0"/>
        </w:rPr>
        <w:t>count</w:t>
      </w:r>
      <w:r>
        <w:t xml:space="preserve"> </w:t>
      </w:r>
      <w:r>
        <w:rPr>
          <w:b w:val="0"/>
          <w:i w:val="0"/>
        </w:rPr>
        <w:t>against</w:t>
      </w:r>
      <w:r>
        <w:t xml:space="preserve"> </w:t>
      </w:r>
      <w:r>
        <w:rPr>
          <w:b w:val="0"/>
          <w:i w:val="0"/>
        </w:rPr>
        <w:t>the</w:t>
      </w:r>
      <w:r>
        <w:t xml:space="preserve"> </w:t>
      </w:r>
      <w:r>
        <w:rPr>
          <w:b w:val="0"/>
          <w:i w:val="0"/>
        </w:rPr>
        <w:t>target</w:t>
      </w:r>
      <w:r>
        <w:t xml:space="preserve"> </w:t>
      </w:r>
      <w:r>
        <w:rPr>
          <w:b w:val="0"/>
          <w:i w:val="0"/>
        </w:rPr>
        <w:t>to</w:t>
      </w:r>
      <w:r>
        <w:t xml:space="preserve"> </w:t>
      </w:r>
      <w:r>
        <w:rPr>
          <w:b w:val="0"/>
          <w:i w:val="0"/>
        </w:rPr>
        <w:t>establish</w:t>
      </w:r>
      <w:r>
        <w:t xml:space="preserve"> </w:t>
      </w:r>
      <w:r>
        <w:rPr>
          <w:b w:val="0"/>
          <w:i w:val="0"/>
        </w:rPr>
        <w:t>the</w:t>
      </w:r>
    </w:p>
    <w:p>
      <w:pPr>
        <w:pStyle w:val="BKPListContinuation"/>
      </w:pP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and</w:t>
      </w:r>
      <w:r>
        <w:t xml:space="preserve"> </w:t>
      </w:r>
      <w:r>
        <w:rPr>
          <w:b w:val="0"/>
          <w:i w:val="0"/>
        </w:rPr>
        <w:t>count</w:t>
      </w:r>
      <w:r>
        <w:t xml:space="preserve"> </w:t>
      </w:r>
      <w:r>
        <w:rPr>
          <w:b w:val="0"/>
          <w:i w:val="0"/>
        </w:rPr>
        <w:t>the</w:t>
      </w:r>
      <w:r>
        <w:t xml:space="preserve"> </w:t>
      </w:r>
      <w:r>
        <w:rPr>
          <w:b w:val="0"/>
          <w:i w:val="0"/>
        </w:rPr>
        <w:t>returned</w:t>
      </w:r>
    </w:p>
    <w:p>
      <w:pPr>
        <w:pStyle w:val="BKPListContinuation"/>
      </w:pPr>
      <w:r>
        <w:rPr>
          <w:b w:val="0"/>
          <w:i w:val="0"/>
        </w:rPr>
        <w:t>body.</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one-in/one-out</w:t>
      </w:r>
      <w:r>
        <w:t xml:space="preserve"> </w:t>
      </w:r>
      <w:r>
        <w:rPr>
          <w:b w:val="0"/>
          <w:i w:val="0"/>
        </w:rPr>
        <w:t>substitution:</w:t>
      </w:r>
      <w:r>
        <w:t xml:space="preserve"> </w:t>
      </w:r>
      <w:r>
        <w:rPr>
          <w:b w:val="0"/>
          <w:i w:val="0"/>
        </w:rPr>
        <w:t>replace</w:t>
      </w:r>
    </w:p>
    <w:p>
      <w:pPr/>
      <w:r>
        <w:rPr>
          <w:b w:val="0"/>
          <w:i w:val="0"/>
        </w:rPr>
        <w:t>sections</w:t>
      </w:r>
      <w:r>
        <w:t xml:space="preserve"> </w:t>
      </w:r>
      <w:r>
        <w:rPr>
          <w:b w:val="0"/>
          <w:i w:val="0"/>
        </w:rPr>
        <w:t>with</w:t>
      </w:r>
      <w:r>
        <w:t xml:space="preserve"> </w:t>
      </w:r>
      <w:r>
        <w:rPr>
          <w:b w:val="0"/>
          <w:i w:val="0"/>
        </w:rPr>
        <w:t>material</w:t>
      </w:r>
      <w:r>
        <w:t xml:space="preserve"> </w:t>
      </w:r>
      <w:r>
        <w:rPr>
          <w:b w:val="0"/>
          <w:i w:val="0"/>
        </w:rPr>
        <w:t>of</w:t>
      </w:r>
      <w:r>
        <w:t xml:space="preserve"> </w:t>
      </w:r>
      <w:r>
        <w:rPr>
          <w:b w:val="0"/>
          <w:i w:val="0"/>
        </w:rPr>
        <w:t>equivalent</w:t>
      </w:r>
      <w:r>
        <w:t xml:space="preserve"> </w:t>
      </w:r>
      <w:r>
        <w:rPr>
          <w:b w:val="0"/>
          <w:i w:val="0"/>
        </w:rPr>
        <w:t>volume</w:t>
      </w:r>
      <w:r>
        <w:t xml:space="preserve"> </w:t>
      </w:r>
      <w:r>
        <w:rPr>
          <w:b w:val="0"/>
          <w:i w:val="0"/>
        </w:rPr>
        <w:t>until</w:t>
      </w:r>
      <w:r>
        <w:t xml:space="preserve"> </w:t>
      </w:r>
      <w:r>
        <w:rPr>
          <w:b w:val="0"/>
          <w:i w:val="0"/>
        </w:rPr>
        <w:t>the</w:t>
      </w:r>
      <w:r>
        <w:t xml:space="preserve"> </w:t>
      </w:r>
      <w:r>
        <w:rPr>
          <w:b w:val="0"/>
          <w:i w:val="0"/>
        </w:rPr>
        <w:t>story</w:t>
      </w:r>
      <w:r>
        <w:t xml:space="preserve"> </w:t>
      </w:r>
      <w:r>
        <w:rPr>
          <w:b w:val="0"/>
          <w:i w:val="0"/>
        </w:rPr>
        <w:t>fits,</w:t>
      </w:r>
      <w:r>
        <w:t xml:space="preserve"> </w:t>
      </w:r>
      <w:r>
        <w:rPr>
          <w:b w:val="0"/>
          <w:i w:val="0"/>
        </w:rPr>
        <w:t>and</w:t>
      </w:r>
      <w:r>
        <w:t xml:space="preserve"> </w:t>
      </w:r>
      <w:r>
        <w:rPr>
          <w:b w:val="0"/>
          <w:i w:val="0"/>
        </w:rPr>
        <w:t>describe</w:t>
      </w:r>
    </w:p>
    <w:p>
      <w:pP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rather</w:t>
      </w:r>
      <w:r>
        <w:t xml:space="preserve"> </w:t>
      </w:r>
      <w:r>
        <w:rPr>
          <w:b w:val="0"/>
          <w:i w:val="0"/>
        </w:rPr>
        <w:t>than</w:t>
      </w:r>
      <w:r>
        <w:t xml:space="preserve"> </w:t>
      </w:r>
      <w:r>
        <w:rPr>
          <w:b w:val="0"/>
          <w:i w:val="0"/>
        </w:rPr>
        <w:t>verified.</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p>
    <w:p>
      <w:pP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p>
    <w:p>
      <w:pP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p>
    <w:p>
      <w:pP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p>
    <w:p>
      <w:pP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p>
    <w:p>
      <w:pPr/>
      <w:r>
        <w:rPr>
          <w:b w:val="0"/>
          <w:i w:val="0"/>
        </w:rPr>
        <w:t>invent.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edge;</w:t>
      </w:r>
      <w:r>
        <w:t xml:space="preserve"> </w:t>
      </w:r>
      <w:r>
        <w:rPr>
          <w:b w:val="0"/>
          <w:i w:val="0"/>
        </w:rPr>
        <w:t>material</w:t>
      </w:r>
      <w:r>
        <w:t xml:space="preserve"> </w:t>
      </w:r>
      <w:r>
        <w:rPr>
          <w:b w:val="0"/>
          <w:i w:val="0"/>
        </w:rPr>
        <w:t>after</w:t>
      </w:r>
      <w:r>
        <w:t xml:space="preserve"> </w:t>
      </w:r>
      <w:r>
        <w:rPr>
          <w:b w:val="0"/>
          <w:i w:val="0"/>
        </w:rPr>
        <w:t>it</w:t>
      </w:r>
      <w:r>
        <w:t xml:space="preserve"> </w:t>
      </w:r>
      <w:r>
        <w:rPr>
          <w:b w:val="0"/>
          <w:i w:val="0"/>
        </w:rPr>
        <w:t>remains</w:t>
      </w:r>
    </w:p>
    <w:p>
      <w:pPr/>
      <w:r>
        <w:rPr>
          <w:b w:val="0"/>
          <w:i w:val="0"/>
        </w:rPr>
        <w:t>available</w:t>
      </w:r>
      <w:r>
        <w:t xml:space="preserve"> </w:t>
      </w:r>
      <w:r>
        <w:rPr>
          <w:b w:val="0"/>
          <w:i w:val="0"/>
        </w:rPr>
        <w:t>for</w:t>
      </w:r>
      <w:r>
        <w:t xml:space="preserve"> </w:t>
      </w:r>
      <w:r>
        <w:rPr>
          <w:b w:val="0"/>
          <w:i w:val="0"/>
        </w:rPr>
        <w:t>restoration.</w:t>
      </w:r>
    </w:p>
    <w:p>
      <w:bookmarkStart w:id="9014" w:name="_bkp_toc_14"/>
      <w:pPr>
        <w:pStyle w:val="Heading2"/>
      </w:pPr>
      <w:r>
        <w:rPr>
          <w:b w:val="0"/>
          <w:i w:val="0"/>
        </w:rPr>
        <w:t>[P2]</w:t>
      </w:r>
      <w:r>
        <w:t xml:space="preserve"> </w:t>
      </w:r>
      <w:r>
        <w:rPr>
          <w:b w:val="0"/>
          <w:i w:val="0"/>
        </w:rPr>
        <w:t>VERIFICATION</w:t>
      </w:r>
      <w:bookmarkEnd w:id="9014"/>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p>
    <w:p>
      <w:pP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p>
    <w:p>
      <w:pP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p>
    <w:p>
      <w:pP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p>
    <w:p>
      <w:pP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p>
    <w:p>
      <w:pP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p>
    <w:p>
      <w:pP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p>
    <w:p>
      <w:pP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p>
    <w:p>
      <w:pP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p>
    <w:p>
      <w:pP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p>
    <w:p>
      <w:pP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p>
    <w:p>
      <w:pP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p>
    <w:p>
      <w:pP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p>
    <w:p>
      <w:pP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p>
    <w:p>
      <w:pP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5" w:name="_bkp_toc_15"/>
      <w:pPr>
        <w:pStyle w:val="Heading2"/>
      </w:pPr>
      <w:r>
        <w:rPr>
          <w:b w:val="0"/>
          <w:i w:val="0"/>
        </w:rPr>
        <w:t>[P3]</w:t>
      </w:r>
      <w:r>
        <w:t xml:space="preserve"> </w:t>
      </w:r>
      <w:r>
        <w:rPr>
          <w:b w:val="0"/>
          <w:i w:val="0"/>
        </w:rPr>
        <w:t>PHOTOS</w:t>
      </w:r>
      <w:bookmarkEnd w:id="9015"/>
    </w:p>
    <w:p>
      <w:pPr/>
      <w:r>
        <w:rPr>
          <w:b w:val="0"/>
          <w:i w:val="0"/>
        </w:rPr>
        <w:t>Return</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grounded</w:t>
      </w:r>
      <w:r>
        <w:t xml:space="preserve"> </w:t>
      </w:r>
      <w:r>
        <w:rPr>
          <w:b w:val="0"/>
          <w:i w:val="0"/>
        </w:rPr>
        <w:t>in</w:t>
      </w:r>
      <w:r>
        <w:t xml:space="preserve"> </w:t>
      </w:r>
      <w:r>
        <w:rPr>
          <w:b w:val="0"/>
          <w:i w:val="0"/>
        </w:rPr>
        <w:t>the</w:t>
      </w:r>
    </w:p>
    <w:p>
      <w:pP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p>
    <w:p>
      <w:pP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use</w:t>
      </w:r>
      <w:r>
        <w:t xml:space="preserve"> </w:t>
      </w:r>
      <w:r>
        <w:rPr>
          <w:b w:val="0"/>
          <w:i w:val="0"/>
        </w:rPr>
        <w:t>only</w:t>
      </w:r>
      <w:r>
        <w:t xml:space="preserve"> </w:t>
      </w:r>
      <w:r>
        <w:rPr>
          <w:b w:val="0"/>
          <w:i w:val="0"/>
        </w:rPr>
        <w:t>what</w:t>
      </w:r>
      <w:r>
        <w:t xml:space="preserve"> </w:t>
      </w:r>
      <w:r>
        <w:rPr>
          <w:b w:val="0"/>
          <w:i w:val="0"/>
        </w:rPr>
        <w:t>the</w:t>
      </w:r>
      <w:r>
        <w:t xml:space="preserve"> </w:t>
      </w:r>
      <w:r>
        <w:rPr>
          <w:b w:val="0"/>
          <w:i w:val="0"/>
        </w:rPr>
        <w:t>filing</w:t>
      </w:r>
      <w:r>
        <w:t xml:space="preserve"> </w:t>
      </w:r>
      <w:r>
        <w:rPr>
          <w:b w:val="0"/>
          <w:i w:val="0"/>
        </w:rPr>
        <w:t>establishes.</w:t>
      </w:r>
    </w:p>
    <w:p>
      <w:pPr/>
      <w:r>
        <w:rPr>
          <w:b w:val="0"/>
          <w:i w:val="0"/>
        </w:rPr>
        <w:t>When</w:t>
      </w:r>
      <w:r>
        <w:t xml:space="preserve"> </w:t>
      </w:r>
      <w:r>
        <w:rPr>
          <w:b w:val="0"/>
          <w:i w:val="0"/>
        </w:rPr>
        <w:t>no</w:t>
      </w:r>
      <w:r>
        <w:t xml:space="preserve"> </w:t>
      </w:r>
      <w:r>
        <w:rPr>
          <w:b w:val="0"/>
          <w:i w:val="0"/>
        </w:rPr>
        <w:t>image</w:t>
      </w:r>
      <w:r>
        <w:t xml:space="preserve"> </w:t>
      </w:r>
      <w:r>
        <w:rPr>
          <w:b w:val="0"/>
          <w:i w:val="0"/>
        </w:rPr>
        <w:t>is</w:t>
      </w:r>
      <w:r>
        <w:t xml:space="preserve"> </w:t>
      </w:r>
      <w:r>
        <w:rPr>
          <w:b w:val="0"/>
          <w:i w:val="0"/>
        </w:rPr>
        <w:t>available,</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r>
        <w:t xml:space="preserve"> </w:t>
      </w:r>
      <w:r>
        <w:rPr>
          <w:b w:val="0"/>
          <w:i w:val="0"/>
        </w:rPr>
        <w:t>and</w:t>
      </w:r>
      <w:r>
        <w:t xml:space="preserve"> </w:t>
      </w:r>
      <w:r>
        <w:rPr>
          <w:b w:val="0"/>
          <w:i w:val="0"/>
        </w:rPr>
        <w:t>note</w:t>
      </w:r>
      <w:r>
        <w:t xml:space="preserve"> </w:t>
      </w:r>
      <w:r>
        <w:rPr>
          <w:b w:val="0"/>
          <w:i w:val="0"/>
        </w:rPr>
        <w:t>the</w:t>
      </w:r>
      <w:r>
        <w:t xml:space="preserve"> </w:t>
      </w:r>
      <w:r>
        <w:rPr>
          <w:b w:val="0"/>
          <w:i w:val="0"/>
        </w:rPr>
        <w:t>limitation</w:t>
      </w:r>
    </w:p>
    <w:p>
      <w:pP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6" w:name="_bkp_toc_16"/>
      <w:pPr>
        <w:pStyle w:val="Heading3"/>
      </w:pPr>
      <w:r>
        <w:rPr>
          <w:b w:val="0"/>
          <w:i w:val="0"/>
        </w:rPr>
        <w:t>CAPTIONS</w:t>
      </w:r>
      <w:bookmarkEnd w:id="9016"/>
    </w:p>
    <w:p>
      <w:pP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and</w:t>
      </w:r>
      <w:r>
        <w:t xml:space="preserve"> </w:t>
      </w:r>
      <w:r>
        <w:rPr>
          <w:b w:val="0"/>
          <w:i w:val="0"/>
        </w:rPr>
        <w:t>return</w:t>
      </w:r>
      <w:r>
        <w:t xml:space="preserve"> </w:t>
      </w:r>
      <w:r>
        <w:rPr>
          <w:b w:val="0"/>
          <w:i w:val="0"/>
        </w:rPr>
        <w:t>plain</w:t>
      </w:r>
      <w:r>
        <w:t xml:space="preserve"> </w:t>
      </w:r>
      <w:r>
        <w:rPr>
          <w:b w:val="0"/>
          <w:i w:val="0"/>
        </w:rPr>
        <w:t>text.</w:t>
      </w:r>
      <w:r>
        <w:t xml:space="preserve"> </w:t>
      </w:r>
      <w:r>
        <w:rPr>
          <w:b w:val="0"/>
          <w:i w:val="0"/>
        </w:rPr>
        <w:t>Use</w:t>
      </w:r>
      <w:r>
        <w:t xml:space="preserve"> </w:t>
      </w:r>
      <w:r>
        <w:rPr>
          <w:b w:val="0"/>
          <w:i w:val="0"/>
        </w:rPr>
        <w:t>the</w:t>
      </w:r>
      <w:r>
        <w:t xml:space="preserve"> </w:t>
      </w:r>
      <w:r>
        <w:rPr>
          <w:b w:val="0"/>
          <w:i w:val="0"/>
        </w:rPr>
        <w:t>simple</w:t>
      </w:r>
      <w:r>
        <w:t xml:space="preserve"> </w:t>
      </w:r>
      <w:r>
        <w:rPr>
          <w:b w:val="0"/>
          <w:i w:val="0"/>
        </w:rPr>
        <w:t>present</w:t>
      </w:r>
      <w:r>
        <w:t xml:space="preserve"> </w:t>
      </w:r>
      <w:r>
        <w:rPr>
          <w:b w:val="0"/>
          <w:i w:val="0"/>
        </w:rPr>
        <w:t>tense.</w:t>
      </w:r>
    </w:p>
    <w:p>
      <w:pPr/>
      <w:r>
        <w:rPr>
          <w:b w:val="0"/>
          <w:i w:val="0"/>
        </w:rPr>
        <w:t>Apply</w:t>
      </w:r>
      <w:r>
        <w:t xml:space="preserve"> </w:t>
      </w:r>
      <w:r>
        <w:rPr>
          <w:b w:val="0"/>
          <w:i w:val="0"/>
        </w:rPr>
        <w:t>Directory</w:t>
      </w:r>
      <w:r>
        <w:t xml:space="preserve"> </w:t>
      </w:r>
      <w:r>
        <w:rPr>
          <w:b w:val="0"/>
          <w:i w:val="0"/>
        </w:rPr>
        <w:t>conversions</w:t>
      </w:r>
      <w:r>
        <w:t xml:space="preserve"> </w:t>
      </w:r>
      <w:r>
        <w:rPr>
          <w:b w:val="0"/>
          <w:i w:val="0"/>
        </w:rPr>
        <w:t>and</w:t>
      </w:r>
      <w:r>
        <w:t xml:space="preserve"> </w:t>
      </w:r>
      <w:r>
        <w:rPr>
          <w:b w:val="0"/>
          <w:i w:val="0"/>
        </w:rPr>
        <w:t>the</w:t>
      </w:r>
      <w:r>
        <w:t xml:space="preserve"> </w:t>
      </w:r>
      <w:r>
        <w:rPr>
          <w:b w:val="0"/>
          <w:i w:val="0"/>
        </w:rPr>
        <w:t>relevant</w:t>
      </w:r>
      <w:r>
        <w:t xml:space="preserve"> </w:t>
      </w:r>
      <w:r>
        <w:rPr>
          <w:b w:val="0"/>
          <w:i w:val="0"/>
        </w:rPr>
        <w:t>name</w:t>
      </w:r>
      <w:r>
        <w:t xml:space="preserve"> </w:t>
      </w:r>
      <w:r>
        <w:rPr>
          <w:b w:val="0"/>
          <w:i w:val="0"/>
        </w:rPr>
        <w:t>and</w:t>
      </w:r>
      <w:r>
        <w:t xml:space="preserve"> </w:t>
      </w:r>
      <w:r>
        <w:rPr>
          <w:b w:val="0"/>
          <w:i w:val="0"/>
        </w:rPr>
        <w:t>title</w:t>
      </w:r>
      <w:r>
        <w:t xml:space="preserve"> </w:t>
      </w:r>
      <w:r>
        <w:rPr>
          <w:b w:val="0"/>
          <w:i w:val="0"/>
        </w:rPr>
        <w:t>conventions.</w:t>
      </w:r>
      <w:r>
        <w:t xml:space="preserve"> </w:t>
      </w:r>
      <w:r>
        <w:rPr>
          <w:b w:val="0"/>
          <w:i w:val="0"/>
        </w:rPr>
        <w:t>Strip</w:t>
      </w:r>
    </w:p>
    <w:p>
      <w:pP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r>
        <w:t xml:space="preserve"> </w:t>
      </w:r>
      <w:r>
        <w:rPr>
          <w:b w:val="0"/>
          <w:i w:val="0"/>
        </w:rPr>
        <w:t>Retain</w:t>
      </w:r>
      <w:r>
        <w:t xml:space="preserve"> </w:t>
      </w:r>
      <w:r>
        <w:rPr>
          <w:b w:val="0"/>
          <w:i w:val="0"/>
        </w:rPr>
        <w:t>the</w:t>
      </w:r>
      <w:r>
        <w:t xml:space="preserve"> </w:t>
      </w:r>
      <w:r>
        <w:rPr>
          <w:b w:val="0"/>
          <w:i w:val="0"/>
        </w:rPr>
        <w:t>final</w:t>
      </w:r>
    </w:p>
    <w:p>
      <w:pPr/>
      <w:r>
        <w:rPr>
          <w:b w:val="0"/>
          <w:i w:val="0"/>
        </w:rPr>
        <w:t>agency</w:t>
      </w:r>
      <w:r>
        <w:t xml:space="preserve"> </w:t>
      </w:r>
      <w:r>
        <w:rPr>
          <w:b w:val="0"/>
          <w:i w:val="0"/>
        </w:rPr>
        <w:t>attribution.</w:t>
      </w:r>
    </w:p>
    <w:p>
      <w:pP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and</w:t>
      </w:r>
      <w:r>
        <w:t xml:space="preserve"> </w:t>
      </w:r>
      <w:r>
        <w:rPr>
          <w:b w:val="0"/>
          <w:i w:val="0"/>
        </w:rPr>
        <w:t>credit</w:t>
      </w:r>
      <w:r>
        <w:t xml:space="preserve"> </w:t>
      </w:r>
      <w:r>
        <w:rPr>
          <w:b w:val="0"/>
          <w:i w:val="0"/>
        </w:rPr>
        <w:t>require</w:t>
      </w:r>
      <w:r>
        <w:t xml:space="preserve"> </w:t>
      </w:r>
      <w:r>
        <w:rPr>
          <w:b w:val="0"/>
          <w:i w:val="0"/>
        </w:rPr>
        <w:t>support</w:t>
      </w:r>
      <w:r>
        <w:t xml:space="preserve"> </w:t>
      </w:r>
      <w:r>
        <w:rPr>
          <w:b w:val="0"/>
          <w:i w:val="0"/>
        </w:rPr>
        <w:t>from</w:t>
      </w:r>
      <w:r>
        <w:t xml:space="preserve"> </w:t>
      </w:r>
      <w:r>
        <w:rPr>
          <w:b w:val="0"/>
          <w:i w:val="0"/>
        </w:rPr>
        <w:t>the</w:t>
      </w:r>
    </w:p>
    <w:p>
      <w:pPr/>
      <w:r>
        <w:rPr>
          <w:b w:val="0"/>
          <w:i w:val="0"/>
        </w:rPr>
        <w:t>image</w:t>
      </w:r>
      <w:r>
        <w:t xml:space="preserve"> </w:t>
      </w:r>
      <w:r>
        <w:rPr>
          <w:b w:val="0"/>
          <w:i w:val="0"/>
        </w:rPr>
        <w:t>or</w:t>
      </w:r>
      <w:r>
        <w:t xml:space="preserve"> </w:t>
      </w:r>
      <w:r>
        <w:rPr>
          <w:b w:val="0"/>
          <w:i w:val="0"/>
        </w:rPr>
        <w:t>filing.</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r>
        <w:t xml:space="preserve"> </w:t>
      </w:r>
      <w:r>
        <w:rPr>
          <w:b w:val="0"/>
          <w:i w:val="0"/>
        </w:rPr>
        <w:t>the</w:t>
      </w:r>
      <w:r>
        <w:t xml:space="preserve"> </w:t>
      </w:r>
      <w:r>
        <w:rPr>
          <w:b w:val="0"/>
          <w:i w:val="0"/>
        </w:rPr>
        <w:t>relevant</w:t>
      </w:r>
      <w:r>
        <w:t xml:space="preserve"> </w:t>
      </w:r>
      <w:r>
        <w:rPr>
          <w:b w:val="0"/>
          <w:i w:val="0"/>
        </w:rPr>
        <w:t>copy-fit</w:t>
      </w:r>
      <w:r>
        <w:t xml:space="preserve"> </w:t>
      </w:r>
      <w:r>
        <w:rPr>
          <w:b w:val="0"/>
          <w:i w:val="0"/>
        </w:rPr>
        <w:t>and</w:t>
      </w:r>
    </w:p>
    <w:p>
      <w:pPr/>
      <w:r>
        <w:rPr>
          <w:b w:val="0"/>
          <w:i w:val="0"/>
        </w:rPr>
        <w:t>house-form</w:t>
      </w:r>
      <w:r>
        <w:t xml:space="preserve"> </w:t>
      </w:r>
      <w:r>
        <w:rPr>
          <w:b w:val="0"/>
          <w:i w:val="0"/>
        </w:rPr>
        <w:t>routes.</w:t>
      </w:r>
    </w:p>
    <w:p>
      <w:bookmarkStart w:id="9017" w:name="_bkp_toc_17"/>
      <w:pPr>
        <w:pStyle w:val="Heading3"/>
      </w:pPr>
      <w:r>
        <w:rPr>
          <w:b w:val="0"/>
          <w:i w:val="0"/>
        </w:rPr>
        <w:t>MUGSHOTS</w:t>
      </w:r>
      <w:bookmarkEnd w:id="9017"/>
    </w:p>
    <w:p>
      <w:pP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r>
        <w:t xml:space="preserve"> </w:t>
      </w:r>
      <w:r>
        <w:rPr>
          <w:b w:val="0"/>
          <w:i w:val="0"/>
        </w:rPr>
        <w:t>an</w:t>
      </w:r>
      <w:r>
        <w:t xml:space="preserve"> </w:t>
      </w:r>
      <w:r>
        <w:rPr>
          <w:b w:val="0"/>
          <w:i w:val="0"/>
        </w:rPr>
        <w:t>action</w:t>
      </w:r>
      <w:r>
        <w:t xml:space="preserve"> </w:t>
      </w:r>
      <w:r>
        <w:rPr>
          <w:b w:val="0"/>
          <w:i w:val="0"/>
        </w:rPr>
        <w:t>taken</w:t>
      </w:r>
    </w:p>
    <w:p>
      <w:pP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r>
        <w:t xml:space="preserve"> </w:t>
      </w: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r>
        <w:rPr>
          <w:b w:val="0"/>
          <w:i w:val="0"/>
        </w:rPr>
        <w:t>Follow</w:t>
      </w:r>
      <w:r>
        <w:t xml:space="preserve"> </w:t>
      </w:r>
      <w:r>
        <w:rPr>
          <w:b w:val="0"/>
          <w:i w:val="0"/>
        </w:rPr>
        <w:t>the</w:t>
      </w:r>
      <w:r>
        <w:t xml:space="preserve"> </w:t>
      </w:r>
      <w:r>
        <w:rPr>
          <w:b w:val="0"/>
          <w:i w:val="0"/>
        </w:rPr>
        <w:t>plain-text</w:t>
      </w:r>
      <w:r>
        <w:t xml:space="preserve"> </w:t>
      </w:r>
      <w:r>
        <w:rPr>
          <w:b w:val="0"/>
          <w:i w:val="0"/>
        </w:rPr>
        <w:t>return</w:t>
      </w:r>
      <w:r>
        <w:t xml:space="preserve"> </w:t>
      </w:r>
      <w:r>
        <w:rPr>
          <w:b w:val="0"/>
          <w:i w:val="0"/>
        </w:rPr>
        <w:t>with</w:t>
      </w:r>
      <w:r>
        <w:t xml:space="preserve"> </w:t>
      </w:r>
      <w:r>
        <w:rPr>
          <w:b w:val="0"/>
          <w:i w:val="0"/>
        </w:rPr>
        <w:t>a</w:t>
      </w:r>
      <w:r>
        <w:t xml:space="preserve"> </w:t>
      </w:r>
      <w:r>
        <w:rPr>
          <w:b w:val="0"/>
          <w:i w:val="0"/>
        </w:rPr>
        <w:t>proportional</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an</w:t>
      </w:r>
      <w:r>
        <w:t xml:space="preserve"> </w:t>
      </w:r>
      <w:r>
        <w:rPr>
          <w:b w:val="0"/>
          <w:i w:val="0"/>
        </w:rPr>
        <w:t>intervention,</w:t>
      </w:r>
    </w:p>
    <w:p>
      <w:pPr/>
      <w:r>
        <w:rPr>
          <w:b w:val="0"/>
          <w:i w:val="0"/>
        </w:rPr>
        <w:t>limitation</w:t>
      </w:r>
      <w:r>
        <w:t xml:space="preserve"> </w:t>
      </w:r>
      <w:r>
        <w:rPr>
          <w:b w:val="0"/>
          <w:i w:val="0"/>
        </w:rPr>
        <w:t>or</w:t>
      </w:r>
      <w:r>
        <w:t xml:space="preserve"> </w:t>
      </w:r>
      <w:r>
        <w:rPr>
          <w:b w:val="0"/>
          <w:i w:val="0"/>
        </w:rPr>
        <w:t>query</w:t>
      </w:r>
      <w:r>
        <w:t xml:space="preserve"> </w:t>
      </w:r>
      <w:r>
        <w:rPr>
          <w:b w:val="0"/>
          <w:i w:val="0"/>
        </w:rPr>
        <w:t>needs</w:t>
      </w:r>
      <w:r>
        <w:t xml:space="preserve"> </w:t>
      </w:r>
      <w:r>
        <w:rPr>
          <w:b w:val="0"/>
          <w:i w:val="0"/>
        </w:rPr>
        <w:t>recording.</w:t>
      </w:r>
    </w:p>
    <w:p>
      <w:bookmarkStart w:id="9018" w:name="_bkp_toc_18"/>
      <w:pPr>
        <w:pStyle w:val="Heading2"/>
      </w:pPr>
      <w:r>
        <w:rPr>
          <w:b w:val="0"/>
          <w:i w:val="0"/>
        </w:rPr>
        <w:t>[P4]</w:t>
      </w:r>
      <w:r>
        <w:t xml:space="preserve"> </w:t>
      </w:r>
      <w:r>
        <w:rPr>
          <w:b w:val="0"/>
          <w:i w:val="0"/>
        </w:rPr>
        <w:t>CHECKING</w:t>
      </w:r>
      <w:bookmarkEnd w:id="9018"/>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p>
    <w:p>
      <w:pP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p>
    <w:p>
      <w:pP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p>
    <w:p>
      <w:pP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p>
    <w:p>
      <w:pP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p>
    <w:p>
      <w:pP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p>
    <w:p>
      <w:pP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19" w:name="_bkp_toc_19"/>
      <w:pPr>
        <w:pStyle w:val="Heading2"/>
      </w:pPr>
      <w:r>
        <w:rPr>
          <w:b w:val="0"/>
          <w:i w:val="0"/>
        </w:rPr>
        <w:t>[P5]</w:t>
      </w:r>
      <w:r>
        <w:t xml:space="preserve"> </w:t>
      </w:r>
      <w:r>
        <w:rPr>
          <w:b w:val="0"/>
          <w:i w:val="0"/>
        </w:rPr>
        <w:t>PR</w:t>
      </w:r>
      <w:bookmarkEnd w:id="9019"/>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p>
    <w:p>
      <w:pP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p>
    <w:p>
      <w:pP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p>
    <w:p>
      <w:pP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p>
    <w:p>
      <w:pP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p>
    <w:p>
      <w:pP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p>
    <w:p>
      <w:pP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p>
    <w:p>
      <w:pP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p>
    <w:p>
      <w:pP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16"/>
          <w:headerReference w:type="even" r:id="rId17"/>
          <w:footerReference w:type="default" r:id="rId18"/>
          <w:footerReference w:type="even" r:id="rId19"/>
          <w:headerReference w:type="first" r:id="rId20"/>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0" w:name="_bkp_toc_20"/>
      <w:pPr>
        <w:pStyle w:val="Heading1"/>
        <w:spacing w:after="0"/>
        <w:ind w:left="4680"/>
      </w:pPr>
      <w:r>
        <w:t>STATUS</w:t>
      </w:r>
      <w:bookmarkEnd w:id="9020"/>
    </w:p>
    <w:p>
      <w:pPr>
        <w:pStyle w:val="BKPPartSubtitle"/>
        <w:ind w:left="4680"/>
      </w:pPr>
      <w:r>
        <w:t>people in the news</w:t>
      </w:r>
    </w:p>
    <w:p>
      <w:bookmarkStart w:id="9021" w:name="_bkp_toc_21"/>
      <w:pPr>
        <w:pStyle w:val="Heading2"/>
      </w:pPr>
      <w:r>
        <w:t>APEX FIGURES</w:t>
      </w:r>
      <w:bookmarkEnd w:id="9021"/>
    </w:p>
    <w:p>
      <w:pPr>
        <w:keepLines/>
        <w:spacing w:after="110"/>
      </w:pPr>
      <w:r>
        <w:rPr>
          <w:b/>
        </w:rPr>
        <w:t>HM King Maha Vajiralongkorn Phra Vajiraklaochaoyuhua</w:t>
      </w:r>
    </w:p>
    <w:p>
      <w:pPr>
        <w:keepLines/>
        <w:spacing w:after="110"/>
      </w:pPr>
      <w:r>
        <w:rPr>
          <w:b/>
        </w:rPr>
        <w:t>HM Queen Sirikit The Queen Mother</w:t>
      </w:r>
    </w:p>
    <w:p>
      <w:pPr>
        <w:keepLines/>
        <w:spacing w:after="110"/>
      </w:pPr>
      <w:r>
        <w:rPr>
          <w:b/>
        </w:rPr>
        <w:t>Thaksin Shinawatra</w:t>
      </w:r>
    </w:p>
    <w:p>
      <w:pPr>
        <w:keepLines/>
        <w:spacing w:after="110"/>
      </w:pPr>
      <w:r>
        <w:rPr>
          <w:b/>
        </w:rPr>
        <w:t>Srettha Thavisin</w:t>
      </w:r>
    </w:p>
    <w:p>
      <w:pPr>
        <w:keepLines/>
        <w:spacing w:after="110"/>
      </w:pPr>
      <w:r>
        <w:rPr>
          <w:b/>
        </w:rPr>
        <w:t>Paetongtarn Shinawatra</w:t>
      </w:r>
    </w:p>
    <w:p>
      <w:pPr>
        <w:keepLines/>
        <w:spacing w:after="110"/>
      </w:pPr>
      <w:r>
        <w:rPr>
          <w:b/>
        </w:rPr>
        <w:t>Pita Limjaroenrat</w:t>
      </w:r>
    </w:p>
    <w:p>
      <w:pPr>
        <w:keepLines/>
        <w:spacing w:after="110"/>
      </w:pPr>
      <w:r>
        <w:rPr>
          <w:b/>
        </w:rPr>
        <w:t>Dr Prasert Prasarttong-Osoth</w:t>
      </w:r>
    </w:p>
    <w:p>
      <w:pPr>
        <w:keepLines/>
        <w:spacing w:after="110"/>
      </w:pPr>
      <w:r>
        <w:rPr>
          <w:b/>
        </w:rPr>
        <w:t>HRH Princess Bajrakitiyabha Narendiradebyavati</w:t>
      </w:r>
    </w:p>
    <w:p>
      <w:pPr>
        <w:keepLines/>
        <w:spacing w:after="110"/>
      </w:pPr>
      <w:r>
        <w:rPr>
          <w:b/>
        </w:rPr>
        <w:t>Ayatollah Ali Khamenei</w:t>
      </w:r>
    </w:p>
    <w:p>
      <w:pPr>
        <w:keepLines/>
        <w:spacing w:after="110"/>
      </w:pPr>
      <w:r>
        <w:rPr>
          <w:b/>
        </w:rPr>
        <w:t>Mojtaba Khamenei</w:t>
      </w:r>
    </w:p>
    <w:p>
      <w:bookmarkStart w:id="9022" w:name="_bkp_toc_22"/>
      <w:pPr>
        <w:pStyle w:val="Heading2"/>
      </w:pPr>
      <w:r>
        <w:t>SECOND TIER</w:t>
      </w:r>
      <w:bookmarkEnd w:id="9022"/>
    </w:p>
    <w:p>
      <w:pPr>
        <w:pStyle w:val="Heading3"/>
      </w:pPr>
      <w:r>
        <w:t>WATCH</w:t>
      </w:r>
    </w:p>
    <w:p>
      <w:pPr>
        <w:keepLines/>
        <w:spacing w:after="110"/>
      </w:pPr>
      <w:r>
        <w:rPr>
          <w:b/>
        </w:rPr>
        <w:t>Thanathorn Juangroongruangkit</w:t>
      </w:r>
      <w:r>
        <w:t xml:space="preserve"> — acquitted of royal defamation charges, May 2026.</w:t>
      </w:r>
    </w:p>
    <w:p>
      <w:pPr>
        <w:keepLines/>
        <w:spacing w:after="110"/>
      </w:pPr>
      <w:r>
        <w:rPr>
          <w:b/>
        </w:rPr>
        <w:t>Saksayam Chidchob</w:t>
      </w:r>
      <w:r>
        <w:t xml:space="preserve"> — removed for ethical misconduct March 2024; cleared by the NACC April 2026.</w:t>
      </w:r>
    </w:p>
    <w:p>
      <w:pPr>
        <w:keepLines/>
        <w:spacing w:after="110"/>
      </w:pPr>
      <w:r>
        <w:rPr>
          <w:b/>
        </w:rPr>
        <w:t>Arnon Nampa</w:t>
      </w:r>
      <w:r>
        <w:t xml:space="preserve"> — incarcerated, serving a multi-year sentence.</w:t>
      </w:r>
    </w:p>
    <w:p>
      <w:pPr>
        <w:keepLines/>
        <w:spacing w:after="110"/>
      </w:pPr>
      <w:r>
        <w:rPr>
          <w:b/>
        </w:rPr>
        <w:t>Rukchanok 'Ice' Srinork</w:t>
      </w:r>
      <w:r>
        <w:t xml:space="preserve"> — sentenced to six years, out on bail.</w:t>
      </w:r>
    </w:p>
    <w:p>
      <w:pPr>
        <w:keepLines/>
        <w:spacing w:after="110"/>
      </w:pPr>
      <w:r>
        <w:rPr>
          <w:b/>
        </w:rPr>
        <w:t>Nikorn Chamnong</w:t>
      </w:r>
      <w:r>
        <w:t xml:space="preserve"> — party-list MP and board member for the Bhumjaithai Party. FLAG any reference to him as Chartthaipattana; accept BJT affiliations.</w:t>
      </w:r>
    </w:p>
    <w:p>
      <w:pPr>
        <w:keepLines/>
        <w:spacing w:after="110"/>
      </w:pPr>
      <w:r>
        <w:rPr>
          <w:b/>
        </w:rPr>
        <w:t>Stithorn Thananithichot</w:t>
      </w:r>
      <w:r>
        <w:t xml:space="preserve"> — political scientist at Chulalongkorn University. FLAG any reference to him at King Prajadhipok's Institute; accept Chulalongkorn affiliations.</w:t>
      </w:r>
    </w:p>
    <w:p>
      <w:pPr>
        <w:keepLines/>
        <w:spacing w:after="110"/>
      </w:pPr>
      <w:r>
        <w:rPr>
          <w:b/>
        </w:rPr>
        <w:t>Korn Chatikavanij</w:t>
      </w:r>
      <w:r>
        <w:t xml:space="preserve"> — 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p>
      <w:pPr>
        <w:keepLines/>
        <w:spacing w:after="110"/>
      </w:pPr>
      <w:r>
        <w:rPr>
          <w:b/>
        </w:rPr>
        <w:t>Chaichanok Chidchob</w:t>
      </w:r>
      <w:r>
        <w:t xml:space="preserve"> — minister of digital economy and society. FLAG any reference to him in another ministry role.</w:t>
      </w:r>
    </w:p>
    <w:p>
      <w:pPr>
        <w:keepLines/>
        <w:spacing w:after="110"/>
      </w:pPr>
      <w:r>
        <w:rPr>
          <w:b/>
        </w:rPr>
        <w:t>Chadchart Sittipunt</w:t>
      </w:r>
      <w:r>
        <w:t xml:space="preserve"> — 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pPr>
        <w:keepLines/>
        <w:spacing w:after="110"/>
      </w:pPr>
      <w:r>
        <w:rPr>
          <w:b/>
        </w:rPr>
        <w:t>Gen Suchinda Kraprayoon</w:t>
      </w:r>
      <w:r>
        <w:t xml:space="preserve"> — died June 2025</w:t>
      </w:r>
    </w:p>
    <w:p>
      <w:pPr>
        <w:keepLines/>
        <w:spacing w:after="110"/>
      </w:pPr>
      <w:r>
        <w:rPr>
          <w:b/>
        </w:rPr>
        <w:t>Man Phatnothai</w:t>
      </w:r>
      <w:r>
        <w:t xml:space="preserve"> — died May 2026</w:t>
      </w:r>
    </w:p>
    <w:p>
      <w:pPr>
        <w:keepLines/>
        <w:spacing w:after="110"/>
      </w:pPr>
      <w:r>
        <w:rPr>
          <w:b/>
        </w:rPr>
        <w:t>Dr Wanlop Thaineua</w:t>
      </w:r>
      <w:r>
        <w:t xml:space="preserve"> — died April 2026</w:t>
      </w:r>
    </w:p>
    <w:p>
      <w:pPr>
        <w:keepLines/>
        <w:spacing w:after="110"/>
      </w:pPr>
      <w:r>
        <w:rPr>
          <w:b/>
        </w:rPr>
        <w:t>Chonsawat Asavahame</w:t>
      </w:r>
      <w:r>
        <w:t xml:space="preserve"> — died 2023; triggered the Pak Nam faction power vacuum</w:t>
      </w:r>
    </w:p>
    <w:p>
      <w:pPr>
        <w:keepLines/>
        <w:spacing w:after="110"/>
      </w:pPr>
      <w:r>
        <w:rPr>
          <w:b/>
        </w:rPr>
        <w:t>Chodchoy Thavisin</w:t>
      </w:r>
      <w:r>
        <w:t xml:space="preserve"> — died 2024</w:t>
      </w:r>
    </w:p>
    <w:p>
      <w:pPr>
        <w:keepLines/>
        <w:spacing w:after="110"/>
      </w:pPr>
      <w:r>
        <w:rPr>
          <w:b/>
        </w:rPr>
        <w:t>Pope Francis</w:t>
      </w:r>
      <w:r>
        <w:t xml:space="preserve"> — died 2025</w:t>
      </w:r>
    </w:p>
    <w:p>
      <w:pPr>
        <w:keepLines/>
        <w:spacing w:after="110"/>
      </w:pPr>
      <w:r>
        <w:rPr>
          <w:b/>
        </w:rPr>
        <w:t>Dick Cheney</w:t>
      </w:r>
      <w:r>
        <w:t xml:space="preserve"> — died 2025</w:t>
      </w:r>
    </w:p>
    <w:p>
      <w:pPr>
        <w:keepLines/>
        <w:spacing w:after="110"/>
      </w:pPr>
      <w:r>
        <w:rPr>
          <w:b/>
        </w:rPr>
        <w:t>Jane Goodall</w:t>
      </w:r>
      <w:r>
        <w:t xml:space="preserve"> — died 2025</w:t>
      </w:r>
    </w:p>
    <w:p>
      <w:pPr>
        <w:keepLines/>
        <w:spacing w:after="110"/>
      </w:pPr>
      <w:r>
        <w:rPr>
          <w:b/>
        </w:rPr>
        <w:t>Charlie Kirk</w:t>
      </w:r>
      <w:r>
        <w:t xml:space="preserve"> — died 2025</w:t>
      </w:r>
    </w:p>
    <w:p>
      <w:pPr>
        <w:keepLines/>
        <w:spacing w:after="110"/>
      </w:pPr>
      <w:r>
        <w:rPr>
          <w:b/>
        </w:rPr>
        <w:t>Pope Emeritus Benedict XVI ("Pope Benedict")</w:t>
      </w:r>
      <w:r>
        <w:t xml:space="preserve"> — died Dec 31, 2022, aged 95; resigned the papacy 2013</w:t>
      </w:r>
    </w:p>
    <w:p>
      <w:pPr>
        <w:keepLines/>
        <w:spacing w:after="110"/>
      </w:pPr>
      <w:r>
        <w:rPr>
          <w:b/>
        </w:rPr>
        <w:t>Li Keqiang</w:t>
      </w:r>
      <w:r>
        <w:t xml:space="preserve"> — died Oct 27, 2023</w:t>
      </w:r>
    </w:p>
    <w:p>
      <w:pPr>
        <w:pStyle w:val="Heading3"/>
      </w:pPr>
      <w:r>
        <w:t>CORPORATE LEADERSHIP CHANGES</w:t>
      </w:r>
    </w:p>
    <w:p>
      <w:pPr>
        <w:keepLines/>
        <w:spacing w:after="110"/>
      </w:pPr>
      <w:r>
        <w:rPr>
          <w:b/>
        </w:rPr>
        <w:t>Brenton Justin Mauriello</w:t>
      </w:r>
      <w:r>
        <w:t xml:space="preserve"> — CEO of Raimon Land, from April 2024</w:t>
      </w:r>
    </w:p>
    <w:p>
      <w:pPr>
        <w:keepLines/>
        <w:spacing w:after="110"/>
      </w:pPr>
      <w:r>
        <w:rPr>
          <w:b/>
        </w:rPr>
        <w:t>Pisit Thangtanagul</w:t>
      </w:r>
      <w:r>
        <w:t xml:space="preserve"> — CEO of PwC Thailand, from 2024</w:t>
      </w:r>
    </w:p>
    <w:p>
      <w:bookmarkStart w:id="9023" w:name="_bkp_toc_23"/>
      <w:pPr>
        <w:pStyle w:val="Heading2"/>
      </w:pPr>
      <w:r>
        <w:t>GLOBAL FIGURES</w:t>
      </w:r>
      <w:bookmarkEnd w:id="9023"/>
    </w:p>
    <w:p>
      <w:pPr>
        <w:keepLines/>
        <w:spacing w:after="110"/>
      </w:pPr>
      <w:r>
        <w:rPr>
          <w:b/>
        </w:rPr>
        <w:t>Donald Trump and JD Vance</w:t>
      </w:r>
      <w:r>
        <w:t xml:space="preserve"> — sitting president and vice-president of the United States, from Jan 20, 2025. Mr Trump, Mr Vance. FLAG any reference to them as private citizens or former officials.</w:t>
      </w:r>
    </w:p>
    <w:p>
      <w:pPr>
        <w:keepLines/>
        <w:spacing w:after="110"/>
      </w:pPr>
      <w:r>
        <w:rPr>
          <w:b/>
        </w:rPr>
        <w:t>King Charles III</w:t>
      </w:r>
      <w:r>
        <w:t xml:space="preserve"> — active monarch, operating alongside a cancer treatment protocol; treatment reduced Dec 2025 to precautionary monitoring.</w:t>
      </w:r>
    </w:p>
    <w:p>
      <w:pPr>
        <w:keepLines/>
        <w:spacing w:after="110"/>
      </w:pPr>
      <w:r>
        <w:rPr>
          <w:b/>
        </w:rPr>
        <w:t>King Salman bin Abdulaziz al-Saud</w:t>
      </w:r>
      <w:r>
        <w:t xml:space="preserve"> — king of Saudi Arabia, from Jan 23, 2015.</w:t>
      </w:r>
    </w:p>
    <w:p>
      <w:pPr>
        <w:keepLines/>
        <w:spacing w:after="110"/>
      </w:pPr>
      <w:r>
        <w:rPr>
          <w:b/>
        </w:rPr>
        <w:t>King Jigme Khesar Namgyel Wangchuck</w:t>
      </w:r>
      <w:r>
        <w:t xml:space="preserve"> — king of Bhutan, reigning since 2006; crowned 2008.</w:t>
      </w:r>
    </w:p>
    <w:p>
      <w:pPr>
        <w:keepLines/>
        <w:spacing w:after="110"/>
      </w:pPr>
      <w:r>
        <w:rPr>
          <w:b/>
        </w:rPr>
        <w:t>Catherine, Princess of Wales</w:t>
      </w:r>
      <w:r>
        <w:t xml:space="preserve"> — Princess of Wales from Sept 9, 2022, on the accession of King Charles III; formerly Duchess of Cambridge. FLAG any reference to her as Duchess of Cambridge.</w:t>
      </w:r>
    </w:p>
    <w:p>
      <w:pPr>
        <w:keepLines/>
        <w:spacing w:after="110"/>
      </w:pPr>
      <w:r>
        <w:rPr>
          <w:b/>
        </w:rPr>
        <w:t>Prince William, Prince of Wales</w:t>
      </w:r>
      <w:r>
        <w:t xml:space="preserve"> — Prince of Wales from Sept 9, 2022, letters patent Feb 2023; Duke of Cambridge 2011-2022.</w:t>
      </w:r>
    </w:p>
    <w:p>
      <w:pPr>
        <w:keepLines/>
        <w:spacing w:after="110"/>
      </w:pPr>
      <w:r>
        <w:rPr>
          <w:b/>
        </w:rPr>
        <w:t>To Lam</w:t>
      </w:r>
      <w:r>
        <w:t xml:space="preserve"> — general secretary of the Communist Party of Vietnam, since 2024, and 13th president of Vietnam, since 2026. Both titles current. Capitalise formal offices: General Secretary To Lam, Communist Party Secretary General To Lam and, during his tenure, Public Security Minister To Lam. In current copy, use former public security minister To Lam. Appositive offices may cap: To Lam, President of Vietnam and General Secretary of the Communist Party. Lower-case top leader To Lam. Mr Lam. Apply title_caps and descriptive_titles; do not treat him as a named exception.</w:t>
      </w:r>
    </w:p>
    <w:p>
      <w:pPr>
        <w:sectPr>
          <w:headerReference w:type="default" r:id="rId21"/>
          <w:headerReference w:type="even" r:id="rId22"/>
          <w:footerReference w:type="default" r:id="rId23"/>
          <w:footerReference w:type="even" r:id="rId24"/>
          <w:headerReference w:type="first" r:id="rId25"/>
          <w:pgSz w:h="15840" w:w="12240" w:orient="portrait"/>
          <w:pgMar w:bottom="576"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4" w:name="_bkp_toc_24"/>
      <w:pPr>
        <w:pStyle w:val="Heading1"/>
        <w:spacing w:after="0"/>
        <w:jc w:val="right"/>
      </w:pPr>
      <w:r>
        <w:t>REFS</w:t>
      </w:r>
      <w:bookmarkEnd w:id="9024"/>
    </w:p>
    <w:p>
      <w:pPr>
        <w:pStyle w:val="BKPPartSubtitle"/>
        <w:jc w:val="right"/>
      </w:pPr>
      <w:r>
        <w:t>the knowledge base</w:t>
      </w:r>
    </w:p>
    <w:p>
      <w:bookmarkStart w:id="9025" w:name="_bkp_toc_25"/>
      <w:pPr>
        <w:pStyle w:val="Heading2"/>
      </w:pPr>
      <w:r>
        <w:t>NUMBERS</w:t>
      </w:r>
      <w:bookmarkEnd w:id="9025"/>
    </w:p>
    <w:p>
      <w:pPr>
        <w:pStyle w:val="Heading3"/>
      </w:pPr>
      <w:r>
        <w:t>GENERAL</w:t>
      </w:r>
    </w:p>
    <w:p>
      <w:r>
        <w:rPr>
          <w:b/>
        </w:rPr>
        <w:t>under_ten</w:t>
      </w:r>
      <w:r>
        <w:t xml:space="preserve"> — Spell out whole numbers under 10.</w:t>
      </w:r>
    </w:p>
    <w:p>
      <w:r>
        <w:rPr>
          <w:b/>
        </w:rPr>
        <w:t>measurable</w:t>
      </w:r>
      <w:r>
        <w:t xml:space="preserve"> — Use digits for length, weight, height and currency.</w:t>
      </w:r>
    </w:p>
    <w:p>
      <w:r>
        <w:rPr>
          <w:b/>
        </w:rPr>
        <w:t>time_units</w:t>
      </w:r>
      <w:r>
        <w:t xml:space="preserve"> — Spell out units under 10; sports times use digits.</w:t>
      </w:r>
    </w:p>
    <w:p>
      <w:r>
        <w:rPr>
          <w:b/>
        </w:rPr>
        <w:t>addresses</w:t>
      </w:r>
      <w:r>
        <w:t xml:space="preserve"> — Use digits for addresses, room numbers and floors.</w:t>
      </w:r>
    </w:p>
    <w:p>
      <w:r>
        <w:rPr>
          <w:b/>
        </w:rPr>
        <w:t>fractions</w:t>
      </w:r>
      <w:r>
        <w:t xml:space="preserve"> — Use words in body copy; recipes use figures, eg 2½ cups.</w:t>
      </w:r>
    </w:p>
    <w:p>
      <w:r>
        <w:rPr>
          <w:b/>
        </w:rPr>
        <w:t>sentence_opening</w:t>
      </w:r>
      <w:r>
        <w:t xml:space="preserve"> — Spell out a number that begins a sentence.</w:t>
      </w:r>
    </w:p>
    <w:p>
      <w:r>
        <w:rPr>
          <w:b/>
        </w:rPr>
        <w:t>large_numbers</w:t>
      </w:r>
      <w:r>
        <w:t xml:space="preserve"> — Use digits plus million or billion in body, eg 1 million people or 8 billion baht; use m and bn in heads.</w:t>
      </w:r>
    </w:p>
    <w:p>
      <w:r>
        <w:rPr>
          <w:b/>
        </w:rPr>
        <w:t>rounding</w:t>
      </w:r>
      <w:r>
        <w:t xml:space="preserve"> — Round long numbers to three leading digits unless precision matters.</w:t>
      </w:r>
    </w:p>
    <w:p>
      <w:r>
        <w:rPr>
          <w:b/>
        </w:rPr>
        <w:t>rankings</w:t>
      </w:r>
      <w:r>
        <w:t xml:space="preserve"> — Use No.1.</w:t>
      </w:r>
    </w:p>
    <w:p>
      <w:r>
        <w:rPr>
          <w:b/>
        </w:rPr>
        <w:t>figurative</w:t>
      </w:r>
      <w:r>
        <w:t xml:space="preserve"> — Use tens, hundreds and thousands, not 10s or 100s.</w:t>
      </w:r>
    </w:p>
    <w:p>
      <w:r>
        <w:rPr>
          <w:b/>
        </w:rPr>
        <w:t>percent</w:t>
      </w:r>
      <w:r>
        <w:t xml:space="preserve"> — Use %.</w:t>
      </w:r>
    </w:p>
    <w:p>
      <w:pPr>
        <w:pStyle w:val="Heading3"/>
      </w:pPr>
      <w:r>
        <w:t>ROMAN NUMERALS</w:t>
      </w:r>
    </w:p>
    <w:p>
      <w:r>
        <w:rPr>
          <w:b/>
        </w:rPr>
        <w:t>Use For</w:t>
      </w:r>
      <w:r>
        <w:t xml:space="preserve"> — Rama names; World War I; World War II; official titles</w:t>
      </w:r>
    </w:p>
    <w:p>
      <w:pPr>
        <w:pStyle w:val="Heading3"/>
      </w:pPr>
      <w:r>
        <w:t>QUANTITIES</w:t>
      </w:r>
    </w:p>
    <w:p>
      <w:r>
        <w:rPr>
          <w:b/>
        </w:rPr>
        <w:t>metric</w:t>
      </w:r>
      <w:r>
        <w:t xml:space="preserve"> — Use decimals, eg 2.5km.</w:t>
      </w:r>
    </w:p>
    <w:p>
      <w:r>
        <w:rPr>
          <w:b/>
        </w:rPr>
        <w:t>non_metric</w:t>
      </w:r>
      <w:r>
        <w:t xml:space="preserve"> — Use words, eg two-and-a-half years.</w:t>
      </w:r>
    </w:p>
    <w:p>
      <w:bookmarkStart w:id="9026" w:name="_bkp_toc_26"/>
      <w:pPr>
        <w:pStyle w:val="Heading2"/>
      </w:pPr>
      <w:r>
        <w:t>TIMES</w:t>
      </w:r>
      <w:bookmarkEnd w:id="9026"/>
    </w:p>
    <w:p>
      <w:r>
        <w:rPr>
          <w:b/>
        </w:rPr>
        <w:t>clock</w:t>
      </w:r>
      <w:r>
        <w:t xml:space="preserve"> — Use the 12-hour clock with am/pm closed up: 10am, 2.30pm, 12.34am.</w:t>
      </w:r>
    </w:p>
    <w:p>
      <w:r>
        <w:rPr>
          <w:b/>
        </w:rPr>
        <w:t>noon_midnight</w:t>
      </w:r>
      <w:r>
        <w:t xml:space="preserve"> — Write noon and midnight; do not use 12pm or 12am.</w:t>
      </w:r>
    </w:p>
    <w:p>
      <w:r>
        <w:rPr>
          <w:b/>
        </w:rPr>
        <w:t>foreign_events</w:t>
      </w:r>
      <w:r>
        <w:t xml:space="preserve"> — Keep local time unless the event crosses a calendar day.</w:t>
      </w:r>
    </w:p>
    <w:p>
      <w:r>
        <w:rPr>
          <w:b/>
        </w:rPr>
        <w:t>races</w:t>
      </w:r>
      <w:r>
        <w:t xml:space="preserve"> — Use colons, eg 1:23:45.</w:t>
      </w:r>
    </w:p>
    <w:p>
      <w:r>
        <w:rPr>
          <w:b/>
        </w:rPr>
        <w:t>quotations</w:t>
      </w:r>
      <w:r>
        <w:t xml:space="preserve"> — Preserve a spoken form such as "a quarter to three".</w:t>
      </w:r>
    </w:p>
    <w:p>
      <w:bookmarkStart w:id="9027" w:name="_bkp_toc_27"/>
      <w:pPr>
        <w:pStyle w:val="Heading2"/>
      </w:pPr>
      <w:r>
        <w:t>DATES</w:t>
      </w:r>
      <w:bookmarkEnd w:id="9027"/>
    </w:p>
    <w:p>
      <w:r>
        <w:rPr>
          <w:b/>
        </w:rPr>
        <w:t>order</w:t>
      </w:r>
      <w:r>
        <w:t xml:space="preserve"> — Month before day, eg Dec 25 or Sept 11, 2001.</w:t>
      </w:r>
    </w:p>
    <w:p>
      <w:r>
        <w:rPr>
          <w:b/>
        </w:rPr>
        <w:t>slug</w:t>
      </w:r>
      <w:r>
        <w:t xml:space="preserve"> — Publication day by number followed by descriptor; assume the present month or a logical early date in the next month.</w:t>
      </w:r>
    </w:p>
    <w:p>
      <w:r>
        <w:rPr>
          <w:b/>
        </w:rPr>
        <w:t>relative_filed</w:t>
      </w:r>
      <w:r>
        <w:t xml:space="preserve"> — Trust yesterday, today and tomorrow as filed by the journalist.</w:t>
      </w:r>
    </w:p>
    <w:p>
      <w:pPr>
        <w:pStyle w:val="Heading3"/>
      </w:pPr>
      <w:r>
        <w:t>HARD DATES</w:t>
      </w:r>
    </w:p>
    <w:p>
      <w:r>
        <w:rPr>
          <w:b/>
        </w:rPr>
        <w:t>adjacent</w:t>
      </w:r>
      <w:r>
        <w:t xml:space="preserve"> — The day before, of or after publication becomes yesterday, today or tomorrow.</w:t>
      </w:r>
    </w:p>
    <w:p>
      <w:r>
        <w:rPr>
          <w:b/>
        </w:rPr>
        <w:t>within_seven_days</w:t>
      </w:r>
      <w:r>
        <w:t xml:space="preserve"> — Other dates within seven days either side become the day name.</w:t>
      </w:r>
    </w:p>
    <w:p>
      <w:r>
        <w:rPr>
          <w:b/>
        </w:rPr>
        <w:t>beyond_seven_days</w:t>
      </w:r>
      <w:r>
        <w:t xml:space="preserve"> — Retain the date.</w:t>
      </w:r>
    </w:p>
    <w:p>
      <w:r>
        <w:rPr>
          <w:b/>
        </w:rPr>
        <w:t>timeline_conflict</w:t>
      </w:r>
      <w:r>
        <w:t xml:space="preserve"> — Record an internal or publication-date conflict in the Style Log.</w:t>
      </w:r>
    </w:p>
    <w:p>
      <w:r>
        <w:rPr>
          <w:b/>
        </w:rPr>
        <w:t>thailand_time</w:t>
      </w:r>
      <w:r>
        <w:t xml:space="preserve"> — Use "Thailand time" only when a foreign event crosses a calendar day.</w:t>
      </w:r>
    </w:p>
    <w:p>
      <w:r>
        <w:rPr>
          <w:b/>
        </w:rPr>
        <w:t>holidays</w:t>
      </w:r>
      <w:r>
        <w:t xml:space="preserve"> — Name a holiday only when it matters to the story.</w:t>
      </w:r>
    </w:p>
    <w:p>
      <w:r>
        <w:rPr>
          <w:b/>
        </w:rPr>
        <w:t>calendar</w:t>
      </w:r>
      <w:r>
        <w:t xml:space="preserve"> — Use the western calendar.</w:t>
      </w:r>
    </w:p>
    <w:p>
      <w:r>
        <w:rPr>
          <w:b/>
        </w:rPr>
        <w:t>Month Abbreviations</w:t>
      </w:r>
      <w:r>
        <w:t xml:space="preserve"> — Jan; Feb; March; April; May; June; July; Aug; Sept; Oct; Nov; Dec</w:t>
      </w:r>
    </w:p>
    <w:p>
      <w:r>
        <w:rPr>
          <w:b/>
        </w:rPr>
        <w:t>month_rule</w:t>
      </w:r>
      <w:r>
        <w:t xml:space="preserve"> — With a specific date, abbreviate month names of six letters or more; write every month in full in a general reference.</w:t>
      </w:r>
    </w:p>
    <w:p>
      <w:r>
        <w:rPr>
          <w:b/>
        </w:rPr>
        <w:t>weekdays</w:t>
      </w:r>
      <w:r>
        <w:t xml:space="preserve"> — Use British English "on" before a weekday.</w:t>
      </w:r>
    </w:p>
    <w:p>
      <w:bookmarkStart w:id="9028" w:name="_bkp_toc_28"/>
      <w:pPr>
        <w:pStyle w:val="Heading2"/>
      </w:pPr>
      <w:r>
        <w:t>DATELINES</w:t>
      </w:r>
      <w:bookmarkEnd w:id="9028"/>
    </w:p>
    <w:p>
      <w:r>
        <w:rPr>
          <w:b/>
        </w:rPr>
        <w:t>rule</w:t>
      </w:r>
      <w:r>
        <w:t xml:space="preserve"> — In body copy, retain a supplied dateline exactly; do not add or localise one.</w:t>
      </w:r>
    </w:p>
    <w:p>
      <w:r>
        <w:rPr>
          <w:b/>
        </w:rPr>
        <w:t>agency_credit</w:t>
      </w:r>
      <w:r>
        <w:t xml:space="preserve"> — Retain the filed agency credit.</w:t>
      </w:r>
    </w:p>
    <w:p>
      <w:bookmarkStart w:id="9029" w:name="_bkp_toc_29"/>
      <w:pPr>
        <w:pStyle w:val="Heading2"/>
      </w:pPr>
      <w:r>
        <w:t>CURRENCY</w:t>
      </w:r>
      <w:bookmarkEnd w:id="9029"/>
    </w:p>
    <w:p>
      <w:pPr>
        <w:pStyle w:val="Heading3"/>
      </w:pPr>
      <w:r>
        <w:t>SYMBOLS</w:t>
      </w:r>
    </w:p>
    <w:p>
      <w:r>
        <w:rPr>
          <w:b/>
        </w:rPr>
        <w:t>dollar</w:t>
      </w:r>
      <w:r>
        <w:t xml:space="preserve"> — $</w:t>
      </w:r>
    </w:p>
    <w:p>
      <w:r>
        <w:rPr>
          <w:b/>
        </w:rPr>
        <w:t>pound</w:t>
      </w:r>
      <w:r>
        <w:t xml:space="preserve"> — £</w:t>
      </w:r>
    </w:p>
    <w:p>
      <w:r>
        <w:rPr>
          <w:b/>
        </w:rPr>
        <w:t>euro</w:t>
      </w:r>
      <w:r>
        <w:t xml:space="preserve"> — €</w:t>
      </w:r>
    </w:p>
    <w:p>
      <w:r>
        <w:rPr>
          <w:b/>
        </w:rPr>
        <w:t>yen</w:t>
      </w:r>
      <w:r>
        <w:t xml:space="preserve"> — ¥</w:t>
      </w:r>
    </w:p>
    <w:p>
      <w:r>
        <w:rPr>
          <w:b/>
        </w:rPr>
        <w:t>other_currency</w:t>
      </w:r>
      <w:r>
        <w:t xml:space="preserve"> — Spell out the name, eg 5 baht, 50 rial, 500 rupees.</w:t>
      </w:r>
    </w:p>
    <w:p>
      <w:r>
        <w:rPr>
          <w:b/>
        </w:rPr>
        <w:t>Dollar Prefixes</w:t>
      </w:r>
      <w:r>
        <w:t xml:space="preserve"> — US; Aus; NZ; S; HK</w:t>
      </w:r>
    </w:p>
    <w:p>
      <w:r>
        <w:rPr>
          <w:b/>
        </w:rPr>
        <w:t>dollar_rule</w:t>
      </w:r>
      <w:r>
        <w:t xml:space="preserve"> — Specify the dollar type at first reference; US is the default type, not an omitted label.</w:t>
      </w:r>
    </w:p>
    <w:p>
      <w:r>
        <w:rPr>
          <w:b/>
        </w:rPr>
        <w:t>baht_heads</w:t>
      </w:r>
      <w:r>
        <w:t xml:space="preserve"> — Use B, eg B500, B5m or B5bn.</w:t>
      </w:r>
    </w:p>
    <w:p>
      <w:r>
        <w:rPr>
          <w:b/>
        </w:rPr>
        <w:t>thai_baht</w:t>
      </w:r>
      <w:r>
        <w:t xml:space="preserve"> — Use baht, not "Thai baht".</w:t>
      </w:r>
    </w:p>
    <w:p>
      <w:r>
        <w:rPr>
          <w:b/>
        </w:rPr>
        <w:t>conversion</w:t>
      </w:r>
      <w:r>
        <w:t xml:space="preserve"> — Convert foreign currency to baht at first mention, once, rounded to three leading digits.</w:t>
      </w:r>
    </w:p>
    <w:p>
      <w:r>
        <w:rPr>
          <w:b/>
        </w:rPr>
        <w:t>tickers</w:t>
      </w:r>
      <w:r>
        <w:t xml:space="preserve"> — Do not use THB, USD or GBP in news copy.</w:t>
      </w:r>
    </w:p>
    <w:p>
      <w:r>
        <w:rPr>
          <w:b/>
        </w:rPr>
        <w:t>yuan</w:t>
      </w:r>
      <w:r>
        <w:t xml:space="preserve"> — Use yuan, not yuan renminbi.</w:t>
      </w:r>
    </w:p>
    <w:p>
      <w:r>
        <w:rPr>
          <w:b/>
        </w:rPr>
        <w:t>subunits</w:t>
      </w:r>
      <w:r>
        <w:t xml:space="preserve"> — Use the decimal inside a larger amount and digits plus the full unit when standing alone.</w:t>
      </w:r>
    </w:p>
    <w:p>
      <w:r>
        <w:rPr>
          <w:b/>
        </w:rPr>
        <w:t>national_qualifier</w:t>
      </w:r>
      <w:r>
        <w:t xml:space="preserve"> — Qualify shared names such as won, pounds, pesos, krone, rial and rupee.</w:t>
      </w:r>
    </w:p>
    <w:p>
      <w:bookmarkStart w:id="9030" w:name="_bkp_toc_30"/>
      <w:pPr>
        <w:pStyle w:val="Heading2"/>
      </w:pPr>
      <w:r>
        <w:t>MEASUREMENTS</w:t>
      </w:r>
      <w:bookmarkEnd w:id="9030"/>
    </w:p>
    <w:p>
      <w:r>
        <w:rPr>
          <w:b/>
        </w:rPr>
        <w:t>Metric Units</w:t>
      </w:r>
      <w:r>
        <w:t xml:space="preserve"> — km; m; cm; mm; kg; g; ml</w:t>
      </w:r>
    </w:p>
    <w:p>
      <w:pPr>
        <w:pStyle w:val="Heading3"/>
      </w:pPr>
      <w:r>
        <w:t>INDUSTRY EXCEPTIONS</w:t>
      </w:r>
    </w:p>
    <w:p>
      <w:r>
        <w:rPr>
          <w:b/>
        </w:rPr>
        <w:t>aviation</w:t>
      </w:r>
      <w:r>
        <w:t xml:space="preserve"> — feet</w:t>
      </w:r>
    </w:p>
    <w:p>
      <w:r>
        <w:rPr>
          <w:b/>
        </w:rPr>
        <w:t>shipping</w:t>
      </w:r>
      <w:r>
        <w:t xml:space="preserve"> — knots</w:t>
      </w:r>
    </w:p>
    <w:p>
      <w:r>
        <w:rPr>
          <w:b/>
        </w:rPr>
        <w:t>boxing</w:t>
      </w:r>
      <w:r>
        <w:t xml:space="preserve"> — pounds</w:t>
      </w:r>
    </w:p>
    <w:p>
      <w:r>
        <w:rPr>
          <w:b/>
        </w:rPr>
        <w:t>litres</w:t>
      </w:r>
      <w:r>
        <w:t xml:space="preserve"> — Write in full because lower-case l resembles capital I.</w:t>
      </w:r>
    </w:p>
    <w:p>
      <w:r>
        <w:rPr>
          <w:b/>
        </w:rPr>
        <w:t>miles</w:t>
      </w:r>
      <w:r>
        <w:t xml:space="preserve"> — Write in full because m means metres.</w:t>
      </w:r>
    </w:p>
    <w:p>
      <w:r>
        <w:rPr>
          <w:b/>
        </w:rPr>
        <w:t>temperature</w:t>
      </w:r>
      <w:r>
        <w:t xml:space="preserve"> — Use 25C with no degree symbol.</w:t>
      </w:r>
    </w:p>
    <w:p>
      <w:r>
        <w:rPr>
          <w:b/>
        </w:rPr>
        <w:t>wind_speed</w:t>
      </w:r>
      <w:r>
        <w:t xml:space="preserve"> — Use kph.</w:t>
      </w:r>
    </w:p>
    <w:p>
      <w:r>
        <w:rPr>
          <w:b/>
        </w:rPr>
        <w:t>carbon_dioxide</w:t>
      </w:r>
      <w:r>
        <w:t xml:space="preserve"> — CO2 is acceptable.</w:t>
      </w:r>
    </w:p>
    <w:p>
      <w:r>
        <w:rPr>
          <w:b/>
        </w:rPr>
        <w:t>spacing</w:t>
      </w:r>
      <w:r>
        <w:t xml:space="preserve"> — Close the numeral and unit.</w:t>
      </w:r>
    </w:p>
    <w:p>
      <w:pPr>
        <w:pStyle w:val="Heading3"/>
      </w:pPr>
      <w:r>
        <w:t>QUOTES</w:t>
      </w:r>
    </w:p>
    <w:p>
      <w:r>
        <w:rPr>
          <w:b/>
        </w:rPr>
        <w:t>imperial</w:t>
      </w:r>
      <w:r>
        <w:t xml:space="preserve"> — Retain inside a quotation and add the metric conversion in square brackets.</w:t>
      </w:r>
    </w:p>
    <w:p>
      <w:r>
        <w:rPr>
          <w:b/>
        </w:rPr>
        <w:t>fahrenheit</w:t>
      </w:r>
      <w:r>
        <w:t xml:space="preserve"> — Retain inside a quotation and add Celsius in square brackets.</w:t>
      </w:r>
    </w:p>
    <w:p>
      <w:r>
        <w:rPr>
          <w:b/>
        </w:rPr>
        <w:t>body</w:t>
      </w:r>
      <w:r>
        <w:t xml:space="preserve"> — Replace an imperial measurement with metric except for the listed industry exceptions.</w:t>
      </w:r>
    </w:p>
    <w:p>
      <w:r>
        <w:rPr>
          <w:b/>
        </w:rPr>
        <w:t>thai_land</w:t>
      </w:r>
      <w:r>
        <w:t xml:space="preserve"> — Rai stands.</w:t>
      </w:r>
    </w:p>
    <w:p>
      <w:r>
        <w:rPr>
          <w:b/>
        </w:rPr>
        <w:t>area</w:t>
      </w:r>
      <w:r>
        <w:t xml:space="preserve"> — Use sq m for floor and plot areas.</w:t>
      </w:r>
    </w:p>
    <w:p>
      <w:bookmarkStart w:id="9031" w:name="_bkp_toc_31"/>
      <w:pPr>
        <w:pStyle w:val="Heading2"/>
      </w:pPr>
      <w:r>
        <w:t>NAMES &amp; HONORIFICS</w:t>
      </w:r>
      <w:bookmarkEnd w:id="9031"/>
    </w:p>
    <w:p>
      <w:r>
        <w:rPr>
          <w:b/>
        </w:rPr>
        <w:t>first_reference</w:t>
      </w:r>
      <w:r>
        <w:t xml:space="preserve"> — Use the full name without an honorific.</w:t>
      </w:r>
    </w:p>
    <w:p>
      <w:r>
        <w:rPr>
          <w:b/>
        </w:rPr>
        <w:t>heads_decks</w:t>
      </w:r>
      <w:r>
        <w:t xml:space="preserve"> — Use no honorifics.</w:t>
      </w:r>
    </w:p>
    <w:p>
      <w:r>
        <w:rPr>
          <w:b/>
        </w:rPr>
        <w:t>quotations</w:t>
      </w:r>
      <w:r>
        <w:t xml:space="preserve"> — Preserve honorifics as spoken; do not add or bulk-replace them.</w:t>
      </w:r>
    </w:p>
    <w:p>
      <w:r>
        <w:rPr>
          <w:b/>
        </w:rPr>
        <w:t>general_second_reference</w:t>
      </w:r>
      <w:r>
        <w:t xml:space="preserve"> — Use Mr or Ms plus surname where no named convention applies.</w:t>
      </w:r>
    </w:p>
    <w:p>
      <w:r>
        <w:rPr>
          <w:b/>
        </w:rPr>
        <w:t>mr_ms</w:t>
      </w:r>
      <w:r>
        <w:t xml:space="preserve"> — No full stop.</w:t>
      </w:r>
    </w:p>
    <w:p>
      <w:r>
        <w:rPr>
          <w:b/>
        </w:rPr>
        <w:t>doctor</w:t>
      </w:r>
      <w:r>
        <w:t xml:space="preserve"> — Dr is for practising medical doctors, not academic doctorates.</w:t>
      </w:r>
    </w:p>
    <w:p>
      <w:r>
        <w:rPr>
          <w:b/>
        </w:rPr>
        <w:t>khun</w:t>
      </w:r>
      <w:r>
        <w:t xml:space="preserve"> — Reserve for direct quotations.</w:t>
      </w:r>
    </w:p>
    <w:p>
      <w:r>
        <w:rPr>
          <w:b/>
        </w:rPr>
        <w:t>surname_required</w:t>
      </w:r>
      <w:r>
        <w:t xml:space="preserve"> — Attach an honorific only to a surname supplied in copy.</w:t>
      </w:r>
    </w:p>
    <w:p>
      <w:pPr>
        <w:pStyle w:val="Heading3"/>
      </w:pPr>
      <w:r>
        <w:t>TRADITIONS</w:t>
      </w:r>
    </w:p>
    <w:p>
      <w:r>
        <w:rPr>
          <w:b/>
        </w:rPr>
        <w:t>Chinese</w:t>
      </w:r>
      <w:r>
        <w:t xml:space="preserve"> — Family name first; second reference Mr/Ms plus family name.</w:t>
      </w:r>
    </w:p>
    <w:p>
      <w:r>
        <w:rPr>
          <w:b/>
        </w:rPr>
        <w:t>Indonesian</w:t>
      </w:r>
      <w:r>
        <w:t xml:space="preserve"> — Default to Mr/Ms plus last component; use held exceptions or DCX precedent where usage differs.</w:t>
      </w:r>
    </w:p>
    <w:p>
      <w:r>
        <w:rPr>
          <w:b/>
        </w:rPr>
        <w:t>Japanese</w:t>
      </w:r>
      <w:r>
        <w:t xml:space="preserve"> — Given name then surname; second reference Mr/Ms plus surname.</w:t>
      </w:r>
    </w:p>
    <w:p>
      <w:r>
        <w:rPr>
          <w:b/>
        </w:rPr>
        <w:t>Myanmar</w:t>
      </w:r>
      <w:r>
        <w:t xml:space="preserve"> — Full name on every reference, no honorific.</w:t>
      </w:r>
    </w:p>
    <w:p>
      <w:r>
        <w:rPr>
          <w:b/>
        </w:rPr>
        <w:t>Cambodian</w:t>
      </w:r>
      <w:r>
        <w:t xml:space="preserve"> — Full name on every reference, no honorific.</w:t>
      </w:r>
    </w:p>
    <w:p>
      <w:r>
        <w:rPr>
          <w:b/>
        </w:rPr>
        <w:t>Thai</w:t>
      </w:r>
      <w:r>
        <w:t xml:space="preserve"> — Mr/Ms plus given name.</w:t>
      </w:r>
    </w:p>
    <w:p>
      <w:r>
        <w:rPr>
          <w:b/>
        </w:rPr>
        <w:t>Malaysian</w:t>
      </w:r>
      <w:r>
        <w:t xml:space="preserve"> — Mr/Ms plus given name.</w:t>
      </w:r>
    </w:p>
    <w:p>
      <w:r>
        <w:rPr>
          <w:b/>
        </w:rPr>
        <w:t>Lao</w:t>
      </w:r>
      <w:r>
        <w:t xml:space="preserve"> — Mr/Ms plus given name.</w:t>
      </w:r>
    </w:p>
    <w:p>
      <w:r>
        <w:rPr>
          <w:b/>
        </w:rPr>
        <w:t>Arabic_without_prefix</w:t>
      </w:r>
      <w:r>
        <w:t xml:space="preserve"> — Mr/Ms plus given name.</w:t>
      </w:r>
    </w:p>
    <w:p>
      <w:r>
        <w:rPr>
          <w:b/>
        </w:rPr>
        <w:t>Arabic_with_prefix</w:t>
      </w:r>
      <w:r>
        <w:t xml:space="preserve"> — Drop the prefix on second reference and use Mr/Ms plus the remaining surname; lower-case al- in personal names.</w:t>
      </w:r>
    </w:p>
    <w:p>
      <w:r>
        <w:rPr>
          <w:b/>
        </w:rPr>
        <w:t>Korean</w:t>
      </w:r>
      <w:r>
        <w:t xml:space="preserve"> — Family name first; hyphenate the given name and lower-case its second component; second reference Mr/Ms plus family name.</w:t>
      </w:r>
    </w:p>
    <w:p>
      <w:r>
        <w:rPr>
          <w:b/>
        </w:rPr>
        <w:t>Vietnamese</w:t>
      </w:r>
      <w:r>
        <w:t xml:space="preserve"> — The last component is the given name used after Mr/Ms; Thi indicates female.</w:t>
      </w:r>
    </w:p>
    <w:p>
      <w:r>
        <w:rPr>
          <w:b/>
        </w:rPr>
        <w:t>Spanish</w:t>
      </w:r>
      <w:r>
        <w:t xml:space="preserve"> — Use the paternal surname on second reference.</w:t>
      </w:r>
    </w:p>
    <w:p>
      <w:pPr>
        <w:pStyle w:val="Heading3"/>
      </w:pPr>
      <w:r>
        <w:t>HELD EXAMPLES</w:t>
      </w:r>
    </w:p>
    <w:p>
      <w:r>
        <w:rPr>
          <w:b/>
        </w:rPr>
        <w:t>Xi Jinping</w:t>
      </w:r>
      <w:r>
        <w:t xml:space="preserve"> — Mr Xi</w:t>
      </w:r>
    </w:p>
    <w:p>
      <w:r>
        <w:rPr>
          <w:b/>
        </w:rPr>
        <w:t>Mao Zedong</w:t>
      </w:r>
      <w:r>
        <w:t xml:space="preserve"> — Historical; no honorific.</w:t>
      </w:r>
    </w:p>
    <w:p>
      <w:r>
        <w:rPr>
          <w:b/>
        </w:rPr>
        <w:t>Deng Xiaoping</w:t>
      </w:r>
      <w:r>
        <w:t xml:space="preserve"> — Historical; no honorific.</w:t>
      </w:r>
    </w:p>
    <w:p>
      <w:r>
        <w:rPr>
          <w:b/>
        </w:rPr>
        <w:t>Joko Widodo</w:t>
      </w:r>
      <w:r>
        <w:t xml:space="preserve"> — Mr Widodo; use Jokowi only in quotations.</w:t>
      </w:r>
    </w:p>
    <w:p>
      <w:r>
        <w:rPr>
          <w:b/>
        </w:rPr>
        <w:t>Susilo Bambang Yudhoyono</w:t>
      </w:r>
      <w:r>
        <w:t xml:space="preserve"> — Mr Yudhoyono</w:t>
      </w:r>
    </w:p>
    <w:p>
      <w:r>
        <w:rPr>
          <w:b/>
        </w:rPr>
        <w:t>Shinzo Abe</w:t>
      </w:r>
      <w:r>
        <w:t xml:space="preserve"> — Abe on second reference; deceased.</w:t>
      </w:r>
    </w:p>
    <w:p>
      <w:r>
        <w:rPr>
          <w:b/>
        </w:rPr>
        <w:t>Aung San Suu Kyi</w:t>
      </w:r>
      <w:r>
        <w:t xml:space="preserve"> — Ms Suu Kyi; sole Myanmar exception.</w:t>
      </w:r>
    </w:p>
    <w:p>
      <w:r>
        <w:rPr>
          <w:b/>
        </w:rPr>
        <w:t>Mahathir Mohamad</w:t>
      </w:r>
      <w:r>
        <w:t xml:space="preserve"> — Mr Mahathir</w:t>
      </w:r>
    </w:p>
    <w:p>
      <w:r>
        <w:rPr>
          <w:b/>
        </w:rPr>
        <w:t>Bashar al-Assad</w:t>
      </w:r>
      <w:r>
        <w:t xml:space="preserve"> — Mr Assad</w:t>
      </w:r>
    </w:p>
    <w:p>
      <w:r>
        <w:rPr>
          <w:b/>
        </w:rPr>
        <w:t>Abdel Fattah el-Sissi</w:t>
      </w:r>
      <w:r>
        <w:t xml:space="preserve"> — Mr Sissi</w:t>
      </w:r>
    </w:p>
    <w:p>
      <w:r>
        <w:rPr>
          <w:b/>
        </w:rPr>
        <w:t>Abed Rabbo Mansour Hadi</w:t>
      </w:r>
      <w:r>
        <w:t xml:space="preserve"> — Mr Hadi</w:t>
      </w:r>
    </w:p>
    <w:p>
      <w:r>
        <w:rPr>
          <w:b/>
        </w:rPr>
        <w:t>Kim Jong-un</w:t>
      </w:r>
      <w:r>
        <w:t xml:space="preserve"> — Mr Kim</w:t>
      </w:r>
    </w:p>
    <w:p>
      <w:r>
        <w:rPr>
          <w:b/>
        </w:rPr>
        <w:t>Ban Ki-moon</w:t>
      </w:r>
      <w:r>
        <w:t xml:space="preserve"> — Mr Ban</w:t>
      </w:r>
    </w:p>
    <w:p>
      <w:r>
        <w:rPr>
          <w:b/>
        </w:rPr>
        <w:t>Syngman Rhee</w:t>
      </w:r>
      <w:r>
        <w:t xml:space="preserve"> — Historical; retain the established romanisation.</w:t>
      </w:r>
    </w:p>
    <w:p>
      <w:r>
        <w:rPr>
          <w:b/>
        </w:rPr>
        <w:t>Nguyen Xuan Phuc</w:t>
      </w:r>
      <w:r>
        <w:t xml:space="preserve"> — Mr Phuc</w:t>
      </w:r>
    </w:p>
    <w:p>
      <w:r>
        <w:rPr>
          <w:b/>
        </w:rPr>
        <w:t>Gabriel Garcia Marquez</w:t>
      </w:r>
      <w:r>
        <w:t xml:space="preserve"> — Garcia on second reference, not Marquez; deceased.</w:t>
      </w:r>
    </w:p>
    <w:p>
      <w:r>
        <w:rPr>
          <w:b/>
        </w:rPr>
        <w:t>No Honorific</w:t>
      </w:r>
      <w:r>
        <w:t xml:space="preserve"> — figures known by one name; convicted criminals; deceased people; celebrities; sportspeople; non-academic authors; journalists; artists; actors; musicians; filmmakers</w:t>
      </w:r>
    </w:p>
    <w:p>
      <w:r>
        <w:rPr>
          <w:b/>
        </w:rPr>
        <w:t>Retained Titles</w:t>
      </w:r>
      <w:r>
        <w:t xml:space="preserve"> — Sir; Lord; ML; MR; Khunying; Thanphuying; Phra; royal titles; police and military ranks; medical, papal and clerical titles</w:t>
      </w:r>
    </w:p>
    <w:p>
      <w:r>
        <w:rPr>
          <w:b/>
        </w:rPr>
        <w:t>precedence</w:t>
      </w:r>
      <w:r>
        <w:t xml:space="preserve"> — Retained titles override the no-honorific categories.</w:t>
      </w:r>
    </w:p>
    <w:p>
      <w:r>
        <w:rPr>
          <w:b/>
        </w:rPr>
        <w:t>british_royals</w:t>
      </w:r>
      <w:r>
        <w:t xml:space="preserve"> — Use title plus first name throughout, eg Prince William.</w:t>
      </w:r>
    </w:p>
    <w:p>
      <w:r>
        <w:rPr>
          <w:b/>
        </w:rPr>
        <w:t>children</w:t>
      </w:r>
      <w:r>
        <w:t xml:space="preserve"> — Use first names on later reference.</w:t>
      </w:r>
    </w:p>
    <w:p>
      <w:r>
        <w:rPr>
          <w:b/>
        </w:rPr>
        <w:t>title_position</w:t>
      </w:r>
      <w:r>
        <w:t xml:space="preserve"> — Put a title before the name.</w:t>
      </w:r>
    </w:p>
    <w:p>
      <w:r>
        <w:rPr>
          <w:b/>
        </w:rPr>
        <w:t>title_caps</w:t>
      </w:r>
      <w:r>
        <w:t xml:space="preserve"> — 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p>
      <w:r>
        <w:rPr>
          <w:b/>
        </w:rPr>
        <w:t>descriptive_titles</w:t>
      </w:r>
      <w:r>
        <w:t xml:space="preserve"> — Lower-case a descriptive or house-lowercase role before a name, eg deputy spokesperson Natapanu Nopakun, company president John Smith, human rights lawyer Arnon Nampa, head coach Masatada Ishii or top leader To Lam. Do not demote a ministerial office to a descriptive role: while To Lam held the post, the title was Public Security Minister To Lam. Query an unlisted borderline role; do not infer capitalisation from seniority alone.</w:t>
      </w:r>
    </w:p>
    <w:p>
      <w:r>
        <w:rPr>
          <w:b/>
        </w:rPr>
        <w:t>ranks</w:t>
      </w:r>
      <w:r>
        <w:t xml:space="preserve"> — Take ranks from copy and apply a filed rank consistently; if unclear, repeat the full name or query it.</w:t>
      </w:r>
    </w:p>
    <w:p>
      <w:r>
        <w:rPr>
          <w:b/>
        </w:rPr>
        <w:t>title_abbreviations</w:t>
      </w:r>
      <w:r>
        <w:t xml:space="preserve"> — Against a name, use Prof, Dr, Jr, Sr, St, Mt, Corp and Co.</w:t>
      </w:r>
    </w:p>
    <w:p>
      <w:r>
        <w:rPr>
          <w:b/>
        </w:rPr>
        <w:t>convention_travels</w:t>
      </w:r>
      <w:r>
        <w:t xml:space="preserve"> — A person's naming convention does not change with location.</w:t>
      </w:r>
    </w:p>
    <w:p>
      <w:bookmarkStart w:id="9032" w:name="_bkp_toc_32"/>
      <w:pPr>
        <w:pStyle w:val="Heading2"/>
      </w:pPr>
      <w:r>
        <w:t>ACRONYMS</w:t>
      </w:r>
      <w:bookmarkEnd w:id="9032"/>
    </w:p>
    <w:p>
      <w:r>
        <w:rPr>
          <w:b/>
        </w:rPr>
        <w:t>pronounceable_over_three</w:t>
      </w:r>
      <w:r>
        <w:t xml:space="preserve"> — Title case, eg Fifa, Asean, Nasa, Opec and Unesco.</w:t>
      </w:r>
    </w:p>
    <w:p>
      <w:r>
        <w:rPr>
          <w:b/>
        </w:rPr>
        <w:t>initialisms</w:t>
      </w:r>
      <w:r>
        <w:t xml:space="preserve"> — All caps for three-letter and unpronounceable forms, eg FBI, NBTC, PRD, CNN and HIV.</w:t>
      </w:r>
    </w:p>
    <w:p>
      <w:bookmarkStart w:id="9033" w:name="_bkp_toc_33"/>
      <w:pPr>
        <w:pStyle w:val="Heading2"/>
      </w:pPr>
      <w:r>
        <w:t>HEADLINE COUNTRY FORMS</w:t>
      </w:r>
      <w:bookmarkEnd w:id="9033"/>
    </w:p>
    <w:p>
      <w:r>
        <w:rPr>
          <w:b/>
        </w:rPr>
        <w:t>Anywhere</w:t>
      </w:r>
      <w:r>
        <w:t xml:space="preserve"> — UK; US; UAE</w:t>
      </w:r>
    </w:p>
    <w:p>
      <w:r>
        <w:rPr>
          <w:b/>
        </w:rPr>
        <w:t>Heads And Decks</w:t>
      </w:r>
      <w:r>
        <w:t xml:space="preserve"> — NZ; HK; LA; NY; SK; NK; S Africa; S Sudan; Aus; Saudi; STP</w:t>
      </w:r>
    </w:p>
    <w:p>
      <w:r>
        <w:rPr>
          <w:b/>
        </w:rPr>
        <w:t>Heads Or Body After Full Name</w:t>
      </w:r>
      <w:r>
        <w:t xml:space="preserve"> — PNG; DRC</w:t>
      </w:r>
    </w:p>
    <w:p>
      <w:bookmarkStart w:id="9034" w:name="_bkp_toc_34"/>
      <w:pPr>
        <w:pStyle w:val="Heading2"/>
      </w:pPr>
      <w:r>
        <w:t>TITLE STYLING</w:t>
      </w:r>
      <w:bookmarkEnd w:id="9034"/>
    </w:p>
    <w:p>
      <w:r>
        <w:rPr>
          <w:b/>
        </w:rPr>
        <w:t>Italic</w:t>
      </w:r>
      <w:r>
        <w:t xml:space="preserve"> — books; films; albums; songs; plays; stage shows; newspapers; magazines; computer games; named manned vessels; unfamiliar foreign words on first reference; Latin species names</w:t>
      </w:r>
    </w:p>
    <w:p>
      <w:r>
        <w:rPr>
          <w:b/>
        </w:rPr>
        <w:t>Quotation Marks</w:t>
      </w:r>
      <w:r>
        <w:t xml:space="preserve"> — chapters; sections; acts; articles; headlines; academic papers; studies; exhibitions; concerts; seminars; promotions; other named events</w:t>
      </w:r>
    </w:p>
    <w:p>
      <w:r>
        <w:rPr>
          <w:b/>
        </w:rPr>
        <w:t>Plain</w:t>
      </w:r>
      <w:r>
        <w:t xml:space="preserve"> — religious texts; reference books; dictionaries; encyclopaedias; sports events; computer programs; websites</w:t>
      </w:r>
    </w:p>
    <w:p>
      <w:r>
        <w:rPr>
          <w:b/>
        </w:rPr>
        <w:t>vessels</w:t>
      </w:r>
      <w:r>
        <w:t xml:space="preserve"> — Italicise named manned vessels; keep models, operators, prefixes and unmanned craft plain.</w:t>
      </w:r>
    </w:p>
    <w:p>
      <w:r>
        <w:rPr>
          <w:b/>
        </w:rPr>
        <w:t>web_addresses</w:t>
      </w:r>
      <w:r>
        <w:t xml:space="preserve"> — Use lower case without protocol or subdomain, eg bangkokpost.com; capitalise the publication name in running text.</w:t>
      </w:r>
    </w:p>
    <w:p>
      <w:r>
        <w:rPr>
          <w:b/>
        </w:rPr>
        <w:t>foreign_words</w:t>
      </w:r>
      <w:r>
        <w:t xml:space="preserve"> — Familiar English borrowings stand plain; otherwise italicise first mention and translate when context does not supply the meaning.</w:t>
      </w:r>
    </w:p>
    <w:p>
      <w:r>
        <w:rPr>
          <w:b/>
        </w:rPr>
        <w:t>Plain Foreign Examples</w:t>
      </w:r>
      <w:r>
        <w:t xml:space="preserve"> — soi; wat; tuk-tuk; muay Thai; ya ba; Songkran; tsunami; kamikaze; feng shui; pad Thai; som tam; sushi; lasagne</w:t>
      </w:r>
    </w:p>
    <w:p>
      <w:r>
        <w:rPr>
          <w:b/>
        </w:rPr>
        <w:t>species</w:t>
      </w:r>
      <w:r>
        <w:t xml:space="preserve"> — Put the bracketed Latin name after the common name on first reference; italicise it and capitalise the first word only.</w:t>
      </w:r>
    </w:p>
    <w:p>
      <w:r>
        <w:rPr>
          <w:b/>
        </w:rPr>
        <w:t>dcx</w:t>
      </w:r>
      <w:r>
        <w:t xml:space="preserve"> — Record required italics and quotation marks under `Styles required` in the Style Log.</w:t>
      </w:r>
    </w:p>
    <w:p>
      <w:bookmarkStart w:id="9035" w:name="_bkp_toc_35"/>
      <w:pPr>
        <w:pStyle w:val="Heading2"/>
      </w:pPr>
      <w:r>
        <w:t>LANGUAGE FORMS</w:t>
      </w:r>
      <w:bookmarkEnd w:id="9035"/>
    </w:p>
    <w:p>
      <w:r>
        <w:rPr>
          <w:b/>
        </w:rPr>
        <w:t>diacritics</w:t>
      </w:r>
      <w:r>
        <w:t xml:space="preserve"> — Drop accents, tone marks and diacritics, including in proper names.</w:t>
      </w:r>
    </w:p>
    <w:p>
      <w:bookmarkStart w:id="9036" w:name="_bkp_toc_36"/>
      <w:pPr>
        <w:pStyle w:val="Heading2"/>
      </w:pPr>
      <w:r>
        <w:t>COUNTRIES</w:t>
      </w:r>
      <w:bookmarkEnd w:id="9036"/>
    </w:p>
    <w:p>
      <w:pPr>
        <w:pStyle w:val="Heading3"/>
      </w:pPr>
      <w:r>
        <w:t>PREFERRED FORMS</w:t>
      </w:r>
    </w:p>
    <w:p>
      <w:r>
        <w:rPr>
          <w:b/>
        </w:rPr>
        <w:t>Myanmar</w:t>
      </w:r>
      <w:r>
        <w:t xml:space="preserve"> — Not Burma.</w:t>
      </w:r>
    </w:p>
    <w:p>
      <w:r>
        <w:rPr>
          <w:b/>
        </w:rPr>
        <w:t>Turkey</w:t>
      </w:r>
      <w:r>
        <w:t xml:space="preserve"> — Use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7" w:name="_bkp_toc_37"/>
      <w:pPr>
        <w:pStyle w:val="Heading2"/>
      </w:pPr>
      <w:r>
        <w:t>FOREIGN PLACES</w:t>
      </w:r>
      <w:bookmarkEnd w:id="9037"/>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8" w:name="_bkp_toc_38"/>
      <w:pPr>
        <w:pStyle w:val="Heading2"/>
      </w:pPr>
      <w:r>
        <w:t>THAI PLACES</w:t>
      </w:r>
      <w:bookmarkEnd w:id="9038"/>
    </w:p>
    <w:p>
      <w:r>
        <w:t>An unlisted Thai name stands as filed. Where it matches neither a held BKP form nor standard RTGS, query it without alteration.</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Mueang or Suvarnabhumi; Don Muang is the district;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39" w:name="_bkp_toc_39"/>
      <w:pPr>
        <w:pStyle w:val="Heading2"/>
      </w:pPr>
      <w:r>
        <w:t>ORGANISATIONS</w:t>
      </w:r>
      <w:bookmarkEnd w:id="9039"/>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0" w:name="_bkp_toc_40"/>
      <w:pPr>
        <w:pStyle w:val="Heading2"/>
      </w:pPr>
      <w:r>
        <w:t>VOCABULARY &amp; SPELLING</w:t>
      </w:r>
      <w:bookmarkEnd w:id="9040"/>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chips</w:t>
      </w:r>
      <w:r>
        <w:t xml:space="preserve"> — Crisps for bags; chips/fries for hot food.</w:t>
      </w:r>
    </w:p>
    <w:p>
      <w:r>
        <w:rPr>
          <w:b/>
        </w:rPr>
        <w:t>coach</w:t>
      </w:r>
      <w:r>
        <w:t xml:space="preserve"> — Economy class.</w:t>
      </w:r>
    </w:p>
    <w:p>
      <w:r>
        <w:rPr>
          <w:b/>
        </w:rPr>
        <w:t>football</w:t>
      </w:r>
      <w:r>
        <w:t xml:space="preserve"> — Football is for soccer; specify gridiron or American where needed.</w:t>
      </w:r>
    </w:p>
    <w:p>
      <w:r>
        <w:rPr>
          <w:b/>
        </w:rPr>
        <w:t>garage</w:t>
      </w:r>
      <w:r>
        <w:t xml:space="preserve"> — Repairs or storage only — petrol station for fuel.</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May 27,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dhamma</w:t>
      </w:r>
      <w:r>
        <w:t xml:space="preserve"> — Not dharma. (Karma is karma, not khamma.)</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serial vs series</w:t>
      </w:r>
      <w:r>
        <w:t xml:space="preserve"> — Serial = continuous plot; series = unrelated stories.</w:t>
      </w:r>
    </w:p>
    <w:p>
      <w:r>
        <w:rPr>
          <w:b/>
        </w:rPr>
        <w:t>Thai prefix</w:t>
      </w:r>
      <w:r>
        <w:t xml:space="preserve"> — Superfluous in most cases ("the Thai government"). Strip unless differentiating.</w:t>
      </w:r>
    </w:p>
    <w:p>
      <w:r>
        <w:rPr>
          <w:b/>
        </w:rPr>
        <w:t>that vs which</w:t>
      </w:r>
      <w:r>
        <w:t xml:space="preserve"> — That = definitive (no comma); which = descriptive (comma).</w:t>
      </w:r>
    </w:p>
    <w:p>
      <w:r>
        <w:rPr>
          <w:b/>
        </w:rPr>
        <w:t>transpire</w:t>
      </w:r>
      <w:r>
        <w:t xml:space="preserve"> — Means leak out, not occur or happen.</w:t>
      </w:r>
    </w:p>
    <w:p>
      <w:r>
        <w:rPr>
          <w:b/>
        </w:rPr>
        <w:t>Twitter / tweet</w:t>
      </w:r>
      <w:r>
        <w:t xml:space="preserve"> — Twitter upper; tweet lower.</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widow</w:t>
      </w:r>
      <w:r>
        <w:t xml:space="preserve"> — "Widow of the late" is tautology.</w:t>
      </w:r>
    </w:p>
    <w:p>
      <w:r>
        <w:rPr>
          <w:b/>
        </w:rPr>
        <w:t>Xmas</w:t>
      </w:r>
      <w:r>
        <w:t xml:space="preserve"> — Banned; use Christmas.</w:t>
      </w:r>
    </w:p>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180926_gpt_word-pagination | go.fuzzylogic.page/guide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180926_gpt_word-pagination | go.fuzzylogic.page/dir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180926_gpt_word-pagination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2026-09-18T03:25:26Z</dcterms:modified>
  <dc:subject>Editing + Processes + Directory</dc:subject>
  <dc:description>Mechanically generated from BLUEPRINT.txt</dc:description>
  <dc:creator>Bangkok Post Desk Editor project</dc:creator>
</cp:coreProperties>
</file>