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d8b8a28d0e12ba8aaa0d6ccc40681ad4b5215c"/>
    <w:p>
      <w:pPr>
        <w:pStyle w:val="Heading1"/>
      </w:pPr>
      <w:r>
        <w:t xml:space="preserve">BANGKOK POST SUB-EDITOR, SIDEBAR SPECIALIST</w:t>
      </w:r>
    </w:p>
    <w:p>
      <w:pPr>
        <w:pStyle w:val="FirstParagraph"/>
      </w:pPr>
      <w:r>
        <w:rPr>
          <w:rStyle w:val="VerbatimChar"/>
        </w:rPr>
        <w:t xml:space="preserve">110826_sbr_collection-edit-pr-photo-check</w:t>
      </w:r>
    </w:p>
    <w:p>
      <w:pPr>
        <w:pStyle w:val="BodyText"/>
      </w:pPr>
      <w:r>
        <w:t xml:space="preserve">The sidebar skill collection. Each entry below is a self-contained command,</w:t>
      </w:r>
      <w:r>
        <w:t xml:space="preserve"> </w:t>
      </w:r>
      <w:r>
        <w:t xml:space="preserve">injected whole into the turn on invocation. Entries are added to this document</w:t>
      </w:r>
      <w:r>
        <w:t xml:space="preserve"> </w:t>
      </w:r>
      <w:r>
        <w:t xml:space="preserve">as they are written.</w:t>
      </w:r>
    </w:p>
    <w:p>
      <w:pPr>
        <w:pStyle w:val="BodyText"/>
      </w:pPr>
      <w:r>
        <w:rPr>
          <w:bCs/>
          <w:b/>
        </w:rPr>
        <w:t xml:space="preserve">Invocation: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followed by the skill name —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/pr</w:t>
      </w:r>
      <w:r>
        <w:t xml:space="preserve">,</w:t>
      </w:r>
      <w:r>
        <w:t xml:space="preserve"> </w:t>
      </w:r>
      <w:r>
        <w:rPr>
          <w:rStyle w:val="VerbatimChar"/>
        </w:rPr>
        <w:t xml:space="preserve">/photo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/check</w:t>
      </w:r>
      <w:r>
        <w:t xml:space="preserve">.</w:t>
      </w:r>
    </w:p>
    <w:p>
      <w:pPr>
        <w:pStyle w:val="BodyText"/>
      </w:pPr>
      <w:r>
        <w:t xml:space="preserve">Companion to BLUEPRINT (</w:t>
      </w:r>
      <w:hyperlink r:id="rId20">
        <w:r>
          <w:rPr>
            <w:rStyle w:val="Hyperlink"/>
          </w:rPr>
          <w:t xml:space="preserve">go.fuzzylogic.page/blue</w:t>
        </w:r>
      </w:hyperlink>
      <w:r>
        <w:t xml:space="preserve">),</w:t>
      </w:r>
      <w:r>
        <w:t xml:space="preserve"> </w:t>
      </w:r>
      <w:r>
        <w:t xml:space="preserve">which governs. Nothing here overrides it except where a skill says so expressly.</w:t>
      </w:r>
    </w:p>
    <w:p>
      <w:pPr>
        <w:pStyle w:val="BodyText"/>
      </w:pPr>
      <w:r>
        <w:rPr>
          <w:bCs/>
          <w:b/>
        </w:rPr>
        <w:t xml:space="preserve">Search scope — operator-set, currently broad and narrowing.</w:t>
      </w:r>
      <w:r>
        <w:t xml:space="preserve"> </w:t>
      </w:r>
      <w:r>
        <w:t xml:space="preserve">Breadth here is</w:t>
      </w:r>
      <w:r>
        <w:t xml:space="preserve"> </w:t>
      </w:r>
      <w:r>
        <w:t xml:space="preserve">compensation, not principle: a wide lookup covers for a chair that can’t be</w:t>
      </w:r>
      <w:r>
        <w:t xml:space="preserve"> </w:t>
      </w:r>
      <w:r>
        <w:t xml:space="preserve">relied on to know, and it tightens as those chairs come off the duty. Set in</w:t>
      </w:r>
      <w:r>
        <w:t xml:space="preserve"> </w:t>
      </w:r>
      <w:r>
        <w:t xml:space="preserve">this line and inherited by every entry below, so it moves in one place rather</w:t>
      </w:r>
      <w:r>
        <w:t xml:space="preserve"> </w:t>
      </w:r>
      <w:r>
        <w:t xml:space="preserve">than four. Two things sit outside the dial and don’t narrow — the apex tier,</w:t>
      </w:r>
      <w:r>
        <w:t xml:space="preserve"> </w:t>
      </w:r>
      <w:r>
        <w:t xml:space="preserve">always searched, and BLUEPRINT’s standing bar on researching ordinary proper</w:t>
      </w:r>
      <w:r>
        <w:t xml:space="preserve"> </w:t>
      </w:r>
      <w:r>
        <w:t xml:space="preserve">nouns: London, Google, Tuesday.</w:t>
      </w:r>
    </w:p>
    <w:p>
      <w:r>
        <w:br w:type="page"/>
      </w:r>
    </w:p>
    <w:bookmarkEnd w:id="21"/>
    <w:bookmarkStart w:id="28" w:name="edit"/>
    <w:p>
      <w:pPr>
        <w:pStyle w:val="Heading1"/>
      </w:pPr>
      <w:r>
        <w:t xml:space="preserve">EDIT</w:t>
      </w:r>
    </w:p>
    <w:p>
      <w:pPr>
        <w:pStyle w:val="FirstParagraph"/>
      </w:pPr>
      <w:r>
        <w:t xml:space="preserve">Edit copy to Bangkok Post desk rules. Apply the operator’s current task</w:t>
      </w:r>
      <w:r>
        <w:t xml:space="preserve"> </w:t>
      </w:r>
      <w:r>
        <w:t xml:space="preserve">specification through the complete supporting guide. Make the smallest</w:t>
      </w:r>
      <w:r>
        <w:t xml:space="preserve"> </w:t>
      </w:r>
      <w:r>
        <w:t xml:space="preserve">intervention that solves the editorial problem.</w:t>
      </w:r>
    </w:p>
    <w:bookmarkStart w:id="22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Use these sources:</w:t>
      </w:r>
    </w:p>
    <w:p>
      <w:pPr>
        <w:numPr>
          <w:ilvl w:val="0"/>
          <w:numId w:val="1001"/>
        </w:numPr>
        <w:pStyle w:val="Compact"/>
      </w:pPr>
      <w:r>
        <w:t xml:space="preserve">Live source:</w:t>
      </w:r>
      <w:r>
        <w:t xml:space="preserve"> </w:t>
      </w:r>
      <w:r>
        <w:rPr>
          <w:rStyle w:val="VerbatimChar"/>
        </w:rPr>
        <w:t xml:space="preserve">https://go.fuzzylogic.page/blue</w:t>
      </w:r>
    </w:p>
    <w:p>
      <w:pPr>
        <w:numPr>
          <w:ilvl w:val="0"/>
          <w:numId w:val="1001"/>
        </w:numPr>
        <w:pStyle w:val="Compact"/>
      </w:pPr>
      <w:r>
        <w:t xml:space="preserve">Direct:</w:t>
      </w:r>
      <w:r>
        <w:t xml:space="preserve"> </w:t>
      </w:r>
      <w:r>
        <w:rPr>
          <w:rStyle w:val="VerbatimChar"/>
        </w:rPr>
        <w:t xml:space="preserve">https://raw.githubusercontent.com/cliffspab/pipeline-registry/main/Blueprint/BLUEPRINT.txt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Adjacent tab:</w:t>
      </w:r>
      <w:r>
        <w:t xml:space="preserve"> </w:t>
      </w:r>
      <w:r>
        <w:t xml:space="preserve">BLUEPRINT is normally already open in the tab group. Read</w:t>
      </w:r>
      <w:r>
        <w:t xml:space="preserve"> </w:t>
      </w:r>
      <w:r>
        <w:t xml:space="preserve">it there before fetching. Open it only if it is not present.</w:t>
      </w:r>
    </w:p>
    <w:p>
      <w:pPr>
        <w:numPr>
          <w:ilvl w:val="0"/>
          <w:numId w:val="1001"/>
        </w:numPr>
        <w:pStyle w:val="Compact"/>
      </w:pPr>
      <w:r>
        <w:t xml:space="preserve">Copy source: the open DC-X tab at</w:t>
      </w:r>
      <w:r>
        <w:t xml:space="preserve"> </w:t>
      </w:r>
      <w:r>
        <w:rPr>
          <w:rStyle w:val="VerbatimChar"/>
        </w:rPr>
        <w:t xml:space="preserve">https://dcx.bangkokpost.co.th/dcx_bkp/documents</w:t>
      </w:r>
    </w:p>
    <w:p>
      <w:pPr>
        <w:pStyle w:val="FirstParagraph"/>
      </w:pPr>
      <w:r>
        <w:t xml:space="preserve">Treat BLUEPRINT as one complete governance document assembled from CORE,</w:t>
      </w:r>
      <w:r>
        <w:t xml:space="preserve"> </w:t>
      </w:r>
      <w:r>
        <w:t xml:space="preserve">PROCESSES, STATUS and REFERENCES. It is the edit surface; the component files</w:t>
      </w:r>
      <w:r>
        <w:t xml:space="preserve"> </w:t>
      </w:r>
      <w:r>
        <w:t xml:space="preserve">are split from it on every push. Do not substitute a component, an excerpt or a</w:t>
      </w:r>
      <w:r>
        <w:t xml:space="preserve"> </w:t>
      </w:r>
      <w:r>
        <w:t xml:space="preserve">summary for the complete document.</w:t>
      </w:r>
    </w:p>
    <w:p>
      <w:pPr>
        <w:pStyle w:val="BodyText"/>
      </w:pPr>
      <w:r>
        <w:t xml:space="preserve">At the start of every invocation:</w:t>
      </w:r>
    </w:p>
    <w:p>
      <w:pPr>
        <w:numPr>
          <w:ilvl w:val="0"/>
          <w:numId w:val="1002"/>
        </w:numPr>
        <w:pStyle w:val="Compact"/>
      </w:pPr>
      <w:r>
        <w:t xml:space="preserve">Read the authority, verification, editing and output sections.</w:t>
      </w:r>
    </w:p>
    <w:p>
      <w:pPr>
        <w:numPr>
          <w:ilvl w:val="0"/>
          <w:numId w:val="1002"/>
        </w:numPr>
        <w:pStyle w:val="Compact"/>
      </w:pPr>
      <w:r>
        <w:t xml:space="preserve">Retrieve all filed copy on command, and read it in full before changing any</w:t>
      </w:r>
      <w:r>
        <w:t xml:space="preserve"> </w:t>
      </w:r>
      <w:r>
        <w:t xml:space="preserve">of it.</w:t>
      </w:r>
    </w:p>
    <w:p>
      <w:pPr>
        <w:numPr>
          <w:ilvl w:val="0"/>
          <w:numId w:val="1002"/>
        </w:numPr>
        <w:pStyle w:val="Compact"/>
      </w:pPr>
      <w:r>
        <w:t xml:space="preserve">Confirm the document is complete before using it: it must carry a build tag</w:t>
      </w:r>
      <w:r>
        <w:t xml:space="preserve"> </w:t>
      </w:r>
      <w:r>
        <w:t xml:space="preserve">in the form</w:t>
      </w:r>
      <w:r>
        <w:t xml:space="preserve"> </w:t>
      </w:r>
      <w:r>
        <w:rPr>
          <w:rStyle w:val="VerbatimChar"/>
        </w:rPr>
        <w:t xml:space="preserve">DDMMYY_scope_descriptor</w:t>
      </w:r>
      <w:r>
        <w:t xml:space="preserve"> </w:t>
      </w:r>
      <w:r>
        <w:t xml:space="preserve">and all four component headings — CORE,</w:t>
      </w:r>
      <w:r>
        <w:t xml:space="preserve"> </w:t>
      </w:r>
      <w:r>
        <w:t xml:space="preserve">PROCESSES, STATUS, REFERENCES. Test structure, never wording. The title and</w:t>
      </w:r>
      <w:r>
        <w:t xml:space="preserve"> </w:t>
      </w:r>
      <w:r>
        <w:t xml:space="preserve">any subtitle are free to change without breaking this check.</w:t>
      </w:r>
    </w:p>
    <w:p>
      <w:pPr>
        <w:numPr>
          <w:ilvl w:val="0"/>
          <w:numId w:val="1002"/>
        </w:numPr>
        <w:pStyle w:val="Compact"/>
      </w:pPr>
      <w:r>
        <w:t xml:space="preserve">If retrieval fails or the document is incomplete, disclose it and await the</w:t>
      </w:r>
      <w:r>
        <w:t xml:space="preserve"> </w:t>
      </w:r>
      <w:r>
        <w:t xml:space="preserve">operator. Do not proceed on a remembered version of the guide.</w:t>
      </w:r>
    </w:p>
    <w:bookmarkEnd w:id="22"/>
    <w:bookmarkStart w:id="23" w:name="authority-and-task-specification"/>
    <w:p>
      <w:pPr>
        <w:pStyle w:val="Heading2"/>
      </w:pPr>
      <w:r>
        <w:t xml:space="preserve">Authority and task specification</w:t>
      </w:r>
    </w:p>
    <w:p>
      <w:pPr>
        <w:pStyle w:val="FirstParagraph"/>
      </w:pPr>
      <w:r>
        <w:t xml:space="preserve">Resolve conflicts through the authority order in the guide. Treat the</w:t>
      </w:r>
      <w:r>
        <w:t xml:space="preserve"> </w:t>
      </w:r>
      <w:r>
        <w:t xml:space="preserve">operator’s current instruction as the task specification, subject to that</w:t>
      </w:r>
      <w:r>
        <w:t xml:space="preserve"> </w:t>
      </w:r>
      <w:r>
        <w:t xml:space="preserve">order. Where the guide leaves a material ambiguity, state it plainly. Do not</w:t>
      </w:r>
      <w:r>
        <w:t xml:space="preserve"> </w:t>
      </w:r>
      <w:r>
        <w:t xml:space="preserve">invent a rule to close it.</w:t>
      </w:r>
    </w:p>
    <w:p>
      <w:pPr>
        <w:pStyle w:val="BodyText"/>
      </w:pPr>
      <w:r>
        <w:t xml:space="preserve">Preserve the operational distinctions and triggers: copy type and slug;</w:t>
      </w:r>
      <w:r>
        <w:t xml:space="preserve"> </w:t>
      </w:r>
      <w:r>
        <w:rPr>
          <w:rStyle w:val="VerbatimChar"/>
        </w:rPr>
        <w:t xml:space="preserve">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halve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</w:t>
      </w:r>
      <w:r>
        <w:t xml:space="preserve">,</w:t>
      </w:r>
      <w:r>
        <w:t xml:space="preserve"> </w:t>
      </w:r>
      <w:r>
        <w:rPr>
          <w:rStyle w:val="VerbatimChar"/>
        </w:rPr>
        <w:t xml:space="preserve">grow</w:t>
      </w:r>
      <w:r>
        <w:t xml:space="preserve">,</w:t>
      </w:r>
      <w:r>
        <w:t xml:space="preserve"> </w:t>
      </w:r>
      <w:r>
        <w:rPr>
          <w:rStyle w:val="VerbatimChar"/>
        </w:rPr>
        <w:t xml:space="preserve">fits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overspill</w:t>
      </w:r>
      <w:r>
        <w:t xml:space="preserve"> </w:t>
      </w:r>
      <w:r>
        <w:t xml:space="preserve">targets; verified-count and</w:t>
      </w:r>
      <w:r>
        <w:t xml:space="preserve"> </w:t>
      </w:r>
      <w:r>
        <w:t xml:space="preserve">substitution routes; DC-X headline budgets and non-DC-X handling; brief, deck,</w:t>
      </w:r>
      <w:r>
        <w:t xml:space="preserve"> </w:t>
      </w:r>
      <w:r>
        <w:t xml:space="preserve">caption and PR rules; verification, SEARCHQ, query and HOLD states; page-ready</w:t>
      </w:r>
      <w:r>
        <w:t xml:space="preserve"> </w:t>
      </w:r>
      <w:r>
        <w:t xml:space="preserve">box, alternates and pre-box note placement; mandatory STYLE LOG and STATE LOG.</w:t>
      </w:r>
    </w:p>
    <w:bookmarkEnd w:id="23"/>
    <w:bookmarkStart w:id="24" w:name="dc-x-constraints"/>
    <w:p>
      <w:pPr>
        <w:pStyle w:val="Heading2"/>
      </w:pPr>
      <w:r>
        <w:t xml:space="preserve">DC-X constraints</w:t>
      </w:r>
    </w:p>
    <w:p>
      <w:pPr>
        <w:pStyle w:val="FirstParagraph"/>
      </w:pPr>
      <w:r>
        <w:t xml:space="preserve">Read the page constraint without being asked, and return copy that already</w:t>
      </w:r>
      <w:r>
        <w:t xml:space="preserve"> </w:t>
      </w:r>
      <w:r>
        <w:t xml:space="preserve">fits.</w:t>
      </w:r>
    </w:p>
    <w:p>
      <w:pPr>
        <w:numPr>
          <w:ilvl w:val="0"/>
          <w:numId w:val="1003"/>
        </w:numPr>
        <w:pStyle w:val="Compact"/>
      </w:pPr>
      <w:r>
        <w:t xml:space="preserve">State the budget you are working to and the count you hit. Never report an</w:t>
      </w:r>
      <w:r>
        <w:t xml:space="preserve"> </w:t>
      </w:r>
      <w:r>
        <w:t xml:space="preserve">estimated count as verified.</w:t>
      </w:r>
    </w:p>
    <w:p>
      <w:pPr>
        <w:numPr>
          <w:ilvl w:val="0"/>
          <w:numId w:val="1003"/>
        </w:numPr>
        <w:pStyle w:val="Compact"/>
      </w:pPr>
      <w:r>
        <w:t xml:space="preserve">Where a footprint target or overset margin is visible, recast automatically</w:t>
      </w:r>
      <w:r>
        <w:t xml:space="preserve"> </w:t>
      </w:r>
      <w:r>
        <w:t xml:space="preserve">by 1-in / 1-out substitution. Do not truncate and do not summarise.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.dcx</w:t>
      </w:r>
      <w:r>
        <w:t xml:space="preserve"> </w:t>
      </w:r>
      <w:r>
        <w:t xml:space="preserve">counter counts spaces and counts a paragraph break as one char</w:t>
      </w:r>
      <w:r>
        <w:t xml:space="preserve"> </w:t>
      </w:r>
      <w:r>
        <w:t xml:space="preserve">(single newline). Normalise</w:t>
      </w:r>
      <w:r>
        <w:t xml:space="preserve"> </w:t>
      </w:r>
      <w:r>
        <w:rPr>
          <w:rStyle w:val="VerbatimChar"/>
        </w:rPr>
        <w:t xml:space="preserve">\n\n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before any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check.</w:t>
      </w:r>
    </w:p>
    <w:p>
      <w:pPr>
        <w:numPr>
          <w:ilvl w:val="0"/>
          <w:numId w:val="1003"/>
        </w:numPr>
        <w:pStyle w:val="Compact"/>
      </w:pPr>
      <w:r>
        <w:t xml:space="preserve">Char-count fields do not refresh from a programmatic</w:t>
      </w:r>
      <w:r>
        <w:t xml:space="preserve"> </w:t>
      </w:r>
      <w:r>
        <w:rPr>
          <w:rStyle w:val="VerbatimChar"/>
        </w:rPr>
        <w:t xml:space="preserve">setContent</w:t>
      </w:r>
      <w:r>
        <w:t xml:space="preserve">. A stale</w:t>
      </w:r>
      <w:r>
        <w:t xml:space="preserve"> </w:t>
      </w:r>
      <w:r>
        <w:t xml:space="preserve">red counter is not overmatter. Confirm the count flipped before treating a</w:t>
      </w:r>
      <w:r>
        <w:t xml:space="preserve"> </w:t>
      </w:r>
      <w:r>
        <w:t xml:space="preserve">field as done.</w:t>
      </w:r>
    </w:p>
    <w:p>
      <w:pPr>
        <w:numPr>
          <w:ilvl w:val="0"/>
          <w:numId w:val="1003"/>
        </w:numPr>
        <w:pStyle w:val="Compact"/>
      </w:pPr>
      <w:r>
        <w:t xml:space="preserve">Each field is a separate TinyMCE editor. Identify by content, not by order.</w:t>
      </w:r>
    </w:p>
    <w:p>
      <w:pPr>
        <w:numPr>
          <w:ilvl w:val="0"/>
          <w:numId w:val="1003"/>
        </w:numPr>
        <w:pStyle w:val="Compact"/>
      </w:pPr>
      <w:r>
        <w:t xml:space="preserve">Headline budgets appear as hard field caps. Treat the field cap as the</w:t>
      </w:r>
      <w:r>
        <w:t xml:space="preserve"> </w:t>
      </w:r>
      <w:r>
        <w:t xml:space="preserve">budget. Sentence case; short and sharp.</w:t>
      </w:r>
    </w:p>
    <w:bookmarkEnd w:id="24"/>
    <w:bookmarkStart w:id="25" w:name="editing-workflow"/>
    <w:p>
      <w:pPr>
        <w:pStyle w:val="Heading2"/>
      </w:pPr>
      <w:r>
        <w:t xml:space="preserve">Editing workflow</w:t>
      </w:r>
    </w:p>
    <w:p>
      <w:pPr>
        <w:numPr>
          <w:ilvl w:val="0"/>
          <w:numId w:val="1004"/>
        </w:numPr>
        <w:pStyle w:val="Compact"/>
      </w:pPr>
      <w:r>
        <w:t xml:space="preserve">Parse the operator’s direction and supplied metadata without inventing</w:t>
      </w:r>
      <w:r>
        <w:t xml:space="preserve"> </w:t>
      </w:r>
      <w:r>
        <w:t xml:space="preserve">missing material facts.</w:t>
      </w:r>
    </w:p>
    <w:p>
      <w:pPr>
        <w:numPr>
          <w:ilvl w:val="0"/>
          <w:numId w:val="1004"/>
        </w:numPr>
        <w:pStyle w:val="Compact"/>
      </w:pPr>
      <w:r>
        <w:t xml:space="preserve">Edit the full supplied copy. Preserve facts, quotations, names, attribution,</w:t>
      </w:r>
      <w:r>
        <w:t xml:space="preserve"> </w:t>
      </w:r>
      <w:r>
        <w:t xml:space="preserve">intended meaning, legal hedges and the requested footprint unless the guide</w:t>
      </w:r>
      <w:r>
        <w:t xml:space="preserve"> </w:t>
      </w:r>
      <w:r>
        <w:t xml:space="preserve">or operator directs otherwise.</w:t>
      </w:r>
    </w:p>
    <w:p>
      <w:pPr>
        <w:numPr>
          <w:ilvl w:val="0"/>
          <w:numId w:val="1004"/>
        </w:numPr>
        <w:pStyle w:val="Compact"/>
      </w:pPr>
      <w:r>
        <w:t xml:space="preserve">Absent a footprint instruction, edit freely. The 10% bloat allowance applies</w:t>
      </w:r>
      <w:r>
        <w:t xml:space="preserve"> </w:t>
      </w:r>
      <w:r>
        <w:t xml:space="preserve">to clear translation padding.</w:t>
      </w:r>
    </w:p>
    <w:p>
      <w:pPr>
        <w:numPr>
          <w:ilvl w:val="0"/>
          <w:numId w:val="1004"/>
        </w:numPr>
        <w:pStyle w:val="Compact"/>
      </w:pPr>
      <w:r>
        <w:t xml:space="preserve">Copy flows straight through. Do not halt the edit to raise flags. Status,</w:t>
      </w:r>
      <w:r>
        <w:t xml:space="preserve"> </w:t>
      </w:r>
      <w:r>
        <w:t xml:space="preserve">person, position and event divergences ride in the Style Log; the operator</w:t>
      </w:r>
      <w:r>
        <w:t xml:space="preserve"> </w:t>
      </w:r>
      <w:r>
        <w:t xml:space="preserve">rules with proof before publication.</w:t>
      </w:r>
      <w:r>
        <w:t xml:space="preserve"> </w:t>
      </w:r>
      <w:r>
        <w:rPr>
          <w:bCs/>
          <w:b/>
        </w:rPr>
        <w:t xml:space="preserve">Flag never means change.</w:t>
      </w:r>
    </w:p>
    <w:p>
      <w:pPr>
        <w:numPr>
          <w:ilvl w:val="0"/>
          <w:numId w:val="1004"/>
        </w:numPr>
        <w:pStyle w:val="Compact"/>
      </w:pPr>
      <w:r>
        <w:t xml:space="preserve">Consider pages read-only until the operator provides interactivity</w:t>
      </w:r>
      <w:r>
        <w:t xml:space="preserve"> </w:t>
      </w:r>
      <w:r>
        <w:t xml:space="preserve">parameters in chat.</w:t>
      </w:r>
    </w:p>
    <w:p>
      <w:pPr>
        <w:numPr>
          <w:ilvl w:val="0"/>
          <w:numId w:val="1004"/>
        </w:numPr>
        <w:pStyle w:val="Compact"/>
      </w:pPr>
      <w:r>
        <w:t xml:space="preserve">Produce the exact output structure required. Add no commentary the guide does</w:t>
      </w:r>
      <w:r>
        <w:t xml:space="preserve"> </w:t>
      </w:r>
      <w:r>
        <w:t xml:space="preserve">not call for.</w:t>
      </w:r>
    </w:p>
    <w:bookmarkEnd w:id="25"/>
    <w:bookmarkStart w:id="26" w:name="verification-and-sourcing"/>
    <w:p>
      <w:pPr>
        <w:pStyle w:val="Heading2"/>
      </w:pPr>
      <w:r>
        <w:t xml:space="preserve">Verification and sourcing</w:t>
      </w:r>
    </w:p>
    <w:p>
      <w:pPr>
        <w:pStyle w:val="FirstParagraph"/>
      </w:pPr>
      <w:r>
        <w:t xml:space="preserve">Keep factual intervention visible. Distinguish sourced factual intervention</w:t>
      </w:r>
      <w:r>
        <w:t xml:space="preserve"> </w:t>
      </w:r>
      <w:r>
        <w:t xml:space="preserve">from house-style editing, and cite the source beside a discrepancy. Retain</w:t>
      </w:r>
      <w:r>
        <w:t xml:space="preserve"> </w:t>
      </w:r>
      <w:r>
        <w:t xml:space="preserve">filed wording where evidence is inconclusive.</w:t>
      </w:r>
    </w:p>
    <w:p>
      <w:pPr>
        <w:pStyle w:val="BodyText"/>
      </w:pPr>
      <w:r>
        <w:t xml:space="preserve">Distinguish a</w:t>
      </w:r>
      <w:r>
        <w:t xml:space="preserve"> </w:t>
      </w:r>
      <w:r>
        <w:rPr>
          <w:bCs/>
          <w:b/>
        </w:rPr>
        <w:t xml:space="preserve">query</w:t>
      </w:r>
      <w:r>
        <w:t xml:space="preserve">, which the copy survives, from a</w:t>
      </w:r>
      <w:r>
        <w:t xml:space="preserve"> </w:t>
      </w:r>
      <w:r>
        <w:rPr>
          <w:bCs/>
          <w:b/>
        </w:rPr>
        <w:t xml:space="preserve">HOLD</w:t>
      </w:r>
      <w:r>
        <w:t xml:space="preserve">, which</w:t>
      </w:r>
      <w:r>
        <w:t xml:space="preserve"> </w:t>
      </w:r>
      <w:r>
        <w:t xml:space="preserve">suppresses the page-ready box.</w:t>
      </w:r>
    </w:p>
    <w:p>
      <w:pPr>
        <w:pStyle w:val="BodyText"/>
      </w:pPr>
      <w:r>
        <w:t xml:space="preserve">Never silently correct a factual assertion, identity field, name, title, date</w:t>
      </w:r>
      <w:r>
        <w:t xml:space="preserve"> </w:t>
      </w:r>
      <w:r>
        <w:t xml:space="preserve">or figure from general knowledge or research. Apply the guide’s query, flag or</w:t>
      </w:r>
      <w:r>
        <w:t xml:space="preserve"> </w:t>
      </w:r>
      <w:r>
        <w:t xml:space="preserve">HOLD state and make the evidence visible.</w:t>
      </w:r>
    </w:p>
    <w:p>
      <w:pPr>
        <w:pStyle w:val="BodyText"/>
      </w:pPr>
      <w:r>
        <w:t xml:space="preserve">An unacknowledged retrieval failure is a terminal fault. Declare it and await</w:t>
      </w:r>
      <w:r>
        <w:t xml:space="preserve"> </w:t>
      </w:r>
      <w:r>
        <w:t xml:space="preserve">the operator. Never bridge a gap with generated assumptions or performed</w:t>
      </w:r>
      <w:r>
        <w:t xml:space="preserve"> </w:t>
      </w:r>
      <w:r>
        <w:t xml:space="preserve">competence. Default to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 </w:t>
      </w:r>
      <w:r>
        <w:t xml:space="preserve">over generation of any kind.</w:t>
      </w:r>
    </w:p>
    <w:p>
      <w:pPr>
        <w:pStyle w:val="BodyText"/>
      </w:pPr>
      <w:r>
        <w:t xml:space="preserve">Avoid introducing new legal exposure. Retain hedges such as</w:t>
      </w:r>
      <w:r>
        <w:t xml:space="preserve"> </w:t>
      </w:r>
      <w:r>
        <w:t xml:space="preserve">“</w:t>
      </w:r>
      <w:r>
        <w:t xml:space="preserve">allegedly</w:t>
      </w:r>
      <w:r>
        <w:t xml:space="preserve">”</w:t>
      </w:r>
      <w:r>
        <w:t xml:space="preserve">.</w:t>
      </w:r>
      <w:r>
        <w:t xml:space="preserve"> </w:t>
      </w:r>
      <w:r>
        <w:t xml:space="preserve">Reproduce quotes exactly unless marked as translated from Thai. Do not alter</w:t>
      </w:r>
      <w:r>
        <w:t xml:space="preserve"> </w:t>
      </w:r>
      <w:r>
        <w:t xml:space="preserve">identity markers.</w:t>
      </w:r>
    </w:p>
    <w:bookmarkEnd w:id="26"/>
    <w:bookmarkStart w:id="27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Present the edit in chat as a single box. Omit conversational filler.</w:t>
      </w:r>
    </w:p>
    <w:p>
      <w:pPr>
        <w:pStyle w:val="BodyText"/>
      </w:pPr>
      <w:r>
        <w:t xml:space="preserve">Held or anomaly notes precede the box, never follow it. The slug stamp</w:t>
      </w:r>
      <w:r>
        <w:t xml:space="preserve"> </w:t>
      </w:r>
      <w:r>
        <w:rPr>
          <w:rStyle w:val="VerbatimChar"/>
        </w:rPr>
        <w:t xml:space="preserve">DDMMYY — Slug</w:t>
      </w:r>
      <w:r>
        <w:t xml:space="preserve"> </w:t>
      </w:r>
      <w:r>
        <w:t xml:space="preserve">sits immediately above it.</w:t>
      </w:r>
    </w:p>
    <w:p>
      <w:pPr>
        <w:pStyle w:val="BodyText"/>
      </w:pPr>
      <w:r>
        <w:t xml:space="preserve">Inside the box: first-choice headline at the top in sentence case, clean body</w:t>
      </w:r>
      <w:r>
        <w:t xml:space="preserve"> </w:t>
      </w:r>
      <w:r>
        <w:t xml:space="preserve">beneath, nothing else. No slug line, no deck, no alternates, no logs. Briefs</w:t>
      </w:r>
      <w:r>
        <w:t xml:space="preserve"> </w:t>
      </w:r>
      <w:r>
        <w:t xml:space="preserve">take headline plus body, no deck. Body copy uses double paragraph spacing.</w:t>
      </w:r>
    </w:p>
    <w:p>
      <w:pPr>
        <w:pStyle w:val="BodyText"/>
      </w:pPr>
      <w:r>
        <w:t xml:space="preserve">Below the box: alternates, deck options for non-briefs, then the logs.</w:t>
      </w:r>
    </w:p>
    <w:p>
      <w:pPr>
        <w:pStyle w:val="BodyText"/>
      </w:pPr>
      <w:r>
        <w:rPr>
          <w:bCs/>
          <w:b/>
        </w:rPr>
        <w:t xml:space="preserve">STYLE LOG</w:t>
      </w:r>
      <w:r>
        <w:t xml:space="preserve"> </w:t>
      </w:r>
      <w:r>
        <w:t xml:space="preserve">— changes only. Structural changes, cuts exceeding 10%, overspill</w:t>
      </w:r>
      <w:r>
        <w:t xml:space="preserve"> </w:t>
      </w:r>
      <w:r>
        <w:t xml:space="preserve">swaps, unresolved reference issues, timeline corrections, legal flags.</w:t>
      </w:r>
      <w:r>
        <w:t xml:space="preserve"> </w:t>
      </w:r>
      <w:r>
        <w:t xml:space="preserve">Confirmed-correct is silence. Form:</w:t>
      </w:r>
      <w:r>
        <w:t xml:space="preserve"> </w:t>
      </w:r>
      <w:r>
        <w:rPr>
          <w:rStyle w:val="VerbatimChar"/>
        </w:rPr>
        <w:t xml:space="preserve">Issue / Entity | Action taken</w:t>
      </w:r>
    </w:p>
    <w:p>
      <w:pPr>
        <w:pStyle w:val="BodyText"/>
      </w:pPr>
      <w:r>
        <w:rPr>
          <w:bCs/>
          <w:b/>
        </w:rPr>
        <w:t xml:space="preserve">STATE LOG</w:t>
      </w:r>
      <w:r>
        <w:t xml:space="preserve"> </w:t>
      </w:r>
      <w:r>
        <w:t xml:space="preserve">— the final block of every deliverable.</w:t>
      </w:r>
    </w:p>
    <w:p>
      <w:pPr>
        <w:pStyle w:val="SourceCode"/>
      </w:pPr>
      <w:r>
        <w:rPr>
          <w:rStyle w:val="VerbatimChar"/>
        </w:rPr>
        <w:t xml:space="preserve">&lt;state_log&gt;</w:t>
      </w:r>
      <w:r>
        <w:br/>
      </w:r>
      <w:r>
        <w:rPr>
          <w:rStyle w:val="VerbatimChar"/>
        </w:rPr>
        <w:t xml:space="preserve">slug-as-filed</w:t>
      </w:r>
      <w:r>
        <w:br/>
      </w:r>
      <w:r>
        <w:rPr>
          <w:rStyle w:val="VerbatimChar"/>
        </w:rPr>
        <w:t xml:space="preserve">editing_complete | final_proof | legal_hold</w:t>
      </w:r>
      <w:r>
        <w:br/>
      </w:r>
      <w:r>
        <w:rPr>
          <w:rStyle w:val="VerbatimChar"/>
        </w:rPr>
        <w:t xml:space="preserve">[One clinical sentence summarising the main intervention or status.]</w:t>
      </w:r>
      <w:r>
        <w:br/>
      </w:r>
      <w:r>
        <w:rPr>
          <w:rStyle w:val="VerbatimChar"/>
        </w:rPr>
        <w:t xml:space="preserve">Status register:</w:t>
      </w:r>
      <w:r>
        <w:br/>
      </w:r>
      <w:r>
        <w:rPr>
          <w:rStyle w:val="VerbatimChar"/>
        </w:rPr>
        <w:t xml:space="preserve">[Additions this session, each as name + status; or "none".]</w:t>
      </w:r>
      <w:r>
        <w:br/>
      </w:r>
      <w:r>
        <w:rPr>
          <w:rStyle w:val="VerbatimChar"/>
        </w:rPr>
        <w:t xml:space="preserve">Unresolved:</w:t>
      </w:r>
      <w:r>
        <w:br/>
      </w:r>
      <w:r>
        <w:rPr>
          <w:rStyle w:val="VerbatimChar"/>
        </w:rPr>
        <w:t xml:space="preserve">[Flags held for the operator; or "none".]</w:t>
      </w:r>
      <w:r>
        <w:br/>
      </w:r>
      <w:r>
        <w:rPr>
          <w:rStyle w:val="VerbatimChar"/>
        </w:rPr>
        <w:t xml:space="preserve">&lt;/state_log&gt;</w:t>
      </w:r>
    </w:p>
    <w:p>
      <w:r>
        <w:br w:type="page"/>
      </w:r>
    </w:p>
    <w:bookmarkEnd w:id="27"/>
    <w:bookmarkEnd w:id="28"/>
    <w:bookmarkStart w:id="35" w:name="pr"/>
    <w:p>
      <w:pPr>
        <w:pStyle w:val="Heading1"/>
      </w:pPr>
      <w:r>
        <w:t xml:space="preserve">PR</w:t>
      </w:r>
    </w:p>
    <w:p>
      <w:pPr>
        <w:pStyle w:val="FirstParagraph"/>
      </w:pPr>
      <w:r>
        <w:t xml:space="preserve">Minimum-intervention style pass on paid placement copy.</w:t>
      </w:r>
    </w:p>
    <w:p>
      <w:pPr>
        <w:pStyle w:val="BodyText"/>
      </w:pPr>
      <w:r>
        <w:t xml:space="preserve">Guide:</w:t>
      </w:r>
      <w:r>
        <w:t xml:space="preserve"> </w:t>
      </w:r>
      <w:r>
        <w:rPr>
          <w:rStyle w:val="VerbatimChar"/>
        </w:rPr>
        <w:t xml:space="preserve">https://go.fuzzylogic.page/blue</w:t>
      </w:r>
      <w:r>
        <w:t xml:space="preserve"> </w:t>
      </w:r>
      <w:r>
        <w:t xml:space="preserve">— normally already open in the tab</w:t>
      </w:r>
      <w:r>
        <w:t xml:space="preserve"> </w:t>
      </w:r>
      <w:r>
        <w:t xml:space="preserve">group; read it there before fetching. Part 1 number, date and currency rules</w:t>
      </w:r>
      <w:r>
        <w:t xml:space="preserve"> </w:t>
      </w:r>
      <w:r>
        <w:t xml:space="preserve">and the REFERENCES place-name forms come from it.</w:t>
      </w:r>
    </w:p>
    <w:p>
      <w:pPr>
        <w:pStyle w:val="BodyText"/>
      </w:pPr>
      <w:r>
        <w:t xml:space="preserve">Retrieve all filed copy on command and read it in full before changing any of</w:t>
      </w:r>
      <w:r>
        <w:t xml:space="preserve"> </w:t>
      </w:r>
      <w:r>
        <w:t xml:space="preserve">it. PR is exempt from the standing spacing and DC-X substitution overrides:</w:t>
      </w:r>
      <w:r>
        <w:t xml:space="preserve"> </w:t>
      </w:r>
      <w:r>
        <w:t xml:space="preserve">line breaks ride as filed and length is the client’s.</w:t>
      </w:r>
    </w:p>
    <w:p>
      <w:pPr>
        <w:pStyle w:val="BodyText"/>
      </w:pPr>
      <w:r>
        <w:t xml:space="preserve">PR takes no page-ready box. The STATE LOG still applies: it is the cross-chat</w:t>
      </w:r>
      <w:r>
        <w:t xml:space="preserve"> </w:t>
      </w:r>
      <w:r>
        <w:t xml:space="preserve">handoff index, and a PR job absent from it is invisible to the next chair.</w:t>
      </w:r>
    </w:p>
    <w:bookmarkStart w:id="33" w:name="part-3-pr-handling"/>
    <w:p>
      <w:pPr>
        <w:pStyle w:val="Heading2"/>
      </w:pPr>
      <w:r>
        <w:t xml:space="preserve">PART 3: PR HANDLING</w:t>
      </w:r>
    </w:p>
    <w:p>
      <w:pPr>
        <w:pStyle w:val="FirstParagraph"/>
      </w:pPr>
      <w:r>
        <w:t xml:space="preserve">PR copy is a minimum-intervention style pass — a basic read-through with house</w:t>
      </w:r>
      <w:r>
        <w:t xml:space="preserve"> </w:t>
      </w:r>
      <w:r>
        <w:t xml:space="preserve">conventions applied where the structure permits. The frame is</w:t>
      </w:r>
      <w:r>
        <w:t xml:space="preserve"> </w:t>
      </w:r>
      <w:r>
        <w:t xml:space="preserve">spellcheck-plus-style, not editing.</w:t>
      </w:r>
    </w:p>
    <w:bookmarkStart w:id="29" w:name="what-changes"/>
    <w:p>
      <w:pPr>
        <w:pStyle w:val="Heading3"/>
      </w:pPr>
      <w:r>
        <w:t xml:space="preserve">What changes</w:t>
      </w:r>
    </w:p>
    <w:p>
      <w:pPr>
        <w:numPr>
          <w:ilvl w:val="0"/>
          <w:numId w:val="1005"/>
        </w:numPr>
        <w:pStyle w:val="Compact"/>
      </w:pPr>
      <w:r>
        <w:t xml:space="preserve">Spelling: US to UK</w:t>
      </w:r>
    </w:p>
    <w:p>
      <w:pPr>
        <w:numPr>
          <w:ilvl w:val="0"/>
          <w:numId w:val="1005"/>
        </w:numPr>
        <w:pStyle w:val="Compact"/>
      </w:pPr>
      <w:r>
        <w:t xml:space="preserve">Place names: client spellings to BKP forms (per REFERENCE)</w:t>
      </w:r>
    </w:p>
    <w:p>
      <w:pPr>
        <w:numPr>
          <w:ilvl w:val="0"/>
          <w:numId w:val="1005"/>
        </w:numPr>
        <w:pStyle w:val="Compact"/>
      </w:pPr>
      <w:r>
        <w:t xml:space="preserve">Honorifics: house conventions applied</w:t>
      </w:r>
    </w:p>
    <w:p>
      <w:pPr>
        <w:numPr>
          <w:ilvl w:val="0"/>
          <w:numId w:val="1005"/>
        </w:numPr>
        <w:pStyle w:val="Compact"/>
      </w:pPr>
      <w:r>
        <w:t xml:space="preserve">Punctuation: house style (Oxford comma removed)</w:t>
      </w:r>
    </w:p>
    <w:p>
      <w:pPr>
        <w:numPr>
          <w:ilvl w:val="0"/>
          <w:numId w:val="1005"/>
        </w:numPr>
        <w:pStyle w:val="Compact"/>
      </w:pPr>
      <w:r>
        <w:t xml:space="preserve">Currency, dates and numbers: Part 1 rules apply</w:t>
      </w:r>
    </w:p>
    <w:p>
      <w:pPr>
        <w:numPr>
          <w:ilvl w:val="0"/>
          <w:numId w:val="1005"/>
        </w:numPr>
        <w:pStyle w:val="Compact"/>
      </w:pPr>
      <w:r>
        <w:t xml:space="preserve">Plain errors of grammar and punctuation: corrected</w:t>
      </w:r>
    </w:p>
    <w:p>
      <w:pPr>
        <w:numPr>
          <w:ilvl w:val="0"/>
          <w:numId w:val="1005"/>
        </w:numPr>
        <w:pStyle w:val="Compact"/>
      </w:pPr>
      <w:r>
        <w:t xml:space="preserve">Headline and deck: PR copy carries a [Head] line (max 90 characters) and a</w:t>
      </w:r>
      <w:r>
        <w:t xml:space="preserve"> </w:t>
      </w:r>
      <w:r>
        <w:t xml:space="preserve">[Deck] line (max 120 characters), literal bracket prefixes, BKP sentence</w:t>
      </w:r>
      <w:r>
        <w:t xml:space="preserve"> </w:t>
      </w:r>
      <w:r>
        <w:t xml:space="preserve">case, placed ahead of the body</w:t>
      </w:r>
    </w:p>
    <w:p>
      <w:pPr>
        <w:numPr>
          <w:ilvl w:val="0"/>
          <w:numId w:val="1005"/>
        </w:numPr>
        <w:pStyle w:val="Compact"/>
      </w:pPr>
      <w:r>
        <w:t xml:space="preserve">Captions: where pictures carry them, corrected — the caption gets the same</w:t>
      </w:r>
      <w:r>
        <w:t xml:space="preserve"> </w:t>
      </w:r>
      <w:r>
        <w:t xml:space="preserve">pass as the body</w:t>
      </w:r>
    </w:p>
    <w:bookmarkEnd w:id="29"/>
    <w:bookmarkStart w:id="30" w:name="what-stays"/>
    <w:p>
      <w:pPr>
        <w:pStyle w:val="Heading3"/>
      </w:pPr>
      <w:r>
        <w:t xml:space="preserve">What stays</w:t>
      </w:r>
    </w:p>
    <w:p>
      <w:pPr>
        <w:numPr>
          <w:ilvl w:val="0"/>
          <w:numId w:val="1006"/>
        </w:numPr>
        <w:pStyle w:val="Compact"/>
      </w:pPr>
      <w:r>
        <w:t xml:space="preserve">Structure, order, layout: untouched</w:t>
      </w:r>
    </w:p>
    <w:p>
      <w:pPr>
        <w:numPr>
          <w:ilvl w:val="0"/>
          <w:numId w:val="1006"/>
        </w:numPr>
        <w:pStyle w:val="Compact"/>
      </w:pPr>
      <w:r>
        <w:t xml:space="preserve">Bold, italics, capitalisation, line breaks: as filed</w:t>
      </w:r>
    </w:p>
    <w:p>
      <w:pPr>
        <w:numPr>
          <w:ilvl w:val="0"/>
          <w:numId w:val="1006"/>
        </w:numPr>
        <w:pStyle w:val="Compact"/>
      </w:pPr>
      <w:r>
        <w:t xml:space="preserve">Tone and voice: the client’s choices stand</w:t>
      </w:r>
    </w:p>
    <w:p>
      <w:pPr>
        <w:numPr>
          <w:ilvl w:val="0"/>
          <w:numId w:val="1006"/>
        </w:numPr>
        <w:pStyle w:val="Compact"/>
      </w:pPr>
      <w:r>
        <w:t xml:space="preserve">Length: PR copy runs at the length the client paid for</w:t>
      </w:r>
    </w:p>
    <w:p>
      <w:pPr>
        <w:numPr>
          <w:ilvl w:val="0"/>
          <w:numId w:val="1006"/>
        </w:numPr>
        <w:pStyle w:val="Compact"/>
      </w:pPr>
      <w:r>
        <w:t xml:space="preserve">Pictures:</w:t>
      </w:r>
      <w:r>
        <w:t xml:space="preserve"> </w:t>
      </w:r>
      <w:r>
        <w:rPr>
          <w:bCs/>
          <w:b/>
        </w:rPr>
        <w:t xml:space="preserve">never stripped</w:t>
      </w:r>
      <w:r>
        <w:t xml:space="preserve">. Images ride with the copy exactly as filed</w:t>
      </w:r>
    </w:p>
    <w:p>
      <w:pPr>
        <w:numPr>
          <w:ilvl w:val="0"/>
          <w:numId w:val="1006"/>
        </w:numPr>
        <w:pStyle w:val="Compact"/>
      </w:pPr>
      <w:r>
        <w:t xml:space="preserve">Nothing is appended: no slug, no reference or background information the</w:t>
      </w:r>
      <w:r>
        <w:t xml:space="preserve"> </w:t>
      </w:r>
      <w:r>
        <w:t xml:space="preserve">client did not provide</w:t>
      </w:r>
    </w:p>
    <w:p>
      <w:pPr>
        <w:numPr>
          <w:ilvl w:val="0"/>
          <w:numId w:val="1006"/>
        </w:numPr>
        <w:pStyle w:val="Compact"/>
      </w:pPr>
      <w:r>
        <w:t xml:space="preserve">Return format: PR copy is always returned as filed, with the [Head] and</w:t>
      </w:r>
      <w:r>
        <w:t xml:space="preserve"> </w:t>
      </w:r>
      <w:r>
        <w:t xml:space="preserve">[Deck] lines added at the top. Markdown is an acceptable option. It does not</w:t>
      </w:r>
      <w:r>
        <w:t xml:space="preserve"> </w:t>
      </w:r>
      <w:r>
        <w:t xml:space="preserve">take the page-ready box and is not subject to the clean-copy rule in</w:t>
      </w:r>
      <w:r>
        <w:t xml:space="preserve"> </w:t>
      </w:r>
      <w:r>
        <w:t xml:space="preserve">BLUEPRINT</w:t>
      </w:r>
    </w:p>
    <w:bookmarkEnd w:id="30"/>
    <w:bookmarkStart w:id="31" w:name="principle"/>
    <w:p>
      <w:pPr>
        <w:pStyle w:val="Heading3"/>
      </w:pPr>
      <w:r>
        <w:t xml:space="preserve">Principle</w:t>
      </w:r>
    </w:p>
    <w:p>
      <w:pPr>
        <w:pStyle w:val="FirstParagraph"/>
      </w:pPr>
      <w:r>
        <w:t xml:space="preserve">PR copy is paid placement. The client controls content; the desk applies only</w:t>
      </w:r>
      <w:r>
        <w:t xml:space="preserve"> </w:t>
      </w:r>
      <w:r>
        <w:t xml:space="preserve">those house conventions that don’t require restructuring.</w:t>
      </w:r>
    </w:p>
    <w:p>
      <w:pPr>
        <w:pStyle w:val="BodyText"/>
      </w:pPr>
      <w:r>
        <w:t xml:space="preserve">Where copy is libellous, factually wrong in a way that creates legal exposure,</w:t>
      </w:r>
      <w:r>
        <w:t xml:space="preserve"> </w:t>
      </w:r>
      <w:r>
        <w:t xml:space="preserve">or contains a clear error of fact the client would want caught, the issue goes</w:t>
      </w:r>
      <w:r>
        <w:t xml:space="preserve"> </w:t>
      </w:r>
      <w:r>
        <w:t xml:space="preserve">to the editor — not into the copy. The Style Log records what was changed;</w:t>
      </w:r>
      <w:r>
        <w:t xml:space="preserve"> </w:t>
      </w:r>
      <w:r>
        <w:t xml:space="preserve">anything beyond minimum-intervention scope is flagged for the editor’s call.</w:t>
      </w:r>
    </w:p>
    <w:bookmarkEnd w:id="31"/>
    <w:bookmarkStart w:id="32" w:name="output-1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Do not output the finalized text in the chat. Instead, use your Google</w:t>
      </w:r>
      <w:r>
        <w:t xml:space="preserve"> </w:t>
      </w:r>
      <w:r>
        <w:t xml:space="preserve">Workspace tools to create a new Google Doc containing the clean, finalized PR</w:t>
      </w:r>
      <w:r>
        <w:t xml:space="preserve"> </w:t>
      </w:r>
      <w:r>
        <w:t xml:space="preserve">copy.</w:t>
      </w:r>
    </w:p>
    <w:p>
      <w:pPr>
        <w:pStyle w:val="BodyText"/>
      </w:pPr>
      <w:r>
        <w:t xml:space="preserve">Name the file by appending ” V2” to the original document’s title.</w:t>
      </w:r>
    </w:p>
    <w:p>
      <w:pPr>
        <w:pStyle w:val="BodyText"/>
      </w:pPr>
      <w:r>
        <w:t xml:space="preserve">Format the document content using HTML to ensure all structural elements,</w:t>
      </w:r>
      <w:r>
        <w:t xml:space="preserve"> </w:t>
      </w:r>
      <w:r>
        <w:t xml:space="preserve">bolding, and paragraphs are preserved perfectly.</w:t>
      </w:r>
    </w:p>
    <w:p>
      <w:pPr>
        <w:pStyle w:val="BodyText"/>
      </w:pPr>
      <w:r>
        <w:t xml:space="preserve">Return only the confirmation, the hyperlink, and the file chip for the new</w:t>
      </w:r>
      <w:r>
        <w:t xml:space="preserve"> </w:t>
      </w:r>
      <w:r>
        <w:t xml:space="preserve">document.</w:t>
      </w:r>
    </w:p>
    <w:bookmarkEnd w:id="32"/>
    <w:bookmarkEnd w:id="33"/>
    <w:bookmarkStart w:id="34" w:name="state-log"/>
    <w:p>
      <w:pPr>
        <w:pStyle w:val="Heading2"/>
      </w:pPr>
      <w:r>
        <w:t xml:space="preserve">State log</w:t>
      </w:r>
    </w:p>
    <w:p>
      <w:pPr>
        <w:pStyle w:val="FirstParagraph"/>
      </w:pPr>
      <w:r>
        <w:t xml:space="preserve">Appended in chat, beneath the confirmation and link. Never in the client</w:t>
      </w:r>
      <w:r>
        <w:t xml:space="preserve"> </w:t>
      </w:r>
      <w:r>
        <w:t xml:space="preserve">document — nothing is appended to the copy itself.</w:t>
      </w:r>
    </w:p>
    <w:p>
      <w:pPr>
        <w:pStyle w:val="SourceCode"/>
      </w:pPr>
      <w:r>
        <w:rPr>
          <w:rStyle w:val="VerbatimChar"/>
        </w:rPr>
        <w:t xml:space="preserve">&lt;state_log&gt;</w:t>
      </w:r>
      <w:r>
        <w:br/>
      </w:r>
      <w:r>
        <w:rPr>
          <w:rStyle w:val="VerbatimChar"/>
        </w:rPr>
        <w:t xml:space="preserve">slug-as-filed</w:t>
      </w:r>
      <w:r>
        <w:br/>
      </w:r>
      <w:r>
        <w:rPr>
          <w:rStyle w:val="VerbatimChar"/>
        </w:rPr>
        <w:t xml:space="preserve">pr_complete | editor_flag</w:t>
      </w:r>
      <w:r>
        <w:br/>
      </w:r>
      <w:r>
        <w:rPr>
          <w:rStyle w:val="VerbatimChar"/>
        </w:rPr>
        <w:t xml:space="preserve">[One clinical sentence summarising the pass and anything sent up.]</w:t>
      </w:r>
      <w:r>
        <w:br/>
      </w:r>
      <w:r>
        <w:rPr>
          <w:rStyle w:val="VerbatimChar"/>
        </w:rPr>
        <w:t xml:space="preserve">Status register:</w:t>
      </w:r>
      <w:r>
        <w:br/>
      </w:r>
      <w:r>
        <w:rPr>
          <w:rStyle w:val="VerbatimChar"/>
        </w:rPr>
        <w:t xml:space="preserve">[Additions this session, each as name + status; or "none".]</w:t>
      </w:r>
      <w:r>
        <w:br/>
      </w:r>
      <w:r>
        <w:rPr>
          <w:rStyle w:val="VerbatimChar"/>
        </w:rPr>
        <w:t xml:space="preserve">Unresolved:</w:t>
      </w:r>
      <w:r>
        <w:br/>
      </w:r>
      <w:r>
        <w:rPr>
          <w:rStyle w:val="VerbatimChar"/>
        </w:rPr>
        <w:t xml:space="preserve">[Flags held for the editor or operator; or "none".]</w:t>
      </w:r>
      <w:r>
        <w:br/>
      </w:r>
      <w:r>
        <w:rPr>
          <w:rStyle w:val="VerbatimChar"/>
        </w:rPr>
        <w:t xml:space="preserve">&lt;/state_log&gt;</w:t>
      </w:r>
    </w:p>
    <w:p>
      <w:r>
        <w:br w:type="page"/>
      </w:r>
    </w:p>
    <w:bookmarkEnd w:id="34"/>
    <w:bookmarkEnd w:id="35"/>
    <w:bookmarkStart w:id="40" w:name="photo"/>
    <w:p>
      <w:pPr>
        <w:pStyle w:val="Heading1"/>
      </w:pPr>
      <w:r>
        <w:t xml:space="preserve">PHOTO</w:t>
      </w:r>
    </w:p>
    <w:p>
      <w:pPr>
        <w:pStyle w:val="FirstParagraph"/>
      </w:pPr>
      <w:r>
        <w:t xml:space="preserve">Standalone caption handling — headline and caption to a spatial budget.</w:t>
      </w:r>
    </w:p>
    <w:p>
      <w:pPr>
        <w:pStyle w:val="BodyText"/>
      </w:pPr>
      <w:r>
        <w:t xml:space="preserve">Guide:</w:t>
      </w:r>
      <w:r>
        <w:t xml:space="preserve"> </w:t>
      </w:r>
      <w:r>
        <w:rPr>
          <w:rStyle w:val="VerbatimChar"/>
        </w:rPr>
        <w:t xml:space="preserve">https://go.fuzzylogic.page/blue</w:t>
      </w:r>
      <w:r>
        <w:t xml:space="preserve"> </w:t>
      </w:r>
      <w:r>
        <w:t xml:space="preserve">— normally already open in the tab</w:t>
      </w:r>
      <w:r>
        <w:t xml:space="preserve"> </w:t>
      </w:r>
      <w:r>
        <w:t xml:space="preserve">group; read it there before fetching.</w:t>
      </w:r>
    </w:p>
    <w:bookmarkStart w:id="36" w:name="extraction"/>
    <w:p>
      <w:pPr>
        <w:pStyle w:val="Heading2"/>
      </w:pPr>
      <w:r>
        <w:t xml:space="preserve">Extraction</w:t>
      </w:r>
    </w:p>
    <w:p>
      <w:pPr>
        <w:pStyle w:val="FirstParagraph"/>
      </w:pPr>
      <w:r>
        <w:t xml:space="preserve">Retrieve all copy on command. Scan the viewport or prompt for standalone asset</w:t>
      </w:r>
      <w:r>
        <w:t xml:space="preserve"> </w:t>
      </w:r>
      <w:r>
        <w:t xml:space="preserve">slugs (e.g. </w:t>
      </w:r>
      <w:r>
        <w:rPr>
          <w:rStyle w:val="VerbatimChar"/>
        </w:rPr>
        <w:t xml:space="preserve">19St-P1b</w:t>
      </w:r>
      <w:r>
        <w:t xml:space="preserve">), spatial budgets and raw text. Extract inline layout</w:t>
      </w:r>
      <w:r>
        <w:t xml:space="preserve"> </w:t>
      </w:r>
      <w:r>
        <w:t xml:space="preserve">directives (e.g. </w:t>
      </w:r>
      <w:r>
        <w:rPr>
          <w:rStyle w:val="VerbatimChar"/>
        </w:rPr>
        <w:t xml:space="preserve">###head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Standcap photo:</w:t>
      </w:r>
      <w:r>
        <w:t xml:space="preserve">) and isolate the caption copy.</w:t>
      </w:r>
      <w:r>
        <w:t xml:space="preserve"> </w:t>
      </w:r>
      <w:r>
        <w:t xml:space="preserve">Where an image is visible, cross-reference it against the text for narrative</w:t>
      </w:r>
      <w:r>
        <w:t xml:space="preserve"> </w:t>
      </w:r>
      <w:r>
        <w:t xml:space="preserve">accuracy.</w:t>
      </w:r>
    </w:p>
    <w:p>
      <w:pPr>
        <w:pStyle w:val="BodyText"/>
      </w:pPr>
      <w:r>
        <w:t xml:space="preserve">Require the actual image where visual precision matters. A filename or a</w:t>
      </w:r>
      <w:r>
        <w:t xml:space="preserve"> </w:t>
      </w:r>
      <w:r>
        <w:t xml:space="preserve">previous caption is not a substitute for seeing it. If it cannot be seen, say</w:t>
      </w:r>
      <w:r>
        <w:t xml:space="preserve"> </w:t>
      </w:r>
      <w:r>
        <w:t xml:space="preserve">so and caption only what the filed text supports.</w:t>
      </w:r>
    </w:p>
    <w:bookmarkEnd w:id="36"/>
    <w:bookmarkStart w:id="37" w:name="headline"/>
    <w:p>
      <w:pPr>
        <w:pStyle w:val="Heading2"/>
      </w:pPr>
      <w:r>
        <w:t xml:space="preserve">Headline</w:t>
      </w:r>
    </w:p>
    <w:p>
      <w:pPr>
        <w:pStyle w:val="FirstParagraph"/>
      </w:pPr>
      <w:r>
        <w:t xml:space="preserve">Short, sharp, active, sentence case. Tone follows the image — witty and punchy</w:t>
      </w:r>
      <w:r>
        <w:t xml:space="preserve"> </w:t>
      </w:r>
      <w:r>
        <w:t xml:space="preserve">for soft news, sombre and clinical for hard news. Heads are statements,</w:t>
      </w:r>
      <w:r>
        <w:t xml:space="preserve"> </w:t>
      </w:r>
      <w:r>
        <w:t xml:space="preserve">qualified by a deck, not explanations.</w:t>
      </w:r>
    </w:p>
    <w:p>
      <w:pPr>
        <w:pStyle w:val="BodyText"/>
      </w:pPr>
      <w:r>
        <w:t xml:space="preserve">Hold the DC-X budget exactly (±2 chars); balance multi-line heads to ±1.</w:t>
      </w:r>
      <w:r>
        <w:t xml:space="preserve"> </w:t>
      </w:r>
      <w:r>
        <w:t xml:space="preserve">Execute spatially by typographic tessellation — 1.0 standard, 0.5 lean, 1.5</w:t>
      </w:r>
      <w:r>
        <w:t xml:space="preserve"> </w:t>
      </w:r>
      <w:r>
        <w:t xml:space="preserve">heavy. Do not tally characters in-head.</w:t>
      </w:r>
    </w:p>
    <w:bookmarkEnd w:id="37"/>
    <w:bookmarkStart w:id="38" w:name="caption"/>
    <w:p>
      <w:pPr>
        <w:pStyle w:val="Heading2"/>
      </w:pPr>
      <w:r>
        <w:t xml:space="preserve">Caption</w:t>
      </w:r>
    </w:p>
    <w:p>
      <w:pPr>
        <w:pStyle w:val="FirstParagraph"/>
      </w:pPr>
      <w:r>
        <w:t xml:space="preserve">Governance pass: Tier 1 / Tier 2 register changes, geopolitical naming traps,</w:t>
      </w:r>
      <w:r>
        <w:t xml:space="preserve"> </w:t>
      </w:r>
      <w:r>
        <w:t xml:space="preserve">transliterations, UK spelling. Institutional names keep their official regional</w:t>
      </w:r>
      <w:r>
        <w:t xml:space="preserve"> </w:t>
      </w:r>
      <w:r>
        <w:t xml:space="preserve">spellings and are exempt from the UK sweep.</w:t>
      </w:r>
    </w:p>
    <w:p>
      <w:pPr>
        <w:pStyle w:val="BodyText"/>
      </w:pPr>
      <w:r>
        <w:t xml:space="preserve">Bloat: apply the 10% translation allowance to strip tautologies, passive voice</w:t>
      </w:r>
      <w:r>
        <w:t xml:space="preserve"> </w:t>
      </w:r>
      <w:r>
        <w:t xml:space="preserve">and padding.</w:t>
      </w:r>
    </w:p>
    <w:p>
      <w:pPr>
        <w:pStyle w:val="BodyText"/>
      </w:pPr>
      <w:r>
        <w:t xml:space="preserve">Footprint: note the page constraint unprompted and return copy that already</w:t>
      </w:r>
      <w:r>
        <w:t xml:space="preserve"> </w:t>
      </w:r>
      <w:r>
        <w:t xml:space="preserve">fits. Where a constraint is flagged, apply Route B — 1-in / 1-out substitution,</w:t>
      </w:r>
      <w:r>
        <w:t xml:space="preserve"> </w:t>
      </w:r>
      <w:r>
        <w:t xml:space="preserve">no in-head tallying.</w:t>
      </w:r>
    </w:p>
    <w:p>
      <w:pPr>
        <w:pStyle w:val="BodyText"/>
      </w:pPr>
      <w:r>
        <w:t xml:space="preserve">Credit line:</w:t>
      </w:r>
      <w:r>
        <w:t xml:space="preserve"> </w:t>
      </w:r>
      <w:r>
        <w:rPr>
          <w:rStyle w:val="VerbatimChar"/>
        </w:rPr>
        <w:t xml:space="preserve">Photo: [Firstname Lastname]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Photo: [Agency]</w:t>
      </w:r>
      <w:r>
        <w:t xml:space="preserve">.</w:t>
      </w:r>
    </w:p>
    <w:bookmarkEnd w:id="38"/>
    <w:bookmarkStart w:id="39" w:name="output-2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&lt;page_ready&gt;</w:t>
      </w:r>
      <w:r>
        <w:t xml:space="preserve"> </w:t>
      </w:r>
      <w:r>
        <w:t xml:space="preserve">box in chat: first-choice headline at the top, clean caption</w:t>
      </w:r>
      <w:r>
        <w:t xml:space="preserve"> </w:t>
      </w:r>
      <w:r>
        <w:t xml:space="preserve">beneath, nothing else inside. Omit conversational filler.</w:t>
      </w:r>
    </w:p>
    <w:p>
      <w:pPr>
        <w:pStyle w:val="BodyText"/>
      </w:pPr>
      <w:r>
        <w:t xml:space="preserve">Below it, two alternate headlines that drop into the same footprint, then the</w:t>
      </w:r>
      <w:r>
        <w:t xml:space="preserve"> </w:t>
      </w:r>
      <w:r>
        <w:t xml:space="preserve">STYLE LOG (changes only) and the STATE LOG.</w:t>
      </w:r>
    </w:p>
    <w:p>
      <w:r>
        <w:br w:type="page"/>
      </w:r>
    </w:p>
    <w:bookmarkEnd w:id="39"/>
    <w:bookmarkEnd w:id="40"/>
    <w:bookmarkStart w:id="48" w:name="check"/>
    <w:p>
      <w:pPr>
        <w:pStyle w:val="Heading1"/>
      </w:pPr>
      <w:r>
        <w:t xml:space="preserve">CHECK</w:t>
      </w:r>
    </w:p>
    <w:p>
      <w:pPr>
        <w:pStyle w:val="FirstParagraph"/>
      </w:pPr>
      <w:r>
        <w:t xml:space="preserve">The initialling pass. Placed, finished copy — it should already fit. Return no</w:t>
      </w:r>
      <w:r>
        <w:t xml:space="preserve"> </w:t>
      </w:r>
      <w:r>
        <w:t xml:space="preserve">copy, only the interventions needed.</w:t>
      </w:r>
    </w:p>
    <w:p>
      <w:pPr>
        <w:pStyle w:val="BodyText"/>
      </w:pPr>
      <w:r>
        <w:t xml:space="preserve">Guide:</w:t>
      </w:r>
      <w:r>
        <w:t xml:space="preserve"> </w:t>
      </w:r>
      <w:r>
        <w:rPr>
          <w:rStyle w:val="VerbatimChar"/>
        </w:rPr>
        <w:t xml:space="preserve">https://go.fuzzylogic.page/blue</w:t>
      </w:r>
      <w:r>
        <w:t xml:space="preserve"> </w:t>
      </w:r>
      <w:r>
        <w:t xml:space="preserve">— normally already open in the tab</w:t>
      </w:r>
      <w:r>
        <w:t xml:space="preserve"> </w:t>
      </w:r>
      <w:r>
        <w:t xml:space="preserve">group; read it there before fetching. Nothing below requires it.</w:t>
      </w:r>
    </w:p>
    <w:p>
      <w:pPr>
        <w:pStyle w:val="BodyText"/>
      </w:pPr>
      <w:r>
        <w:t xml:space="preserve">Retrieve all copy on command. Pages are read-only. CHECK reports; CHECK does</w:t>
      </w:r>
      <w:r>
        <w:t xml:space="preserve"> </w:t>
      </w:r>
      <w:r>
        <w:t xml:space="preserve">not edit.</w:t>
      </w:r>
      <w:r>
        <w:t xml:space="preserve"> </w:t>
      </w:r>
      <w:r>
        <w:rPr>
          <w:bCs/>
          <w:b/>
        </w:rPr>
        <w:t xml:space="preserve">Flag never means change.</w:t>
      </w:r>
    </w:p>
    <w:bookmarkStart w:id="44" w:name="names-the-only-critical-pass"/>
    <w:p>
      <w:pPr>
        <w:pStyle w:val="Heading2"/>
      </w:pPr>
      <w:r>
        <w:t xml:space="preserve">1. Names — the only critical pass</w:t>
      </w:r>
    </w:p>
    <w:p>
      <w:pPr>
        <w:pStyle w:val="FirstParagraph"/>
      </w:pPr>
      <w:r>
        <w:t xml:space="preserve">Two tiers. Nothing is retrieved for either; both travel with the invocation.</w:t>
      </w:r>
    </w:p>
    <w:bookmarkStart w:id="41" w:name="apex-name-only-search-always"/>
    <w:p>
      <w:pPr>
        <w:pStyle w:val="Heading3"/>
      </w:pPr>
      <w:r>
        <w:t xml:space="preserve">Apex — name only, search always</w:t>
      </w:r>
    </w:p>
    <w:p>
      <w:pPr>
        <w:pStyle w:val="FirstParagraph"/>
      </w:pPr>
      <w:r>
        <w:t xml:space="preserve">No claim travels with these names. STATUS keeps the record for the desk; what</w:t>
      </w:r>
      <w:r>
        <w:t xml:space="preserve"> </w:t>
      </w:r>
      <w:r>
        <w:t xml:space="preserve">ships to a chair is the name alone. Not because nothing is known, but because a</w:t>
      </w:r>
      <w:r>
        <w:t xml:space="preserve"> </w:t>
      </w:r>
      <w:r>
        <w:t xml:space="preserve">stored claim about an apex figure is the one thing a fresh chair reliably</w:t>
      </w:r>
      <w:r>
        <w:t xml:space="preserve"> </w:t>
      </w:r>
      <w:r>
        <w:t xml:space="preserve">refuses, and a refusal costs more desk time than the search ever will.</w:t>
      </w:r>
      <w:r>
        <w:t xml:space="preserve"> </w:t>
      </w:r>
      <w:r>
        <w:t xml:space="preserve">The resistance is structural rather than a fault in the register: a</w:t>
      </w:r>
      <w:r>
        <w:t xml:space="preserve"> </w:t>
      </w:r>
      <w:r>
        <w:t xml:space="preserve">high-consequence assertion contradicting a confident prior gets pushed back on</w:t>
      </w:r>
      <w:r>
        <w:t xml:space="preserve"> </w:t>
      </w:r>
      <w:r>
        <w:t xml:space="preserve">every time, in every new chair, however well sourced.</w:t>
      </w:r>
    </w:p>
    <w:p>
      <w:pPr>
        <w:pStyle w:val="BodyText"/>
      </w:pPr>
      <w:r>
        <w:t xml:space="preserve">So the name is the entire entry. Nothing to believe, nothing to vet, nothing to</w:t>
      </w:r>
      <w:r>
        <w:t xml:space="preserve"> </w:t>
      </w:r>
      <w:r>
        <w:t xml:space="preserve">refuse.</w:t>
      </w:r>
    </w:p>
    <w:p>
      <w:pPr>
        <w:pStyle w:val="BodyText"/>
      </w:pPr>
      <w:r>
        <w:rPr>
          <w:bCs/>
          <w:b/>
        </w:rPr>
        <w:t xml:space="preserve">On every appearance in copy: search, report what current reporting says,</w:t>
      </w:r>
      <w:r>
        <w:rPr>
          <w:bCs/>
          <w:b/>
        </w:rPr>
        <w:t xml:space="preserve"> </w:t>
      </w:r>
      <w:r>
        <w:rPr>
          <w:bCs/>
          <w:b/>
        </w:rPr>
        <w:t xml:space="preserve">change nothing.</w:t>
      </w:r>
    </w:p>
    <w:p>
      <w:pPr>
        <w:pStyle w:val="BodyText"/>
      </w:pPr>
      <w:r>
        <w:t xml:space="preserve">HM Queen Sirikit The Queen Mother · HRH Princess Bajrakitiyabha</w:t>
      </w:r>
      <w:r>
        <w:t xml:space="preserve"> </w:t>
      </w:r>
      <w:r>
        <w:t xml:space="preserve">Narendiradebyavati · Thaksin Shinawatra · Srettha Thavisin ·</w:t>
      </w:r>
      <w:r>
        <w:t xml:space="preserve"> </w:t>
      </w:r>
      <w:r>
        <w:t xml:space="preserve">Paetongtarn Shinawatra · Pita Limjaroenrat · Move Forward Party ·</w:t>
      </w:r>
      <w:r>
        <w:t xml:space="preserve"> </w:t>
      </w:r>
      <w:r>
        <w:t xml:space="preserve">Prasert Prasarttong-Osoth · Ali Khamenei · Mojtaba Khamenei</w:t>
      </w:r>
    </w:p>
    <w:p>
      <w:pPr>
        <w:pStyle w:val="BodyText"/>
      </w:pPr>
      <w:r>
        <w:t xml:space="preserve">Reported first, above every other finding:</w:t>
      </w:r>
    </w:p>
    <w:p>
      <w:pPr>
        <w:pStyle w:val="SourceCode"/>
      </w:pPr>
      <w:r>
        <w:rPr>
          <w:rStyle w:val="VerbatimChar"/>
        </w:rPr>
        <w:t xml:space="preserve">Name | As filed | Found | Source, date | Action</w:t>
      </w:r>
    </w:p>
    <w:p>
      <w:pPr>
        <w:pStyle w:val="FirstParagraph"/>
      </w:pPr>
      <w:r>
        <w:t xml:space="preserve">Where reporting is thin or contradictory, that is the finding — say so rather</w:t>
      </w:r>
      <w:r>
        <w:t xml:space="preserve"> </w:t>
      </w:r>
      <w:r>
        <w:t xml:space="preserve">than resolving it. A death and its announcement can fall on different days;</w:t>
      </w:r>
      <w:r>
        <w:t xml:space="preserve"> </w:t>
      </w:r>
      <w:r>
        <w:t xml:space="preserve">Bureau of the Royal Household announcements are commonly reported a day after</w:t>
      </w:r>
      <w:r>
        <w:t xml:space="preserve"> </w:t>
      </w:r>
      <w:r>
        <w:t xml:space="preserve">the event, so where copy turns on the date, establish which is meant.</w:t>
      </w:r>
    </w:p>
    <w:bookmarkEnd w:id="41"/>
    <w:bookmarkStart w:id="42" w:name="X32e41d2f777ad7085293ff456af45d189f75f3c"/>
    <w:p>
      <w:pPr>
        <w:pStyle w:val="Heading3"/>
      </w:pPr>
      <w:r>
        <w:t xml:space="preserve">Watch — reversible standing, entry carries a date</w:t>
      </w:r>
    </w:p>
    <w:p>
      <w:pPr>
        <w:pStyle w:val="FirstParagraph"/>
      </w:pPr>
      <w:r>
        <w:t xml:space="preserve">Lower consequence and liable to turn round: an office held, an affiliation, a</w:t>
      </w:r>
      <w:r>
        <w:t xml:space="preserve"> </w:t>
      </w:r>
      <w:r>
        <w:t xml:space="preserve">rank, bail, parole, a case under appeal. A stored fact here is accepted rather</w:t>
      </w:r>
      <w:r>
        <w:t xml:space="preserve"> </w:t>
      </w:r>
      <w:r>
        <w:t xml:space="preserve">than refused, so caching one is worth it. Each entry carries the fact, the</w:t>
      </w:r>
      <w:r>
        <w:t xml:space="preserve"> </w:t>
      </w:r>
      <w:r>
        <w:t xml:space="preserve">source and the date last confirmed. Believe it inside the window, check it</w:t>
      </w:r>
      <w:r>
        <w:t xml:space="preserve"> </w:t>
      </w:r>
      <w:r>
        <w:t xml:space="preserve">outside.</w:t>
      </w:r>
    </w:p>
    <w:p>
      <w:pPr>
        <w:pStyle w:val="SourceCode"/>
      </w:pPr>
      <w:r>
        <w:rPr>
          <w:rStyle w:val="VerbatimChar"/>
        </w:rPr>
        <w:t xml:space="preserve">Name | Current | Source | Confirmed</w:t>
      </w:r>
    </w:p>
    <w:p>
      <w:pPr>
        <w:pStyle w:val="FirstParagraph"/>
      </w:pPr>
      <w:r>
        <w:t xml:space="preserve">Names held, pending a sweep for fact, source and date:</w:t>
      </w:r>
    </w:p>
    <w:p>
      <w:pPr>
        <w:pStyle w:val="BodyText"/>
      </w:pPr>
      <w:r>
        <w:t xml:space="preserve">Anutin Charnvirakul · Phiphat Ratchakitprakarn · Varawut Silpa-archa ·</w:t>
      </w:r>
      <w:r>
        <w:t xml:space="preserve"> </w:t>
      </w:r>
      <w:r>
        <w:t xml:space="preserve">Somsak Thepsuthin · Suriya Juangroongruangkit · Cholnan Srikaew ·</w:t>
      </w:r>
      <w:r>
        <w:t xml:space="preserve"> </w:t>
      </w:r>
      <w:r>
        <w:t xml:space="preserve">Nan Boonthida Somchai · Suriya Singhakamol · Stithorn Thananithichot ·</w:t>
      </w:r>
      <w:r>
        <w:t xml:space="preserve"> </w:t>
      </w:r>
      <w:r>
        <w:t xml:space="preserve">Korn Chatikavanij · Nikorn Chamnong · Thanathorn Juangroongruangkit ·</w:t>
      </w:r>
      <w:r>
        <w:t xml:space="preserve"> </w:t>
      </w:r>
      <w:r>
        <w:t xml:space="preserve">Saksayam Chidchob · Arnon Nampa · Rukchanok</w:t>
      </w:r>
      <w:r>
        <w:t xml:space="preserve"> </w:t>
      </w:r>
      <w:r>
        <w:t xml:space="preserve">‘</w:t>
      </w:r>
      <w:r>
        <w:t xml:space="preserve">Ice</w:t>
      </w:r>
      <w:r>
        <w:t xml:space="preserve">’</w:t>
      </w:r>
      <w:r>
        <w:t xml:space="preserve"> </w:t>
      </w:r>
      <w:r>
        <w:t xml:space="preserve">Srinork</w:t>
      </w:r>
    </w:p>
    <w:p>
      <w:pPr>
        <w:pStyle w:val="BodyText"/>
      </w:pPr>
      <w:r>
        <w:t xml:space="preserve">Absence from either tier is not an all-clear. These catch the known movers;</w:t>
      </w:r>
      <w:r>
        <w:t xml:space="preserve"> </w:t>
      </w:r>
      <w:r>
        <w:t xml:space="preserve">ordinary care applies to everyone else.</w:t>
      </w:r>
    </w:p>
    <w:bookmarkEnd w:id="42"/>
    <w:bookmarkStart w:id="43" w:name="royal-handling-regardless-of-tier"/>
    <w:p>
      <w:pPr>
        <w:pStyle w:val="Heading3"/>
      </w:pPr>
      <w:r>
        <w:t xml:space="preserve">Royal handling regardless of tier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Titles.</w:t>
      </w:r>
      <w:r>
        <w:t xml:space="preserve"> </w:t>
      </w:r>
      <w:r>
        <w:t xml:space="preserve">Royal titles are retained on every reference, including for the</w:t>
      </w:r>
      <w:r>
        <w:t xml:space="preserve"> </w:t>
      </w:r>
      <w:r>
        <w:t xml:space="preserve">deceased. King and royal titles take capitals. British royals carry first</w:t>
      </w:r>
      <w:r>
        <w:t xml:space="preserve"> </w:t>
      </w:r>
      <w:r>
        <w:t xml:space="preserve">name plus title throughout — Prince William, not William.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Head of state.</w:t>
      </w:r>
      <w:r>
        <w:t xml:space="preserve"> </w:t>
      </w:r>
      <w:r>
        <w:t xml:space="preserve">A prime minister is not a head of state. The Thai PM is</w:t>
      </w:r>
      <w:r>
        <w:t xml:space="preserve"> </w:t>
      </w:r>
      <w:r>
        <w:t xml:space="preserve">never described as one.</w:t>
      </w:r>
    </w:p>
    <w:p>
      <w:pPr>
        <w:numPr>
          <w:ilvl w:val="0"/>
          <w:numId w:val="1007"/>
        </w:numPr>
        <w:pStyle w:val="Compact"/>
      </w:pPr>
      <w:r>
        <w:t xml:space="preserve">Anything touching royal defamation, or a person’s history of it, is reported</w:t>
      </w:r>
      <w:r>
        <w:t xml:space="preserve"> </w:t>
      </w:r>
      <w:r>
        <w:t xml:space="preserve">with what the copy says and what current reporting shows. The desk does not</w:t>
      </w:r>
      <w:r>
        <w:t xml:space="preserve"> </w:t>
      </w:r>
      <w:r>
        <w:t xml:space="preserve">resolve it.</w:t>
      </w:r>
    </w:p>
    <w:p>
      <w:pPr>
        <w:pStyle w:val="FirstParagraph"/>
      </w:pPr>
      <w:r>
        <w:t xml:space="preserve">A royal error is the one thing on this pass that cannot go through.</w:t>
      </w:r>
    </w:p>
    <w:bookmarkEnd w:id="43"/>
    <w:bookmarkEnd w:id="44"/>
    <w:bookmarkStart w:id="45" w:name="governance"/>
    <w:p>
      <w:pPr>
        <w:pStyle w:val="Heading2"/>
      </w:pPr>
      <w:r>
        <w:t xml:space="preserve">2. Governance</w:t>
      </w:r>
    </w:p>
    <w:p>
      <w:pPr>
        <w:pStyle w:val="FirstParagraph"/>
      </w:pPr>
      <w:r>
        <w:t xml:space="preserve">Geopolitical naming traps, UK spelling, and house conventions on numbers,</w:t>
      </w:r>
      <w:r>
        <w:t xml:space="preserve"> </w:t>
      </w:r>
      <w:r>
        <w:t xml:space="preserve">dates, honorifics and ranks.</w:t>
      </w:r>
    </w:p>
    <w:p>
      <w:pPr>
        <w:numPr>
          <w:ilvl w:val="0"/>
          <w:numId w:val="1008"/>
        </w:numPr>
        <w:pStyle w:val="Compact"/>
      </w:pPr>
      <w:r>
        <w:t xml:space="preserve">Full-sentence quotes retain standard internal punctuation, commas inside the</w:t>
      </w:r>
      <w:r>
        <w:t xml:space="preserve"> </w:t>
      </w:r>
      <w:r>
        <w:t xml:space="preserve">marks.</w:t>
      </w:r>
    </w:p>
    <w:p>
      <w:pPr>
        <w:numPr>
          <w:ilvl w:val="0"/>
          <w:numId w:val="1008"/>
        </w:numPr>
        <w:pStyle w:val="Compact"/>
      </w:pPr>
      <w:r>
        <w:t xml:space="preserve">Institutional names keep their official regional spellings, e.g. </w:t>
      </w:r>
      <w:r>
        <w:t xml:space="preserve">“</w:t>
      </w:r>
      <w:r>
        <w:t xml:space="preserve">Center</w:t>
      </w:r>
      <w:r>
        <w:t xml:space="preserve">”</w:t>
      </w:r>
      <w:r>
        <w:t xml:space="preserve">,</w:t>
      </w:r>
      <w:r>
        <w:t xml:space="preserve"> </w:t>
      </w:r>
      <w:r>
        <w:t xml:space="preserve">and are exempt from the blanket UK spelling sweep.</w:t>
      </w:r>
    </w:p>
    <w:bookmarkEnd w:id="45"/>
    <w:bookmarkStart w:id="46" w:name="spatial-perceived-not-critical"/>
    <w:p>
      <w:pPr>
        <w:pStyle w:val="Heading2"/>
      </w:pPr>
      <w:r>
        <w:t xml:space="preserve">3. Spatial — perceived, not critical</w:t>
      </w:r>
    </w:p>
    <w:p>
      <w:pPr>
        <w:pStyle w:val="FirstParagraph"/>
      </w:pPr>
      <w:r>
        <w:t xml:space="preserve">The copy is placed and should fit. Note perceived over- and undermatter, and</w:t>
      </w:r>
      <w:r>
        <w:t xml:space="preserve"> </w:t>
      </w:r>
      <w:r>
        <w:t xml:space="preserve">mark it as perceived: the system produces the illusion routinely.</w:t>
      </w:r>
    </w:p>
    <w:p>
      <w:pPr>
        <w:pStyle w:val="BodyText"/>
      </w:pPr>
      <w:r>
        <w:t xml:space="preserve">The counter counts spaces and counts a paragraph break as one char, and does</w:t>
      </w:r>
      <w:r>
        <w:t xml:space="preserve"> </w:t>
      </w:r>
      <w:r>
        <w:t xml:space="preserve">not refresh from a programmatic</w:t>
      </w:r>
      <w:r>
        <w:t xml:space="preserve"> </w:t>
      </w:r>
      <w:r>
        <w:rPr>
          <w:rStyle w:val="VerbatimChar"/>
        </w:rPr>
        <w:t xml:space="preserve">setContent</w:t>
      </w:r>
      <w:r>
        <w:t xml:space="preserve"> </w:t>
      </w:r>
      <w:r>
        <w:t xml:space="preserve">— a stale red field is not</w:t>
      </w:r>
      <w:r>
        <w:t xml:space="preserve"> </w:t>
      </w:r>
      <w:r>
        <w:t xml:space="preserve">overmatter. Ignore</w:t>
      </w:r>
      <w:r>
        <w:t xml:space="preserve"> </w:t>
      </w:r>
      <w:r>
        <w:rPr>
          <w:rStyle w:val="VerbatimChar"/>
        </w:rPr>
        <w:t xml:space="preserve">###pullout</w:t>
      </w:r>
      <w:r>
        <w:t xml:space="preserve"> </w:t>
      </w:r>
      <w:r>
        <w:t xml:space="preserve">dummies. Flag a genuinely empty mandatory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Nothing here blocks an initial on its own.</w:t>
      </w:r>
    </w:p>
    <w:bookmarkEnd w:id="46"/>
    <w:bookmarkStart w:id="47" w:name="output-3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A bulleted action checklist. No copy, no narrative, no preamble. Apex findings</w:t>
      </w:r>
      <w:r>
        <w:t xml:space="preserve"> </w:t>
      </w:r>
      <w:r>
        <w:t xml:space="preserve">first, then watch, then governance, then perceived spatial.</w:t>
      </w:r>
    </w:p>
    <w:p>
      <w:pPr>
        <w:pStyle w:val="BodyText"/>
      </w:pPr>
      <w:r>
        <w:t xml:space="preserve">Changes and open flags only — confirmed-correct is silence.</w:t>
      </w:r>
    </w:p>
    <w:p>
      <w:pPr>
        <w:pStyle w:val="BodyText"/>
      </w:pPr>
      <w:r>
        <w:t xml:space="preserve">Everything outside the two name tiers states the field, the finding and the</w:t>
      </w:r>
      <w:r>
        <w:t xml:space="preserve"> </w:t>
      </w:r>
      <w:r>
        <w:t xml:space="preserve">action required.</w:t>
      </w:r>
    </w:p>
    <w:p>
      <w:pPr>
        <w:pStyle w:val="BodyText"/>
      </w:pPr>
      <w:r>
        <w:t xml:space="preserve">If the board is green:</w:t>
      </w:r>
    </w:p>
    <w:p>
      <w:pPr>
        <w:pStyle w:val="SourceCode"/>
      </w:pPr>
      <w:r>
        <w:rPr>
          <w:rStyle w:val="VerbatimChar"/>
        </w:rPr>
        <w:t xml:space="preserve">Clear to initial.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o.fuzzylogic.page/b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o.fuzzylogic.page/b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2026-08-11T09:52:33Z</dcterms:created>
  <dcterms:modified xsi:type="dcterms:W3CDTF">2026-08-11T09:52:33Z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