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1E3048"/>
          <w:sz w:val="32"/>
        </w:rPr>
        <w:t>CyberSWAT · Grade 11 — Substitute Quick Plan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44444"/>
          <w:sz w:val="22"/>
        </w:rPr>
        <w:t>A no-prep, 45-minute digital-identity lesson. You do not need to be a tech expert — just read the prompts and lead the discussion.</w:t>
      </w:r>
    </w:p>
    <w:p>
      <w:pPr>
        <w:spacing w:after="40" w:before="0"/>
      </w:pPr>
      <w:r>
        <w:rPr>
          <w:rFonts w:ascii="Calibri" w:hAnsi="Calibri"/>
          <w:b/>
          <w:i w:val="0"/>
          <w:color w:val="1C6E7E"/>
          <w:sz w:val="24"/>
        </w:rPr>
        <w:t>BEFORE CLASS (2 minutes)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444444"/>
          <w:sz w:val="22"/>
        </w:rPr>
        <w:t>•  Open the slide deck “CyberSWAT_Grade11_Slides” and project it. You’ll use the Lesson 1 slides (the “Professional Digital Identity” section).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444444"/>
          <w:sz w:val="22"/>
        </w:rPr>
        <w:t>•  Write on the board: who students go to for help (school counselor / office / trusted adult).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44444"/>
          <w:sz w:val="22"/>
        </w:rPr>
        <w:t>•  Ground rule to state: “All examples are made-up or your own general choices. No one has to publish anything or share private account details.”</w:t>
      </w:r>
    </w:p>
    <w:p>
      <w:pPr>
        <w:spacing w:after="60" w:before="0"/>
      </w:pPr>
      <w:r>
        <w:rPr>
          <w:rFonts w:ascii="Calibri" w:hAnsi="Calibri"/>
          <w:b/>
          <w:i w:val="0"/>
          <w:color w:val="1C6E7E"/>
          <w:sz w:val="24"/>
        </w:rPr>
        <w:t>THE LESSON — follow in order</w:t>
      </w:r>
    </w:p>
    <w:p>
      <w:pPr>
        <w:spacing w:after="20" w:before="0"/>
      </w:pPr>
      <w:r>
        <w:rPr>
          <w:rFonts w:ascii="Calibri" w:hAnsi="Calibri"/>
          <w:b/>
          <w:i w:val="0"/>
          <w:color w:val="1E3048"/>
          <w:sz w:val="23"/>
        </w:rPr>
        <w:t>1 · Opening  (5 min)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444444"/>
          <w:sz w:val="22"/>
        </w:rPr>
        <w:t>ASK: “A college or employer searches your name and finds… what? Now — what would you want a professional to find?”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444444"/>
          <w:sz w:val="22"/>
        </w:rPr>
        <w:t>DO: Students write 60 seconds, tell a partner, then a few share. Point: you already have a digital identity — Grade 11 is where you shape it into an asset, on purpose.</w:t>
      </w:r>
    </w:p>
    <w:p>
      <w:pPr>
        <w:spacing w:after="20" w:before="0"/>
      </w:pPr>
      <w:r>
        <w:rPr>
          <w:rFonts w:ascii="Calibri" w:hAnsi="Calibri"/>
          <w:b/>
          <w:i w:val="0"/>
          <w:color w:val="1E3048"/>
          <w:sz w:val="23"/>
        </w:rPr>
        <w:t>2 · Mini-lesson — the Professional Presence Check  (10 min)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444444"/>
          <w:sz w:val="22"/>
        </w:rPr>
        <w:t>SAY: “A strong professional presence passes five checks. Build for these on purpose.”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444444"/>
          <w:sz w:val="22"/>
        </w:rPr>
        <w:t>DO: Read the five checks on the slide: SEARCHABLE (right things come up?) · PROFESSIONAL (email/handle/tone) · CONSISTENT (accurate across platforms) · PRIVATE (personal life locked down) · PROOF (evidence of skills).</w:t>
      </w:r>
    </w:p>
    <w:p>
      <w:pPr>
        <w:spacing w:after="20" w:before="0"/>
      </w:pPr>
      <w:r>
        <w:rPr>
          <w:rFonts w:ascii="Calibri" w:hAnsi="Calibri"/>
          <w:b/>
          <w:i w:val="0"/>
          <w:color w:val="1E3048"/>
          <w:sz w:val="23"/>
        </w:rPr>
        <w:t>3 · Scenario analysis  (15 min)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444444"/>
          <w:sz w:val="22"/>
        </w:rPr>
        <w:t>DO: Groups of 3–4. Read the scenario slide: an internship finalist has an unprofessional email, a mixed personal feed, and no visible proof of skills.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444444"/>
          <w:sz w:val="22"/>
        </w:rPr>
        <w:t>ASK: “Which of the five checks does it fail? What one change most improves how a decision-maker sees them?”</w:t>
      </w:r>
    </w:p>
    <w:p>
      <w:pPr>
        <w:spacing w:after="20" w:before="0"/>
      </w:pPr>
      <w:r>
        <w:rPr>
          <w:rFonts w:ascii="Calibri" w:hAnsi="Calibri"/>
          <w:b/>
          <w:i w:val="0"/>
          <w:color w:val="1E3048"/>
          <w:sz w:val="23"/>
        </w:rPr>
        <w:t>4 · Build a presence plan  (12 min)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444444"/>
          <w:sz w:val="22"/>
        </w:rPr>
        <w:t>DO: Each group writes a short plan: a professional email/handle → what to make public vs. private → one piece of proof to build → a reference to line up. Two groups share; class picks the strongest door-opening move.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444444"/>
          <w:sz w:val="22"/>
        </w:rPr>
        <w:t>SAY: Model this, then have students say it their own way: “Start with a clean email and handle, lock your personal stuff to friends-only, and put one project where people can see it.”</w:t>
      </w:r>
    </w:p>
    <w:p>
      <w:pPr>
        <w:spacing w:after="20" w:before="0"/>
      </w:pPr>
      <w:r>
        <w:rPr>
          <w:rFonts w:ascii="Calibri" w:hAnsi="Calibri"/>
          <w:b/>
          <w:i w:val="0"/>
          <w:color w:val="1E3048"/>
          <w:sz w:val="23"/>
        </w:rPr>
        <w:t>5 · Exit ticket  (5 min)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44444"/>
          <w:sz w:val="22"/>
        </w:rPr>
        <w:t>DO: On paper, each student writes three things (also on the slide): (1) one professional-presence upgrade, (2) one thing to keep private and separate, (3) one piece of proof of skills to build. Collect for the teacher.</w:t>
      </w:r>
    </w:p>
    <w:p>
      <w:pPr>
        <w:spacing w:after="120" w:before="0"/>
      </w:pPr>
      <w:r>
        <w:rPr>
          <w:rFonts w:ascii="Calibri" w:hAnsi="Calibri"/>
          <w:b w:val="0"/>
          <w:i/>
          <w:color w:val="444444"/>
          <w:sz w:val="20"/>
        </w:rPr>
        <w:t>This is Lesson 1 of the full Grade 11 CyberSWAT unit. The complete guide (with Lessons 2–3, tabletops, and printables) is in the teacher folder.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</w:tblPr>
      <w:tblGrid>
        <w:gridCol w:w="9936"/>
      </w:tblGrid>
      <w:tr>
        <w:tc>
          <w:tcPr>
            <w:tcW w:type="dxa" w:w="9936"/>
            <w:shd w:val="clear" w:color="auto" w:fill="F4F0E6"/>
          </w:tcPr>
          <w:p>
            <w:r>
              <w:rPr>
                <w:rFonts w:ascii="Calibri" w:hAnsi="Calibri"/>
                <w:b w:val="0"/>
                <w:i w:val="0"/>
                <w:color w:val="444444"/>
                <w:sz w:val="21"/>
              </w:rPr>
              <w:t>IF A STUDENT SHARES SOMETHING CONCERNING: stay calm, don’t promise secrecy, and follow the school’s reporting procedure — contact the counselor or front office. Do not have students investigate anything on their own. Leave a note for the regular teacher.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</w:tblPr>
      <w:tblGrid>
        <w:gridCol w:w="9936"/>
      </w:tblGrid>
      <w:tr>
        <w:tc>
          <w:tcPr>
            <w:tcW w:type="dxa" w:w="9936"/>
            <w:shd w:val="clear" w:color="auto" w:fill="EBF1F3"/>
          </w:tcPr>
          <w:p>
            <w:r>
              <w:rPr>
                <w:rFonts w:ascii="Calibri" w:hAnsi="Calibri"/>
                <w:b w:val="0"/>
                <w:i w:val="0"/>
                <w:color w:val="444444"/>
                <w:sz w:val="21"/>
              </w:rPr>
              <w:t>Leave for the teacher:  the collected exit tickets + a quick note on how the discussion went and anything to follow up on.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444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0A6916CC0054428A1B563C9E1D847E" ma:contentTypeVersion="3" ma:contentTypeDescription="Create a new document." ma:contentTypeScope="" ma:versionID="10ea2242063a99e91138254cb92189b8">
  <xsd:schema xmlns:xsd="http://www.w3.org/2001/XMLSchema" xmlns:xs="http://www.w3.org/2001/XMLSchema" xmlns:p="http://schemas.microsoft.com/office/2006/metadata/properties" xmlns:ns2="14615ecc-17b4-4e85-aaf4-441117114b7b" targetNamespace="http://schemas.microsoft.com/office/2006/metadata/properties" ma:root="true" ma:fieldsID="4c0fd4eb01a6732c2ccae24947f0835c" ns2:_="">
    <xsd:import namespace="14615ecc-17b4-4e85-aaf4-441117114b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15ecc-17b4-4e85-aaf4-441117114b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85FD80-BD09-4B5C-B686-9F31F59D2840}"/>
</file>

<file path=customXml/itemProps3.xml><?xml version="1.0" encoding="utf-8"?>
<ds:datastoreItem xmlns:ds="http://schemas.openxmlformats.org/officeDocument/2006/customXml" ds:itemID="{BBDE19F4-5A63-4E63-9711-C709325C0014}"/>
</file>

<file path=customXml/itemProps4.xml><?xml version="1.0" encoding="utf-8"?>
<ds:datastoreItem xmlns:ds="http://schemas.openxmlformats.org/officeDocument/2006/customXml" ds:itemID="{815A3F5E-5FC1-49EF-AD9E-51A595D5482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0x010100840A6916CC0054428A1B563C9E1D847E</vt:lpwstr>
  </property>
</Properties>
</file>