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C6E7E"/>
          <w:sz w:val="22"/>
        </w:rPr>
        <w:t>GRADE 11 · DIGITAL CITIZENSHIP &amp; ONLINE SAFETY</w:t>
      </w:r>
    </w:p>
    <w:p>
      <w:pPr>
        <w:spacing w:after="40" w:before="0"/>
      </w:pPr>
      <w:r>
        <w:rPr>
          <w:rFonts w:ascii="Calibri" w:hAnsi="Calibri"/>
          <w:b/>
          <w:i w:val="0"/>
          <w:color w:val="1E3048"/>
          <w:sz w:val="72"/>
        </w:rPr>
        <w:t>CyberSWAT</w:t>
      </w:r>
    </w:p>
    <w:p>
      <w:pPr>
        <w:spacing w:after="40" w:before="0"/>
      </w:pPr>
      <w:r>
        <w:rPr>
          <w:rFonts w:ascii="Calibri" w:hAnsi="Calibri"/>
          <w:b w:val="0"/>
          <w:i w:val="0"/>
          <w:color w:val="444444"/>
          <w:sz w:val="29"/>
        </w:rPr>
        <w:t>Digital Identity, Financial Safety &amp; Cyber Readiness</w:t>
      </w:r>
    </w:p>
    <w:p>
      <w:pPr>
        <w:spacing w:after="80" w:before="0"/>
      </w:pPr>
      <w:r>
        <w:rPr>
          <w:rFonts w:ascii="Calibri" w:hAnsi="Calibri"/>
          <w:b w:val="0"/>
          <w:i w:val="0"/>
          <w:color w:val="B7791F"/>
          <w:sz w:val="23"/>
        </w:rPr>
        <w:t>A Premium Teacher-Ready Unit · College &amp; Career Transition</w:t>
      </w:r>
    </w:p>
    <w:p>
      <w:pPr>
        <w:spacing w:after="120" w:before="0"/>
      </w:pPr>
      <w:r>
        <w:rPr>
          <w:rFonts w:ascii="Calibri" w:hAnsi="Calibri"/>
          <w:b/>
          <w:i w:val="0"/>
          <w:color w:val="1E3048"/>
          <w:sz w:val="20"/>
        </w:rPr>
        <w:t>Aligned to WV Senate Bill 466 (SWAT) · WV CCR Standards for Technology &amp; Computer Science (Policy 2520.14) · WV High School ELA</w:t>
      </w:r>
    </w:p>
    <w:p>
      <w:pPr>
        <w:spacing w:after="40" w:before="0"/>
      </w:pPr>
      <w:r>
        <w:rPr>
          <w:rFonts w:ascii="Calibri" w:hAnsi="Calibri"/>
          <w:b/>
          <w:i w:val="0"/>
          <w:color w:val="1C6E7E"/>
          <w:sz w:val="22"/>
        </w:rPr>
        <w:t>Essential Question</w:t>
      </w:r>
    </w:p>
    <w:p>
      <w:pPr>
        <w:spacing w:after="80" w:before="0"/>
      </w:pPr>
      <w:r>
        <w:rPr>
          <w:rFonts w:ascii="Calibri" w:hAnsi="Calibri"/>
          <w:b w:val="0"/>
          <w:i w:val="0"/>
          <w:color w:val="444444"/>
          <w:sz w:val="22"/>
        </w:rPr>
        <w:t>As I move toward college, career, and adulthood, how do I build a professional digital identity, protect my money and personal information, and think like a defender online?</w:t>
      </w:r>
    </w:p>
    <w:p>
      <w:pPr>
        <w:spacing w:after="40" w:before="0"/>
      </w:pPr>
      <w:r>
        <w:rPr>
          <w:rFonts w:ascii="Calibri" w:hAnsi="Calibri"/>
          <w:b w:val="0"/>
          <w:i w:val="0"/>
          <w:color w:val="444444"/>
          <w:sz w:val="18"/>
        </w:rPr>
        <w:t>Instructional Model: Bandura Social Cognitive Learning — Attention · Retention · Practice · Motivation</w:t>
      </w:r>
    </w:p>
    <w:p>
      <w:pPr>
        <w:spacing w:after="120" w:before="0"/>
      </w:pPr>
      <w:r>
        <w:rPr>
          <w:rFonts w:ascii="Calibri" w:hAnsi="Calibri"/>
          <w:b w:val="0"/>
          <w:i w:val="0"/>
          <w:color w:val="444444"/>
          <w:sz w:val="18"/>
        </w:rPr>
        <w:t>3 Core Lessons · 4 Tabletop Exercises · Full Assessment Toolkit · Ready-to-Print Resources</w:t>
      </w:r>
    </w:p>
    <w:p>
      <w:pPr>
        <w:pStyle w:val="Heading1"/>
      </w:pPr>
      <w:r>
        <w:t>Contents</w:t>
      </w:r>
    </w:p>
    <w:p>
      <w:pPr>
        <w:spacing w:after="20"/>
      </w:pPr>
      <w:r>
        <w:rPr>
          <w:rFonts w:ascii="Calibri" w:hAnsi="Calibri"/>
          <w:b w:val="0"/>
          <w:i w:val="0"/>
          <w:color w:val="444444"/>
          <w:sz w:val="22"/>
        </w:rPr>
        <w:t>•  How to Use This Guide</w:t>
      </w:r>
    </w:p>
    <w:p>
      <w:pPr>
        <w:spacing w:after="20"/>
      </w:pPr>
      <w:r>
        <w:rPr>
          <w:rFonts w:ascii="Calibri" w:hAnsi="Calibri"/>
          <w:b w:val="0"/>
          <w:i w:val="0"/>
          <w:color w:val="444444"/>
          <w:sz w:val="22"/>
        </w:rPr>
        <w:t>•  Unit Overview</w:t>
      </w:r>
    </w:p>
    <w:p>
      <w:pPr>
        <w:spacing w:after="20"/>
      </w:pPr>
      <w:r>
        <w:rPr>
          <w:rFonts w:ascii="Calibri" w:hAnsi="Calibri"/>
          <w:b w:val="0"/>
          <w:i w:val="0"/>
          <w:color w:val="444444"/>
          <w:sz w:val="22"/>
        </w:rPr>
        <w:t>•  Standards at a Glance</w:t>
      </w:r>
    </w:p>
    <w:p>
      <w:pPr>
        <w:spacing w:after="20"/>
      </w:pPr>
      <w:r>
        <w:rPr>
          <w:rFonts w:ascii="Calibri" w:hAnsi="Calibri"/>
          <w:b w:val="0"/>
          <w:i w:val="0"/>
          <w:color w:val="444444"/>
          <w:sz w:val="22"/>
        </w:rPr>
        <w:t>•  Suggested Scope &amp; Sequence</w:t>
      </w:r>
    </w:p>
    <w:p>
      <w:pPr>
        <w:spacing w:after="20"/>
      </w:pPr>
      <w:r>
        <w:rPr>
          <w:rFonts w:ascii="Calibri" w:hAnsi="Calibri"/>
          <w:b w:val="0"/>
          <w:i w:val="0"/>
          <w:color w:val="444444"/>
          <w:sz w:val="22"/>
        </w:rPr>
        <w:t>•  Unit Vocabulary</w:t>
      </w:r>
    </w:p>
    <w:p>
      <w:pPr>
        <w:spacing w:after="20"/>
      </w:pPr>
      <w:r>
        <w:rPr>
          <w:rFonts w:ascii="Calibri" w:hAnsi="Calibri"/>
          <w:b w:val="0"/>
          <w:i w:val="0"/>
          <w:color w:val="444444"/>
          <w:sz w:val="22"/>
        </w:rPr>
        <w:t>•  Lesson 1 — Your Professional Digital Identity</w:t>
      </w:r>
    </w:p>
    <w:p>
      <w:pPr>
        <w:spacing w:after="20"/>
      </w:pPr>
      <w:r>
        <w:rPr>
          <w:rFonts w:ascii="Calibri" w:hAnsi="Calibri"/>
          <w:b w:val="0"/>
          <w:i w:val="0"/>
          <w:color w:val="444444"/>
          <w:sz w:val="22"/>
        </w:rPr>
        <w:t>•  Lesson 2 — Financial Safety &amp; Identity Protection</w:t>
      </w:r>
    </w:p>
    <w:p>
      <w:pPr>
        <w:spacing w:after="20"/>
      </w:pPr>
      <w:r>
        <w:rPr>
          <w:rFonts w:ascii="Calibri" w:hAnsi="Calibri"/>
          <w:b w:val="0"/>
          <w:i w:val="0"/>
          <w:color w:val="444444"/>
          <w:sz w:val="22"/>
        </w:rPr>
        <w:t>•  Lesson 3 — Digital Law, Your Rights &amp; Cyber-Ready Thinking</w:t>
      </w:r>
    </w:p>
    <w:p>
      <w:pPr>
        <w:spacing w:after="20"/>
      </w:pPr>
      <w:r>
        <w:rPr>
          <w:rFonts w:ascii="Calibri" w:hAnsi="Calibri"/>
          <w:b w:val="0"/>
          <w:i w:val="0"/>
          <w:color w:val="444444"/>
          <w:sz w:val="22"/>
        </w:rPr>
        <w:t>•  Tabletop Exercises (4)</w:t>
      </w:r>
    </w:p>
    <w:p>
      <w:pPr>
        <w:spacing w:after="20"/>
      </w:pPr>
      <w:r>
        <w:rPr>
          <w:rFonts w:ascii="Calibri" w:hAnsi="Calibri"/>
          <w:b w:val="0"/>
          <w:i w:val="0"/>
          <w:color w:val="444444"/>
          <w:sz w:val="22"/>
        </w:rPr>
        <w:t>•  Assessment Toolkit</w:t>
      </w:r>
    </w:p>
    <w:p>
      <w:pPr>
        <w:spacing w:after="20"/>
      </w:pPr>
      <w:r>
        <w:rPr>
          <w:rFonts w:ascii="Calibri" w:hAnsi="Calibri"/>
          <w:b w:val="0"/>
          <w:i w:val="0"/>
          <w:color w:val="444444"/>
          <w:sz w:val="22"/>
        </w:rPr>
        <w:t>•  SWAT Instructional Delivery Checklist</w:t>
      </w:r>
    </w:p>
    <w:p>
      <w:pPr>
        <w:spacing w:after="20"/>
      </w:pPr>
      <w:r>
        <w:rPr>
          <w:rFonts w:ascii="Calibri" w:hAnsi="Calibri"/>
          <w:b w:val="0"/>
          <w:i w:val="0"/>
          <w:color w:val="444444"/>
          <w:sz w:val="22"/>
        </w:rPr>
        <w:t>•  Printable Teacher Resources (Appendices A–J)</w:t>
      </w:r>
    </w:p>
    <w:p>
      <w:pPr>
        <w:pStyle w:val="Heading1"/>
      </w:pPr>
      <w:r>
        <w:t>How to Use This Guide</w:t>
      </w:r>
    </w:p>
    <w:p>
      <w:pPr>
        <w:spacing w:after="80" w:before="0"/>
      </w:pPr>
      <w:r>
        <w:rPr>
          <w:rFonts w:ascii="Calibri" w:hAnsi="Calibri"/>
          <w:b w:val="0"/>
          <w:i w:val="0"/>
          <w:color w:val="444444"/>
          <w:sz w:val="22"/>
        </w:rPr>
        <w:t>This unit is designed so any Grade 11 teacher — in technology, computer science, business, career-readiness, advisory, or English — can teach it with confidence. Every lesson is scripted, timed, and paired with the exact printable resources you need. You do not need to be a cybersecurity expert. Your role is to facilitate discussion, model calm and responsible decision-making, and give students room to lead, practice, and reflect.</w:t>
      </w:r>
    </w:p>
    <w:p>
      <w:pPr>
        <w:pStyle w:val="Heading3"/>
      </w:pPr>
      <w:r>
        <w:t>What makes this a SWAT-compliant unit</w:t>
      </w:r>
    </w:p>
    <w:p>
      <w:pPr>
        <w:spacing w:after="80" w:before="0"/>
      </w:pPr>
      <w:r>
        <w:rPr>
          <w:rFonts w:ascii="Calibri" w:hAnsi="Calibri"/>
          <w:b w:val="0"/>
          <w:i w:val="0"/>
          <w:color w:val="444444"/>
          <w:sz w:val="22"/>
        </w:rPr>
        <w:t>WV Senate Bill 466 (SWAT) expects students to learn safe technology behavior the way people actually learn behavior — by observing, discussing, practicing, and reflecting, not by sitting through a slideshow. This unit follows Albert Bandura’s social cognitive model that the SWAT guidance emphasizes: students give attention to a modeled behavior, retain it, practice (produce) it, and are motivated to use it.</w:t>
      </w:r>
    </w:p>
    <w:p>
      <w:pPr>
        <w:pStyle w:val="Heading3"/>
      </w:pPr>
      <w:r>
        <w:t>How Grade 11 goes further</w:t>
      </w:r>
    </w:p>
    <w:p>
      <w:pPr>
        <w:spacing w:after="80" w:before="0"/>
      </w:pPr>
      <w:r>
        <w:rPr>
          <w:rFonts w:ascii="Calibri" w:hAnsi="Calibri"/>
          <w:b w:val="0"/>
          <w:i w:val="0"/>
          <w:color w:val="444444"/>
          <w:sz w:val="22"/>
        </w:rPr>
        <w:t>Grade 9 protected the personal footprint; Grade 10 built information and ethics judgment. Grade 11 meets students at the edge of adulthood. Juniors are applying to colleges, taking first jobs, opening bank and payment accounts, and becoming legally responsible for their choices. This unit builds a professional digital identity on purpose, protects money and personal information from fraud and identity theft, and introduces cyber-ready thinking — a defender’s mindset, incident response, and awareness of cybersecurity careers.</w:t>
      </w:r>
    </w:p>
    <w:p>
      <w:pPr>
        <w:pStyle w:val="Heading3"/>
      </w:pPr>
      <w:r>
        <w:t>A note on high-school standards</w:t>
      </w:r>
    </w:p>
    <w:p>
      <w:pPr>
        <w:spacing w:after="80" w:before="0"/>
      </w:pPr>
      <w:r>
        <w:rPr>
          <w:rFonts w:ascii="Calibri" w:hAnsi="Calibri"/>
          <w:b w:val="0"/>
          <w:i w:val="0"/>
          <w:color w:val="444444"/>
          <w:sz w:val="22"/>
        </w:rPr>
        <w:t>Grade 11 anchors to the WV College- and Career-Readiness Standards for Technology and Computer Science (Policy 2520.14). The codes below are drawn from West Virginia Discovering Computer Science (CS.DCS), a recognized WV high-school course. If your building delivers this unit inside a different WV high-school computer science course (for example, Fundamentals of Cybersecurity), map these same skills to that course’s standards — the identity, security, and career focus transfers directly.</w:t>
      </w:r>
    </w:p>
    <w:p>
      <w:pPr>
        <w:pStyle w:val="Heading3"/>
      </w:pPr>
      <w:r>
        <w:t>Legend — icons used throughout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20"/>
            </w:pPr>
            <w:r>
              <w:rPr>
                <w:rFonts w:ascii="Calibri" w:hAnsi="Calibri"/>
                <w:b/>
                <w:i w:val="0"/>
                <w:color w:val="1E3048"/>
                <w:sz w:val="21"/>
              </w:rPr>
              <w:t xml:space="preserve">PREP  </w:t>
            </w:r>
            <w:r>
              <w:rPr>
                <w:rFonts w:ascii="Calibri" w:hAnsi="Calibri"/>
                <w:b w:val="0"/>
                <w:i w:val="0"/>
                <w:color w:val="444444"/>
                <w:sz w:val="21"/>
              </w:rPr>
              <w:t>What to gather or copy before class.</w:t>
            </w:r>
          </w:p>
          <w:p>
            <w:pPr>
              <w:spacing w:after="20"/>
            </w:pPr>
            <w:r>
              <w:rPr>
                <w:rFonts w:ascii="Calibri" w:hAnsi="Calibri"/>
                <w:b/>
                <w:i w:val="0"/>
                <w:color w:val="1E3048"/>
                <w:sz w:val="21"/>
              </w:rPr>
              <w:t xml:space="preserve">SAY:  </w:t>
            </w:r>
            <w:r>
              <w:rPr>
                <w:rFonts w:ascii="Calibri" w:hAnsi="Calibri"/>
                <w:b w:val="0"/>
                <w:i w:val="0"/>
                <w:color w:val="444444"/>
                <w:sz w:val="21"/>
              </w:rPr>
              <w:t>Suggested teacher language you can read aloud or adapt.</w:t>
            </w:r>
          </w:p>
          <w:p>
            <w:pPr>
              <w:spacing w:after="20"/>
            </w:pPr>
            <w:r>
              <w:rPr>
                <w:rFonts w:ascii="Calibri" w:hAnsi="Calibri"/>
                <w:b/>
                <w:i w:val="0"/>
                <w:color w:val="1E3048"/>
                <w:sz w:val="21"/>
              </w:rPr>
              <w:t xml:space="preserve">DO:  </w:t>
            </w:r>
            <w:r>
              <w:rPr>
                <w:rFonts w:ascii="Calibri" w:hAnsi="Calibri"/>
                <w:b w:val="0"/>
                <w:i w:val="0"/>
                <w:color w:val="444444"/>
                <w:sz w:val="21"/>
              </w:rPr>
              <w:t>A teacher move or action.</w:t>
            </w:r>
          </w:p>
          <w:p>
            <w:pPr>
              <w:spacing w:after="20"/>
            </w:pPr>
            <w:r>
              <w:rPr>
                <w:rFonts w:ascii="Calibri" w:hAnsi="Calibri"/>
                <w:b/>
                <w:i w:val="0"/>
                <w:color w:val="1E3048"/>
                <w:sz w:val="21"/>
              </w:rPr>
              <w:t xml:space="preserve">ASK:  </w:t>
            </w:r>
            <w:r>
              <w:rPr>
                <w:rFonts w:ascii="Calibri" w:hAnsi="Calibri"/>
                <w:b w:val="0"/>
                <w:i w:val="0"/>
                <w:color w:val="444444"/>
                <w:sz w:val="21"/>
              </w:rPr>
              <w:t>A discussion question to pose to students.</w:t>
            </w:r>
          </w:p>
          <w:p>
            <w:pPr>
              <w:spacing w:after="20"/>
            </w:pPr>
            <w:r>
              <w:rPr>
                <w:rFonts w:ascii="Calibri" w:hAnsi="Calibri"/>
                <w:b/>
                <w:i w:val="0"/>
                <w:color w:val="1E3048"/>
                <w:sz w:val="21"/>
              </w:rPr>
              <w:t xml:space="preserve">MODEL  </w:t>
            </w:r>
            <w:r>
              <w:rPr>
                <w:rFonts w:ascii="Calibri" w:hAnsi="Calibri"/>
                <w:b w:val="0"/>
                <w:i w:val="0"/>
                <w:color w:val="444444"/>
                <w:sz w:val="21"/>
              </w:rPr>
              <w:t>The safe/responsible response you demonstrate before students practice it.</w:t>
            </w:r>
          </w:p>
          <w:p>
            <w:pPr>
              <w:spacing w:after="20"/>
            </w:pPr>
            <w:r>
              <w:rPr>
                <w:rFonts w:ascii="Calibri" w:hAnsi="Calibri"/>
                <w:b/>
                <w:i w:val="0"/>
                <w:color w:val="1E3048"/>
                <w:sz w:val="21"/>
              </w:rPr>
              <w:t xml:space="preserve">DIFFERENTIATE  </w:t>
            </w:r>
            <w:r>
              <w:rPr>
                <w:rFonts w:ascii="Calibri" w:hAnsi="Calibri"/>
                <w:b w:val="0"/>
                <w:i w:val="0"/>
                <w:color w:val="444444"/>
                <w:sz w:val="21"/>
              </w:rPr>
              <w:t>Supports for below-level, above-level, and multilingual learners.</w:t>
            </w:r>
          </w:p>
          <w:p>
            <w:pPr>
              <w:spacing w:after="20"/>
            </w:pPr>
            <w:r>
              <w:rPr>
                <w:rFonts w:ascii="Calibri" w:hAnsi="Calibri"/>
                <w:b/>
                <w:i w:val="0"/>
                <w:color w:val="1E3048"/>
                <w:sz w:val="21"/>
              </w:rPr>
              <w:t xml:space="preserve">SAFETY NOTE  </w:t>
            </w:r>
            <w:r>
              <w:rPr>
                <w:rFonts w:ascii="Calibri" w:hAnsi="Calibri"/>
                <w:b w:val="0"/>
                <w:i w:val="0"/>
                <w:color w:val="444444"/>
                <w:sz w:val="21"/>
              </w:rPr>
              <w:t>Guidance for handling sensitive content and disclosures.</w:t>
            </w:r>
          </w:p>
        </w:tc>
      </w:tr>
    </w:tbl>
    <w:p>
      <w:pPr>
        <w:spacing w:after="40"/>
      </w:pPr>
    </w:p>
    <w:p>
      <w:pPr>
        <w:pStyle w:val="Heading1"/>
      </w:pPr>
      <w:r>
        <w:t>Unit Overview</w:t>
      </w:r>
    </w:p>
    <w:p>
      <w:pPr>
        <w:spacing w:after="40"/>
      </w:pPr>
      <w:r>
        <w:rPr>
          <w:rFonts w:ascii="Calibri" w:hAnsi="Calibri"/>
          <w:b/>
          <w:i w:val="0"/>
          <w:color w:val="1E3048"/>
          <w:sz w:val="22"/>
        </w:rPr>
        <w:t xml:space="preserve">Grade level:  </w:t>
      </w:r>
      <w:r>
        <w:rPr>
          <w:rFonts w:ascii="Calibri" w:hAnsi="Calibri"/>
          <w:b w:val="0"/>
          <w:i w:val="0"/>
          <w:color w:val="444444"/>
          <w:sz w:val="22"/>
        </w:rPr>
        <w:t>Grade 11 (college &amp; career transition focus)</w:t>
      </w:r>
    </w:p>
    <w:p>
      <w:pPr>
        <w:spacing w:after="40"/>
      </w:pPr>
      <w:r>
        <w:rPr>
          <w:rFonts w:ascii="Calibri" w:hAnsi="Calibri"/>
          <w:b/>
          <w:i w:val="0"/>
          <w:color w:val="1E3048"/>
          <w:sz w:val="22"/>
        </w:rPr>
        <w:t xml:space="preserve">Recommended delivery:  </w:t>
      </w:r>
      <w:r>
        <w:rPr>
          <w:rFonts w:ascii="Calibri" w:hAnsi="Calibri"/>
          <w:b w:val="0"/>
          <w:i w:val="0"/>
          <w:color w:val="444444"/>
          <w:sz w:val="22"/>
        </w:rPr>
        <w:t>Technology / computer science, business, career-readiness, advisory, or English.</w:t>
      </w:r>
    </w:p>
    <w:p>
      <w:pPr>
        <w:spacing w:after="40"/>
      </w:pPr>
      <w:r>
        <w:rPr>
          <w:rFonts w:ascii="Calibri" w:hAnsi="Calibri"/>
          <w:b/>
          <w:i w:val="0"/>
          <w:color w:val="1E3048"/>
          <w:sz w:val="22"/>
        </w:rPr>
        <w:t xml:space="preserve">Total unit length:  </w:t>
      </w:r>
      <w:r>
        <w:rPr>
          <w:rFonts w:ascii="Calibri" w:hAnsi="Calibri"/>
          <w:b w:val="0"/>
          <w:i w:val="0"/>
          <w:color w:val="444444"/>
          <w:sz w:val="22"/>
        </w:rPr>
        <w:t>3 core lessons (45–50 min each) + 4 tabletop exercises (15–25 min each). Delivers in 4–6 periods; tabletops also work as advisory sessions or review stations.</w:t>
      </w:r>
    </w:p>
    <w:p>
      <w:pPr>
        <w:spacing w:after="40"/>
      </w:pPr>
      <w:r>
        <w:rPr>
          <w:rFonts w:ascii="Calibri" w:hAnsi="Calibri"/>
          <w:b/>
          <w:i w:val="0"/>
          <w:color w:val="1E3048"/>
          <w:sz w:val="22"/>
        </w:rPr>
        <w:t xml:space="preserve">Compliance anchor:  </w:t>
      </w:r>
      <w:r>
        <w:rPr>
          <w:rFonts w:ascii="Calibri" w:hAnsi="Calibri"/>
          <w:b w:val="0"/>
          <w:i w:val="0"/>
          <w:color w:val="444444"/>
          <w:sz w:val="22"/>
        </w:rPr>
        <w:t>WV SB 466 (SWAT) — safe web and technology instruction using observational / peer-modeling delivery.</w:t>
      </w:r>
    </w:p>
    <w:p>
      <w:pPr>
        <w:pStyle w:val="Heading3"/>
      </w:pPr>
      <w:r>
        <w:t>What students will be able to do by the end of the unit</w:t>
      </w:r>
    </w:p>
    <w:p>
      <w:pPr>
        <w:pStyle w:val="ListParagraph"/>
        <w:spacing w:after="40"/>
        <w:numPr>
          <w:ilvl w:val="0"/>
          <w:numId w:val="1"/>
        </w:numPr>
      </w:pPr>
      <w:r>
        <w:rPr>
          <w:rFonts w:ascii="Calibri" w:hAnsi="Calibri"/>
          <w:b w:val="0"/>
          <w:i w:val="0"/>
          <w:color w:val="444444"/>
          <w:sz w:val="22"/>
        </w:rPr>
        <w:t>Build and manage a professional digital identity for college and career.</w:t>
      </w:r>
    </w:p>
    <w:p>
      <w:pPr>
        <w:pStyle w:val="ListParagraph"/>
        <w:spacing w:after="40"/>
        <w:numPr>
          <w:ilvl w:val="0"/>
          <w:numId w:val="1"/>
        </w:numPr>
      </w:pPr>
      <w:r>
        <w:rPr>
          <w:rFonts w:ascii="Calibri" w:hAnsi="Calibri"/>
          <w:b w:val="0"/>
          <w:i w:val="0"/>
          <w:color w:val="444444"/>
          <w:sz w:val="22"/>
        </w:rPr>
        <w:t>Separate a private personal presence from a public professional one.</w:t>
      </w:r>
    </w:p>
    <w:p>
      <w:pPr>
        <w:pStyle w:val="ListParagraph"/>
        <w:spacing w:after="40"/>
        <w:numPr>
          <w:ilvl w:val="0"/>
          <w:numId w:val="1"/>
        </w:numPr>
      </w:pPr>
      <w:r>
        <w:rPr>
          <w:rFonts w:ascii="Calibri" w:hAnsi="Calibri"/>
          <w:b w:val="0"/>
          <w:i w:val="0"/>
          <w:color w:val="444444"/>
          <w:sz w:val="22"/>
        </w:rPr>
        <w:t>Recognize financial fraud and identity-theft schemes that target teens and young adults.</w:t>
      </w:r>
    </w:p>
    <w:p>
      <w:pPr>
        <w:pStyle w:val="ListParagraph"/>
        <w:spacing w:after="40"/>
        <w:numPr>
          <w:ilvl w:val="0"/>
          <w:numId w:val="1"/>
        </w:numPr>
      </w:pPr>
      <w:r>
        <w:rPr>
          <w:rFonts w:ascii="Calibri" w:hAnsi="Calibri"/>
          <w:b w:val="0"/>
          <w:i w:val="0"/>
          <w:color w:val="444444"/>
          <w:sz w:val="22"/>
        </w:rPr>
        <w:t>Apply secure-transaction and personal-information-protection habits.</w:t>
      </w:r>
    </w:p>
    <w:p>
      <w:pPr>
        <w:pStyle w:val="ListParagraph"/>
        <w:spacing w:after="40"/>
        <w:numPr>
          <w:ilvl w:val="0"/>
          <w:numId w:val="1"/>
        </w:numPr>
      </w:pPr>
      <w:r>
        <w:rPr>
          <w:rFonts w:ascii="Calibri" w:hAnsi="Calibri"/>
          <w:b w:val="0"/>
          <w:i w:val="0"/>
          <w:color w:val="444444"/>
          <w:sz w:val="22"/>
        </w:rPr>
        <w:t>Build a personal incident-response plan and think with a defender’s mindset.</w:t>
      </w:r>
    </w:p>
    <w:p>
      <w:pPr>
        <w:pStyle w:val="ListParagraph"/>
        <w:spacing w:after="40"/>
        <w:numPr>
          <w:ilvl w:val="0"/>
          <w:numId w:val="1"/>
        </w:numPr>
      </w:pPr>
      <w:r>
        <w:rPr>
          <w:rFonts w:ascii="Calibri" w:hAnsi="Calibri"/>
          <w:b w:val="0"/>
          <w:i w:val="0"/>
          <w:color w:val="444444"/>
          <w:sz w:val="22"/>
        </w:rPr>
        <w:t>Explain their digital rights and legal responsibilities and identify cybersecurity career pathways.</w:t>
      </w:r>
    </w:p>
    <w:p>
      <w:pPr>
        <w:pStyle w:val="Heading3"/>
      </w:pPr>
      <w:r>
        <w:t>Enduring understandings</w:t>
      </w:r>
    </w:p>
    <w:p>
      <w:pPr>
        <w:pStyle w:val="ListParagraph"/>
        <w:spacing w:after="40"/>
        <w:numPr>
          <w:ilvl w:val="0"/>
          <w:numId w:val="1"/>
        </w:numPr>
      </w:pPr>
      <w:r>
        <w:rPr>
          <w:rFonts w:ascii="Calibri" w:hAnsi="Calibri"/>
          <w:b w:val="0"/>
          <w:i w:val="0"/>
          <w:color w:val="444444"/>
          <w:sz w:val="22"/>
        </w:rPr>
        <w:t>Your digital identity is a professional asset you build on purpose — colleges and employers are looking.</w:t>
      </w:r>
    </w:p>
    <w:p>
      <w:pPr>
        <w:pStyle w:val="ListParagraph"/>
        <w:spacing w:after="40"/>
        <w:numPr>
          <w:ilvl w:val="0"/>
          <w:numId w:val="1"/>
        </w:numPr>
      </w:pPr>
      <w:r>
        <w:rPr>
          <w:rFonts w:ascii="Calibri" w:hAnsi="Calibri"/>
          <w:b w:val="0"/>
          <w:i w:val="0"/>
          <w:color w:val="444444"/>
          <w:sz w:val="22"/>
        </w:rPr>
        <w:t>Protecting your money and personal information is a lifelong security habit, not a one-time setup.</w:t>
      </w:r>
    </w:p>
    <w:p>
      <w:pPr>
        <w:pStyle w:val="ListParagraph"/>
        <w:spacing w:after="40"/>
        <w:numPr>
          <w:ilvl w:val="0"/>
          <w:numId w:val="1"/>
        </w:numPr>
      </w:pPr>
      <w:r>
        <w:rPr>
          <w:rFonts w:ascii="Calibri" w:hAnsi="Calibri"/>
          <w:b w:val="0"/>
          <w:i w:val="0"/>
          <w:color w:val="444444"/>
          <w:sz w:val="22"/>
        </w:rPr>
        <w:t>Thinking like a defender — anticipating what could go wrong and having a plan — is the core of cyber readiness.</w:t>
      </w:r>
    </w:p>
    <w:p>
      <w:pPr>
        <w:pStyle w:val="Heading1"/>
      </w:pPr>
      <w:r>
        <w:t>Standards at a Glance</w:t>
      </w:r>
    </w:p>
    <w:p>
      <w:pPr>
        <w:spacing w:after="80" w:before="0"/>
      </w:pPr>
      <w:r>
        <w:rPr>
          <w:rFonts w:ascii="Calibri" w:hAnsi="Calibri"/>
          <w:b w:val="0"/>
          <w:i w:val="0"/>
          <w:color w:val="444444"/>
          <w:sz w:val="22"/>
        </w:rPr>
        <w:t>This map shows where each WV Technology &amp; Computer Science standard (Policy 2520.14, CS.DCS course codes) and ELA strand is addressed. Full standard language appears within each lesson.</w:t>
      </w:r>
    </w:p>
    <w:p>
      <w:pPr>
        <w:pStyle w:val="Heading3"/>
      </w:pPr>
      <w:r>
        <w:t>WV Technology &amp; Computer Science (CS.DCS — high school)</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1E3048"/>
            <w:vAlign w:val="center"/>
          </w:tcPr>
          <w:p>
            <w:pPr>
              <w:spacing w:after="20" w:before="20"/>
            </w:pPr>
            <w:r>
              <w:rPr>
                <w:rFonts w:ascii="Calibri" w:hAnsi="Calibri"/>
                <w:b/>
                <w:i w:val="0"/>
                <w:color w:val="FFFFFF"/>
                <w:sz w:val="21"/>
              </w:rPr>
              <w:t>Standard</w:t>
            </w:r>
          </w:p>
        </w:tc>
        <w:tc>
          <w:tcPr>
            <w:tcW w:type="dxa" w:w="4752"/>
            <w:shd w:val="clear" w:color="auto" w:fill="1E3048"/>
            <w:vAlign w:val="center"/>
          </w:tcPr>
          <w:p>
            <w:pPr>
              <w:spacing w:after="20" w:before="20"/>
            </w:pPr>
            <w:r>
              <w:rPr>
                <w:rFonts w:ascii="Calibri" w:hAnsi="Calibri"/>
                <w:b/>
                <w:i w:val="0"/>
                <w:color w:val="FFFFFF"/>
                <w:sz w:val="21"/>
              </w:rPr>
              <w:t>Focus</w:t>
            </w:r>
          </w:p>
        </w:tc>
        <w:tc>
          <w:tcPr>
            <w:tcW w:type="dxa" w:w="2880"/>
            <w:shd w:val="clear" w:color="auto" w:fill="1E3048"/>
            <w:vAlign w:val="center"/>
          </w:tcPr>
          <w:p>
            <w:pPr>
              <w:spacing w:after="20" w:before="20"/>
            </w:pPr>
            <w:r>
              <w:rPr>
                <w:rFonts w:ascii="Calibri" w:hAnsi="Calibri"/>
                <w:b/>
                <w:i w:val="0"/>
                <w:color w:val="FFFFFF"/>
                <w:sz w:val="21"/>
              </w:rPr>
              <w:t>Where addressed</w:t>
            </w:r>
          </w:p>
        </w:tc>
      </w:tr>
      <w:tr>
        <w:tc>
          <w:tcPr>
            <w:tcW w:type="dxa" w:w="1584"/>
            <w:vAlign w:val="center"/>
          </w:tcPr>
          <w:p>
            <w:pPr>
              <w:spacing w:after="20" w:before="20"/>
            </w:pPr>
            <w:r>
              <w:rPr>
                <w:rFonts w:ascii="Calibri" w:hAnsi="Calibri"/>
                <w:b w:val="0"/>
                <w:i w:val="0"/>
                <w:color w:val="444444"/>
                <w:sz w:val="20"/>
              </w:rPr>
              <w:t>CS.DCS.25</w:t>
            </w:r>
          </w:p>
        </w:tc>
        <w:tc>
          <w:tcPr>
            <w:tcW w:type="dxa" w:w="4752"/>
            <w:vAlign w:val="center"/>
          </w:tcPr>
          <w:p>
            <w:pPr>
              <w:spacing w:after="20" w:before="20"/>
            </w:pPr>
            <w:r>
              <w:rPr>
                <w:rFonts w:ascii="Calibri" w:hAnsi="Calibri"/>
                <w:b w:val="0"/>
                <w:i w:val="0"/>
                <w:color w:val="444444"/>
                <w:sz w:val="20"/>
              </w:rPr>
              <w:t>Personal information security — passwords, encryption, secure transactions</w:t>
            </w:r>
          </w:p>
        </w:tc>
        <w:tc>
          <w:tcPr>
            <w:tcW w:type="dxa" w:w="2880"/>
            <w:vAlign w:val="center"/>
          </w:tcPr>
          <w:p>
            <w:pPr>
              <w:spacing w:after="20" w:before="20"/>
            </w:pPr>
            <w:r>
              <w:rPr>
                <w:rFonts w:ascii="Calibri" w:hAnsi="Calibri"/>
                <w:b w:val="0"/>
                <w:i w:val="0"/>
                <w:color w:val="444444"/>
                <w:sz w:val="20"/>
              </w:rPr>
              <w:t>Lessons 2 &amp; 3 · Tabletops 2 &amp; 3</w:t>
            </w:r>
          </w:p>
        </w:tc>
      </w:tr>
      <w:tr>
        <w:tc>
          <w:tcPr>
            <w:tcW w:type="dxa" w:w="1584"/>
            <w:vAlign w:val="center"/>
          </w:tcPr>
          <w:p>
            <w:pPr>
              <w:spacing w:after="20" w:before="20"/>
            </w:pPr>
            <w:r>
              <w:rPr>
                <w:rFonts w:ascii="Calibri" w:hAnsi="Calibri"/>
                <w:b w:val="0"/>
                <w:i w:val="0"/>
                <w:color w:val="444444"/>
                <w:sz w:val="20"/>
              </w:rPr>
              <w:t>CS.DCS.37</w:t>
            </w:r>
          </w:p>
        </w:tc>
        <w:tc>
          <w:tcPr>
            <w:tcW w:type="dxa" w:w="4752"/>
            <w:vAlign w:val="center"/>
          </w:tcPr>
          <w:p>
            <w:pPr>
              <w:spacing w:after="20" w:before="20"/>
            </w:pPr>
            <w:r>
              <w:rPr>
                <w:rFonts w:ascii="Calibri" w:hAnsi="Calibri"/>
                <w:b w:val="0"/>
                <w:i w:val="0"/>
                <w:color w:val="444444"/>
                <w:sz w:val="20"/>
              </w:rPr>
              <w:t>Legal &amp; ethical technology behavior; consequences of misuse</w:t>
            </w:r>
          </w:p>
        </w:tc>
        <w:tc>
          <w:tcPr>
            <w:tcW w:type="dxa" w:w="2880"/>
            <w:vAlign w:val="center"/>
          </w:tcPr>
          <w:p>
            <w:pPr>
              <w:spacing w:after="20" w:before="20"/>
            </w:pPr>
            <w:r>
              <w:rPr>
                <w:rFonts w:ascii="Calibri" w:hAnsi="Calibri"/>
                <w:b w:val="0"/>
                <w:i w:val="0"/>
                <w:color w:val="444444"/>
                <w:sz w:val="20"/>
              </w:rPr>
              <w:t>Lessons 1 &amp; 3 · all tabletops</w:t>
            </w:r>
          </w:p>
        </w:tc>
      </w:tr>
      <w:tr>
        <w:tc>
          <w:tcPr>
            <w:tcW w:type="dxa" w:w="1584"/>
            <w:vAlign w:val="center"/>
          </w:tcPr>
          <w:p>
            <w:pPr>
              <w:spacing w:after="20" w:before="20"/>
            </w:pPr>
            <w:r>
              <w:rPr>
                <w:rFonts w:ascii="Calibri" w:hAnsi="Calibri"/>
                <w:b w:val="0"/>
                <w:i w:val="0"/>
                <w:color w:val="444444"/>
                <w:sz w:val="20"/>
              </w:rPr>
              <w:t>CS.DCS.39</w:t>
            </w:r>
          </w:p>
        </w:tc>
        <w:tc>
          <w:tcPr>
            <w:tcW w:type="dxa" w:w="4752"/>
            <w:vAlign w:val="center"/>
          </w:tcPr>
          <w:p>
            <w:pPr>
              <w:spacing w:after="20" w:before="20"/>
            </w:pPr>
            <w:r>
              <w:rPr>
                <w:rFonts w:ascii="Calibri" w:hAnsi="Calibri"/>
                <w:b w:val="0"/>
                <w:i w:val="0"/>
                <w:color w:val="444444"/>
                <w:sz w:val="20"/>
              </w:rPr>
              <w:t>Analyze positive &amp; negative impacts of computing on culture</w:t>
            </w:r>
          </w:p>
        </w:tc>
        <w:tc>
          <w:tcPr>
            <w:tcW w:type="dxa" w:w="2880"/>
            <w:vAlign w:val="center"/>
          </w:tcPr>
          <w:p>
            <w:pPr>
              <w:spacing w:after="20" w:before="20"/>
            </w:pPr>
            <w:r>
              <w:rPr>
                <w:rFonts w:ascii="Calibri" w:hAnsi="Calibri"/>
                <w:b w:val="0"/>
                <w:i w:val="0"/>
                <w:color w:val="444444"/>
                <w:sz w:val="20"/>
              </w:rPr>
              <w:t>Lessons 1 &amp; 3 · Tabletops 1 &amp; 4</w:t>
            </w:r>
          </w:p>
        </w:tc>
      </w:tr>
      <w:tr>
        <w:tc>
          <w:tcPr>
            <w:tcW w:type="dxa" w:w="1584"/>
            <w:vAlign w:val="center"/>
          </w:tcPr>
          <w:p>
            <w:pPr>
              <w:spacing w:after="20" w:before="20"/>
            </w:pPr>
            <w:r>
              <w:rPr>
                <w:rFonts w:ascii="Calibri" w:hAnsi="Calibri"/>
                <w:b w:val="0"/>
                <w:i w:val="0"/>
                <w:color w:val="444444"/>
                <w:sz w:val="20"/>
              </w:rPr>
              <w:t>CS.DCS.38</w:t>
            </w:r>
          </w:p>
        </w:tc>
        <w:tc>
          <w:tcPr>
            <w:tcW w:type="dxa" w:w="4752"/>
            <w:vAlign w:val="center"/>
          </w:tcPr>
          <w:p>
            <w:pPr>
              <w:spacing w:after="20" w:before="20"/>
            </w:pPr>
            <w:r>
              <w:rPr>
                <w:rFonts w:ascii="Calibri" w:hAnsi="Calibri"/>
                <w:b w:val="0"/>
                <w:i w:val="0"/>
                <w:color w:val="444444"/>
                <w:sz w:val="20"/>
              </w:rPr>
              <w:t>Changes in information technology over time and effects on society</w:t>
            </w:r>
          </w:p>
        </w:tc>
        <w:tc>
          <w:tcPr>
            <w:tcW w:type="dxa" w:w="2880"/>
            <w:vAlign w:val="center"/>
          </w:tcPr>
          <w:p>
            <w:pPr>
              <w:spacing w:after="20" w:before="20"/>
            </w:pPr>
            <w:r>
              <w:rPr>
                <w:rFonts w:ascii="Calibri" w:hAnsi="Calibri"/>
                <w:b w:val="0"/>
                <w:i w:val="0"/>
                <w:color w:val="444444"/>
                <w:sz w:val="20"/>
              </w:rPr>
              <w:t>Lessons 2 &amp; 3 · Tabletop 3</w:t>
            </w:r>
          </w:p>
        </w:tc>
      </w:tr>
      <w:tr>
        <w:tc>
          <w:tcPr>
            <w:tcW w:type="dxa" w:w="1584"/>
            <w:vAlign w:val="center"/>
          </w:tcPr>
          <w:p>
            <w:pPr>
              <w:spacing w:after="20" w:before="20"/>
            </w:pPr>
            <w:r>
              <w:rPr>
                <w:rFonts w:ascii="Calibri" w:hAnsi="Calibri"/>
                <w:b w:val="0"/>
                <w:i w:val="0"/>
                <w:color w:val="444444"/>
                <w:sz w:val="20"/>
              </w:rPr>
              <w:t>CS.DCS.26</w:t>
            </w:r>
          </w:p>
        </w:tc>
        <w:tc>
          <w:tcPr>
            <w:tcW w:type="dxa" w:w="4752"/>
            <w:vAlign w:val="center"/>
          </w:tcPr>
          <w:p>
            <w:pPr>
              <w:spacing w:after="20" w:before="20"/>
            </w:pPr>
            <w:r>
              <w:rPr>
                <w:rFonts w:ascii="Calibri" w:hAnsi="Calibri"/>
                <w:b w:val="0"/>
                <w:i w:val="0"/>
                <w:color w:val="444444"/>
                <w:sz w:val="20"/>
              </w:rPr>
              <w:t>Identify interdisciplinary careers enhanced by computer science</w:t>
            </w:r>
          </w:p>
        </w:tc>
        <w:tc>
          <w:tcPr>
            <w:tcW w:type="dxa" w:w="2880"/>
            <w:vAlign w:val="center"/>
          </w:tcPr>
          <w:p>
            <w:pPr>
              <w:spacing w:after="20" w:before="20"/>
            </w:pPr>
            <w:r>
              <w:rPr>
                <w:rFonts w:ascii="Calibri" w:hAnsi="Calibri"/>
                <w:b w:val="0"/>
                <w:i w:val="0"/>
                <w:color w:val="444444"/>
                <w:sz w:val="20"/>
              </w:rPr>
              <w:t>Lesson 3 (cyber careers)</w:t>
            </w:r>
          </w:p>
        </w:tc>
      </w:tr>
      <w:tr>
        <w:tc>
          <w:tcPr>
            <w:tcW w:type="dxa" w:w="1584"/>
            <w:vAlign w:val="center"/>
          </w:tcPr>
          <w:p>
            <w:pPr>
              <w:spacing w:after="20" w:before="20"/>
            </w:pPr>
            <w:r>
              <w:rPr>
                <w:rFonts w:ascii="Calibri" w:hAnsi="Calibri"/>
                <w:b w:val="0"/>
                <w:i w:val="0"/>
                <w:color w:val="444444"/>
                <w:sz w:val="20"/>
              </w:rPr>
              <w:t>CS.DCS.19</w:t>
            </w:r>
          </w:p>
        </w:tc>
        <w:tc>
          <w:tcPr>
            <w:tcW w:type="dxa" w:w="4752"/>
            <w:vAlign w:val="center"/>
          </w:tcPr>
          <w:p>
            <w:pPr>
              <w:spacing w:after="20" w:before="20"/>
            </w:pPr>
            <w:r>
              <w:rPr>
                <w:rFonts w:ascii="Calibri" w:hAnsi="Calibri"/>
                <w:b w:val="0"/>
                <w:i w:val="0"/>
                <w:color w:val="444444"/>
                <w:sz w:val="20"/>
              </w:rPr>
              <w:t>Collaboration — feedback, multiple perspectives, discussion</w:t>
            </w:r>
          </w:p>
        </w:tc>
        <w:tc>
          <w:tcPr>
            <w:tcW w:type="dxa" w:w="2880"/>
            <w:vAlign w:val="center"/>
          </w:tcPr>
          <w:p>
            <w:pPr>
              <w:spacing w:after="20" w:before="20"/>
            </w:pPr>
            <w:r>
              <w:rPr>
                <w:rFonts w:ascii="Calibri" w:hAnsi="Calibri"/>
                <w:b w:val="0"/>
                <w:i w:val="0"/>
                <w:color w:val="444444"/>
                <w:sz w:val="20"/>
              </w:rPr>
              <w:t>Lessons 1–3 · all tabletops</w:t>
            </w:r>
          </w:p>
        </w:tc>
      </w:tr>
      <w:tr>
        <w:tc>
          <w:tcPr>
            <w:tcW w:type="dxa" w:w="1584"/>
            <w:vAlign w:val="center"/>
          </w:tcPr>
          <w:p>
            <w:pPr>
              <w:spacing w:after="20" w:before="20"/>
            </w:pPr>
            <w:r>
              <w:rPr>
                <w:rFonts w:ascii="Calibri" w:hAnsi="Calibri"/>
                <w:b w:val="0"/>
                <w:i w:val="0"/>
                <w:color w:val="444444"/>
                <w:sz w:val="20"/>
              </w:rPr>
              <w:t>CS.DCS.32</w:t>
            </w:r>
          </w:p>
        </w:tc>
        <w:tc>
          <w:tcPr>
            <w:tcW w:type="dxa" w:w="4752"/>
            <w:vAlign w:val="center"/>
          </w:tcPr>
          <w:p>
            <w:pPr>
              <w:spacing w:after="20" w:before="20"/>
            </w:pPr>
            <w:r>
              <w:rPr>
                <w:rFonts w:ascii="Calibri" w:hAnsi="Calibri"/>
                <w:b w:val="0"/>
                <w:i w:val="0"/>
                <w:color w:val="444444"/>
                <w:sz w:val="20"/>
              </w:rPr>
              <w:t>Use accurate, developmentally appropriate technology terminology</w:t>
            </w:r>
          </w:p>
        </w:tc>
        <w:tc>
          <w:tcPr>
            <w:tcW w:type="dxa" w:w="2880"/>
            <w:vAlign w:val="center"/>
          </w:tcPr>
          <w:p>
            <w:pPr>
              <w:spacing w:after="20" w:before="20"/>
            </w:pPr>
            <w:r>
              <w:rPr>
                <w:rFonts w:ascii="Calibri" w:hAnsi="Calibri"/>
                <w:b w:val="0"/>
                <w:i w:val="0"/>
                <w:color w:val="444444"/>
                <w:sz w:val="20"/>
              </w:rPr>
              <w:t>Lessons 1–3 (vocabulary)</w:t>
            </w:r>
          </w:p>
        </w:tc>
      </w:tr>
    </w:tbl>
    <w:p>
      <w:pPr>
        <w:spacing w:after="40"/>
      </w:pPr>
    </w:p>
    <w:p>
      <w:pPr>
        <w:pStyle w:val="Heading3"/>
      </w:pPr>
      <w:r>
        <w:t>WV High School ELA</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E3048"/>
            <w:vAlign w:val="center"/>
          </w:tcPr>
          <w:p>
            <w:pPr>
              <w:spacing w:after="20" w:before="20"/>
            </w:pPr>
            <w:r>
              <w:rPr>
                <w:rFonts w:ascii="Calibri" w:hAnsi="Calibri"/>
                <w:b/>
                <w:i w:val="0"/>
                <w:color w:val="FFFFFF"/>
                <w:sz w:val="21"/>
              </w:rPr>
              <w:t>Strand</w:t>
            </w:r>
          </w:p>
        </w:tc>
        <w:tc>
          <w:tcPr>
            <w:tcW w:type="dxa" w:w="6768"/>
            <w:shd w:val="clear" w:color="auto" w:fill="1E3048"/>
            <w:vAlign w:val="center"/>
          </w:tcPr>
          <w:p>
            <w:pPr>
              <w:spacing w:after="20" w:before="20"/>
            </w:pPr>
            <w:r>
              <w:rPr>
                <w:rFonts w:ascii="Calibri" w:hAnsi="Calibri"/>
                <w:b/>
                <w:i w:val="0"/>
                <w:color w:val="FFFFFF"/>
                <w:sz w:val="21"/>
              </w:rPr>
              <w:t>Application in this unit</w:t>
            </w:r>
          </w:p>
        </w:tc>
      </w:tr>
      <w:tr>
        <w:tc>
          <w:tcPr>
            <w:tcW w:type="dxa" w:w="2448"/>
            <w:vAlign w:val="center"/>
          </w:tcPr>
          <w:p>
            <w:pPr>
              <w:spacing w:after="20" w:before="20"/>
            </w:pPr>
            <w:r>
              <w:rPr>
                <w:rFonts w:ascii="Calibri" w:hAnsi="Calibri"/>
                <w:b w:val="0"/>
                <w:i w:val="0"/>
                <w:color w:val="444444"/>
                <w:sz w:val="20"/>
              </w:rPr>
              <w:t>Reading Informational Text</w:t>
            </w:r>
          </w:p>
        </w:tc>
        <w:tc>
          <w:tcPr>
            <w:tcW w:type="dxa" w:w="6768"/>
            <w:vAlign w:val="center"/>
          </w:tcPr>
          <w:p>
            <w:pPr>
              <w:spacing w:after="20" w:before="20"/>
            </w:pPr>
            <w:r>
              <w:rPr>
                <w:rFonts w:ascii="Calibri" w:hAnsi="Calibri"/>
                <w:b w:val="0"/>
                <w:i w:val="0"/>
                <w:color w:val="444444"/>
                <w:sz w:val="20"/>
              </w:rPr>
              <w:t>Analyzing claims, terms, and evidence in job offers, notices, and agreements.</w:t>
            </w:r>
          </w:p>
        </w:tc>
      </w:tr>
      <w:tr>
        <w:tc>
          <w:tcPr>
            <w:tcW w:type="dxa" w:w="2448"/>
            <w:vAlign w:val="center"/>
          </w:tcPr>
          <w:p>
            <w:pPr>
              <w:spacing w:after="20" w:before="20"/>
            </w:pPr>
            <w:r>
              <w:rPr>
                <w:rFonts w:ascii="Calibri" w:hAnsi="Calibri"/>
                <w:b w:val="0"/>
                <w:i w:val="0"/>
                <w:color w:val="444444"/>
                <w:sz w:val="20"/>
              </w:rPr>
              <w:t>Speaking &amp; Listening</w:t>
            </w:r>
          </w:p>
        </w:tc>
        <w:tc>
          <w:tcPr>
            <w:tcW w:type="dxa" w:w="6768"/>
            <w:vAlign w:val="center"/>
          </w:tcPr>
          <w:p>
            <w:pPr>
              <w:spacing w:after="20" w:before="20"/>
            </w:pPr>
            <w:r>
              <w:rPr>
                <w:rFonts w:ascii="Calibri" w:hAnsi="Calibri"/>
                <w:b w:val="0"/>
                <w:i w:val="0"/>
                <w:color w:val="444444"/>
                <w:sz w:val="20"/>
              </w:rPr>
              <w:t>Collaborative discussion, weighing options, presenting plans and reasoning.</w:t>
            </w:r>
          </w:p>
        </w:tc>
      </w:tr>
      <w:tr>
        <w:tc>
          <w:tcPr>
            <w:tcW w:type="dxa" w:w="2448"/>
            <w:vAlign w:val="center"/>
          </w:tcPr>
          <w:p>
            <w:pPr>
              <w:spacing w:after="20" w:before="20"/>
            </w:pPr>
            <w:r>
              <w:rPr>
                <w:rFonts w:ascii="Calibri" w:hAnsi="Calibri"/>
                <w:b w:val="0"/>
                <w:i w:val="0"/>
                <w:color w:val="444444"/>
                <w:sz w:val="20"/>
              </w:rPr>
              <w:t>Writing</w:t>
            </w:r>
          </w:p>
        </w:tc>
        <w:tc>
          <w:tcPr>
            <w:tcW w:type="dxa" w:w="6768"/>
            <w:vAlign w:val="center"/>
          </w:tcPr>
          <w:p>
            <w:pPr>
              <w:spacing w:after="20" w:before="20"/>
            </w:pPr>
            <w:r>
              <w:rPr>
                <w:rFonts w:ascii="Calibri" w:hAnsi="Calibri"/>
                <w:b w:val="0"/>
                <w:i w:val="0"/>
                <w:color w:val="444444"/>
                <w:sz w:val="20"/>
              </w:rPr>
              <w:t>Argument &amp; explanatory writing: presence audits, security plans, incident-response plans, reflections.</w:t>
            </w:r>
          </w:p>
        </w:tc>
      </w:tr>
    </w:tbl>
    <w:p>
      <w:pPr>
        <w:spacing w:after="40"/>
      </w:pPr>
    </w:p>
    <w:p>
      <w:pPr>
        <w:pStyle w:val="Heading1"/>
      </w:pPr>
      <w:r>
        <w:t>Suggested Scope &amp; Sequence</w:t>
      </w:r>
    </w:p>
    <w:p>
      <w:pPr>
        <w:spacing w:after="80" w:before="0"/>
      </w:pPr>
      <w:r>
        <w:rPr>
          <w:rFonts w:ascii="Calibri" w:hAnsi="Calibri"/>
          <w:b w:val="0"/>
          <w:i w:val="0"/>
          <w:color w:val="444444"/>
          <w:sz w:val="22"/>
        </w:rPr>
        <w:t>A recommended path is below. Tabletops are modular and also work as advisory sessions or review stations.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color="auto" w:fill="1E3048"/>
            <w:vAlign w:val="center"/>
          </w:tcPr>
          <w:p>
            <w:pPr>
              <w:spacing w:after="20" w:before="20"/>
            </w:pPr>
            <w:r>
              <w:rPr>
                <w:rFonts w:ascii="Calibri" w:hAnsi="Calibri"/>
                <w:b/>
                <w:i w:val="0"/>
                <w:color w:val="FFFFFF"/>
                <w:sz w:val="21"/>
              </w:rPr>
              <w:t>Day</w:t>
            </w:r>
          </w:p>
        </w:tc>
        <w:tc>
          <w:tcPr>
            <w:tcW w:type="dxa" w:w="2160"/>
            <w:shd w:val="clear" w:color="auto" w:fill="1E3048"/>
            <w:vAlign w:val="center"/>
          </w:tcPr>
          <w:p>
            <w:pPr>
              <w:spacing w:after="20" w:before="20"/>
            </w:pPr>
            <w:r>
              <w:rPr>
                <w:rFonts w:ascii="Calibri" w:hAnsi="Calibri"/>
                <w:b/>
                <w:i w:val="0"/>
                <w:color w:val="FFFFFF"/>
                <w:sz w:val="21"/>
              </w:rPr>
              <w:t>Component</w:t>
            </w:r>
          </w:p>
        </w:tc>
        <w:tc>
          <w:tcPr>
            <w:tcW w:type="dxa" w:w="4464"/>
            <w:shd w:val="clear" w:color="auto" w:fill="1E3048"/>
            <w:vAlign w:val="center"/>
          </w:tcPr>
          <w:p>
            <w:pPr>
              <w:spacing w:after="20" w:before="20"/>
            </w:pPr>
            <w:r>
              <w:rPr>
                <w:rFonts w:ascii="Calibri" w:hAnsi="Calibri"/>
                <w:b/>
                <w:i w:val="0"/>
                <w:color w:val="FFFFFF"/>
                <w:sz w:val="21"/>
              </w:rPr>
              <w:t>Focus</w:t>
            </w:r>
          </w:p>
        </w:tc>
        <w:tc>
          <w:tcPr>
            <w:tcW w:type="dxa" w:w="1440"/>
            <w:shd w:val="clear" w:color="auto" w:fill="1E3048"/>
            <w:vAlign w:val="center"/>
          </w:tcPr>
          <w:p>
            <w:pPr>
              <w:spacing w:after="20" w:before="20"/>
            </w:pPr>
            <w:r>
              <w:rPr>
                <w:rFonts w:ascii="Calibri" w:hAnsi="Calibri"/>
                <w:b/>
                <w:i w:val="0"/>
                <w:color w:val="FFFFFF"/>
                <w:sz w:val="21"/>
              </w:rPr>
              <w:t>Approx. time</w:t>
            </w:r>
          </w:p>
        </w:tc>
      </w:tr>
      <w:tr>
        <w:tc>
          <w:tcPr>
            <w:tcW w:type="dxa" w:w="1152"/>
            <w:vAlign w:val="center"/>
          </w:tcPr>
          <w:p>
            <w:pPr>
              <w:spacing w:after="20" w:before="20"/>
            </w:pPr>
            <w:r>
              <w:rPr>
                <w:rFonts w:ascii="Calibri" w:hAnsi="Calibri"/>
                <w:b w:val="0"/>
                <w:i w:val="0"/>
                <w:color w:val="444444"/>
                <w:sz w:val="20"/>
              </w:rPr>
              <w:t>Day 1</w:t>
            </w:r>
          </w:p>
        </w:tc>
        <w:tc>
          <w:tcPr>
            <w:tcW w:type="dxa" w:w="2160"/>
            <w:vAlign w:val="center"/>
          </w:tcPr>
          <w:p>
            <w:pPr>
              <w:spacing w:after="20" w:before="20"/>
            </w:pPr>
            <w:r>
              <w:rPr>
                <w:rFonts w:ascii="Calibri" w:hAnsi="Calibri"/>
                <w:b w:val="0"/>
                <w:i w:val="0"/>
                <w:color w:val="444444"/>
                <w:sz w:val="20"/>
              </w:rPr>
              <w:t>Lesson 1</w:t>
            </w:r>
          </w:p>
        </w:tc>
        <w:tc>
          <w:tcPr>
            <w:tcW w:type="dxa" w:w="4464"/>
            <w:vAlign w:val="center"/>
          </w:tcPr>
          <w:p>
            <w:pPr>
              <w:spacing w:after="20" w:before="20"/>
            </w:pPr>
            <w:r>
              <w:rPr>
                <w:rFonts w:ascii="Calibri" w:hAnsi="Calibri"/>
                <w:b w:val="0"/>
                <w:i w:val="0"/>
                <w:color w:val="444444"/>
                <w:sz w:val="20"/>
              </w:rPr>
              <w:t>Your professional digital identity</w:t>
            </w:r>
          </w:p>
        </w:tc>
        <w:tc>
          <w:tcPr>
            <w:tcW w:type="dxa" w:w="1440"/>
            <w:vAlign w:val="center"/>
          </w:tcPr>
          <w:p>
            <w:pPr>
              <w:spacing w:after="20" w:before="20"/>
            </w:pPr>
            <w:r>
              <w:rPr>
                <w:rFonts w:ascii="Calibri" w:hAnsi="Calibri"/>
                <w:b w:val="0"/>
                <w:i w:val="0"/>
                <w:color w:val="444444"/>
                <w:sz w:val="20"/>
              </w:rPr>
              <w:t>45–50 min</w:t>
            </w:r>
          </w:p>
        </w:tc>
      </w:tr>
      <w:tr>
        <w:tc>
          <w:tcPr>
            <w:tcW w:type="dxa" w:w="1152"/>
            <w:vAlign w:val="center"/>
          </w:tcPr>
          <w:p>
            <w:pPr>
              <w:spacing w:after="20" w:before="20"/>
            </w:pPr>
            <w:r>
              <w:rPr>
                <w:rFonts w:ascii="Calibri" w:hAnsi="Calibri"/>
                <w:b w:val="0"/>
                <w:i w:val="0"/>
                <w:color w:val="444444"/>
                <w:sz w:val="20"/>
              </w:rPr>
              <w:t>Day 2</w:t>
            </w:r>
          </w:p>
        </w:tc>
        <w:tc>
          <w:tcPr>
            <w:tcW w:type="dxa" w:w="2160"/>
            <w:vAlign w:val="center"/>
          </w:tcPr>
          <w:p>
            <w:pPr>
              <w:spacing w:after="20" w:before="20"/>
            </w:pPr>
            <w:r>
              <w:rPr>
                <w:rFonts w:ascii="Calibri" w:hAnsi="Calibri"/>
                <w:b w:val="0"/>
                <w:i w:val="0"/>
                <w:color w:val="444444"/>
                <w:sz w:val="20"/>
              </w:rPr>
              <w:t>Tabletops 1 &amp; 2</w:t>
            </w:r>
          </w:p>
        </w:tc>
        <w:tc>
          <w:tcPr>
            <w:tcW w:type="dxa" w:w="4464"/>
            <w:vAlign w:val="center"/>
          </w:tcPr>
          <w:p>
            <w:pPr>
              <w:spacing w:after="20" w:before="20"/>
            </w:pPr>
            <w:r>
              <w:rPr>
                <w:rFonts w:ascii="Calibri" w:hAnsi="Calibri"/>
                <w:b w:val="0"/>
                <w:i w:val="0"/>
                <w:color w:val="444444"/>
                <w:sz w:val="20"/>
              </w:rPr>
              <w:t>Background check + the too-good job offer</w:t>
            </w:r>
          </w:p>
        </w:tc>
        <w:tc>
          <w:tcPr>
            <w:tcW w:type="dxa" w:w="1440"/>
            <w:vAlign w:val="center"/>
          </w:tcPr>
          <w:p>
            <w:pPr>
              <w:spacing w:after="20" w:before="20"/>
            </w:pPr>
            <w:r>
              <w:rPr>
                <w:rFonts w:ascii="Calibri" w:hAnsi="Calibri"/>
                <w:b w:val="0"/>
                <w:i w:val="0"/>
                <w:color w:val="444444"/>
                <w:sz w:val="20"/>
              </w:rPr>
              <w:t>40–50 min</w:t>
            </w:r>
          </w:p>
        </w:tc>
      </w:tr>
      <w:tr>
        <w:tc>
          <w:tcPr>
            <w:tcW w:type="dxa" w:w="1152"/>
            <w:vAlign w:val="center"/>
          </w:tcPr>
          <w:p>
            <w:pPr>
              <w:spacing w:after="20" w:before="20"/>
            </w:pPr>
            <w:r>
              <w:rPr>
                <w:rFonts w:ascii="Calibri" w:hAnsi="Calibri"/>
                <w:b w:val="0"/>
                <w:i w:val="0"/>
                <w:color w:val="444444"/>
                <w:sz w:val="20"/>
              </w:rPr>
              <w:t>Day 3</w:t>
            </w:r>
          </w:p>
        </w:tc>
        <w:tc>
          <w:tcPr>
            <w:tcW w:type="dxa" w:w="2160"/>
            <w:vAlign w:val="center"/>
          </w:tcPr>
          <w:p>
            <w:pPr>
              <w:spacing w:after="20" w:before="20"/>
            </w:pPr>
            <w:r>
              <w:rPr>
                <w:rFonts w:ascii="Calibri" w:hAnsi="Calibri"/>
                <w:b w:val="0"/>
                <w:i w:val="0"/>
                <w:color w:val="444444"/>
                <w:sz w:val="20"/>
              </w:rPr>
              <w:t>Lesson 2</w:t>
            </w:r>
          </w:p>
        </w:tc>
        <w:tc>
          <w:tcPr>
            <w:tcW w:type="dxa" w:w="4464"/>
            <w:vAlign w:val="center"/>
          </w:tcPr>
          <w:p>
            <w:pPr>
              <w:spacing w:after="20" w:before="20"/>
            </w:pPr>
            <w:r>
              <w:rPr>
                <w:rFonts w:ascii="Calibri" w:hAnsi="Calibri"/>
                <w:b w:val="0"/>
                <w:i w:val="0"/>
                <w:color w:val="444444"/>
                <w:sz w:val="20"/>
              </w:rPr>
              <w:t>Financial safety &amp; identity protection</w:t>
            </w:r>
          </w:p>
        </w:tc>
        <w:tc>
          <w:tcPr>
            <w:tcW w:type="dxa" w:w="1440"/>
            <w:vAlign w:val="center"/>
          </w:tcPr>
          <w:p>
            <w:pPr>
              <w:spacing w:after="20" w:before="20"/>
            </w:pPr>
            <w:r>
              <w:rPr>
                <w:rFonts w:ascii="Calibri" w:hAnsi="Calibri"/>
                <w:b w:val="0"/>
                <w:i w:val="0"/>
                <w:color w:val="444444"/>
                <w:sz w:val="20"/>
              </w:rPr>
              <w:t>45–50 min</w:t>
            </w:r>
          </w:p>
        </w:tc>
      </w:tr>
      <w:tr>
        <w:tc>
          <w:tcPr>
            <w:tcW w:type="dxa" w:w="1152"/>
            <w:vAlign w:val="center"/>
          </w:tcPr>
          <w:p>
            <w:pPr>
              <w:spacing w:after="20" w:before="20"/>
            </w:pPr>
            <w:r>
              <w:rPr>
                <w:rFonts w:ascii="Calibri" w:hAnsi="Calibri"/>
                <w:b w:val="0"/>
                <w:i w:val="0"/>
                <w:color w:val="444444"/>
                <w:sz w:val="20"/>
              </w:rPr>
              <w:t>Day 4</w:t>
            </w:r>
          </w:p>
        </w:tc>
        <w:tc>
          <w:tcPr>
            <w:tcW w:type="dxa" w:w="2160"/>
            <w:vAlign w:val="center"/>
          </w:tcPr>
          <w:p>
            <w:pPr>
              <w:spacing w:after="20" w:before="20"/>
            </w:pPr>
            <w:r>
              <w:rPr>
                <w:rFonts w:ascii="Calibri" w:hAnsi="Calibri"/>
                <w:b w:val="0"/>
                <w:i w:val="0"/>
                <w:color w:val="444444"/>
                <w:sz w:val="20"/>
              </w:rPr>
              <w:t>Lesson 3</w:t>
            </w:r>
          </w:p>
        </w:tc>
        <w:tc>
          <w:tcPr>
            <w:tcW w:type="dxa" w:w="4464"/>
            <w:vAlign w:val="center"/>
          </w:tcPr>
          <w:p>
            <w:pPr>
              <w:spacing w:after="20" w:before="20"/>
            </w:pPr>
            <w:r>
              <w:rPr>
                <w:rFonts w:ascii="Calibri" w:hAnsi="Calibri"/>
                <w:b w:val="0"/>
                <w:i w:val="0"/>
                <w:color w:val="444444"/>
                <w:sz w:val="20"/>
              </w:rPr>
              <w:t>Digital law, rights &amp; cyber-ready thinking</w:t>
            </w:r>
          </w:p>
        </w:tc>
        <w:tc>
          <w:tcPr>
            <w:tcW w:type="dxa" w:w="1440"/>
            <w:vAlign w:val="center"/>
          </w:tcPr>
          <w:p>
            <w:pPr>
              <w:spacing w:after="20" w:before="20"/>
            </w:pPr>
            <w:r>
              <w:rPr>
                <w:rFonts w:ascii="Calibri" w:hAnsi="Calibri"/>
                <w:b w:val="0"/>
                <w:i w:val="0"/>
                <w:color w:val="444444"/>
                <w:sz w:val="20"/>
              </w:rPr>
              <w:t>45–50 min</w:t>
            </w:r>
          </w:p>
        </w:tc>
      </w:tr>
      <w:tr>
        <w:tc>
          <w:tcPr>
            <w:tcW w:type="dxa" w:w="1152"/>
            <w:vAlign w:val="center"/>
          </w:tcPr>
          <w:p>
            <w:pPr>
              <w:spacing w:after="20" w:before="20"/>
            </w:pPr>
            <w:r>
              <w:rPr>
                <w:rFonts w:ascii="Calibri" w:hAnsi="Calibri"/>
                <w:b w:val="0"/>
                <w:i w:val="0"/>
                <w:color w:val="444444"/>
                <w:sz w:val="20"/>
              </w:rPr>
              <w:t>Optional</w:t>
            </w:r>
          </w:p>
        </w:tc>
        <w:tc>
          <w:tcPr>
            <w:tcW w:type="dxa" w:w="2160"/>
            <w:vAlign w:val="center"/>
          </w:tcPr>
          <w:p>
            <w:pPr>
              <w:spacing w:after="20" w:before="20"/>
            </w:pPr>
            <w:r>
              <w:rPr>
                <w:rFonts w:ascii="Calibri" w:hAnsi="Calibri"/>
                <w:b w:val="0"/>
                <w:i w:val="0"/>
                <w:color w:val="444444"/>
                <w:sz w:val="20"/>
              </w:rPr>
              <w:t>Tabletops 3 &amp; 4</w:t>
            </w:r>
          </w:p>
        </w:tc>
        <w:tc>
          <w:tcPr>
            <w:tcW w:type="dxa" w:w="4464"/>
            <w:vAlign w:val="center"/>
          </w:tcPr>
          <w:p>
            <w:pPr>
              <w:spacing w:after="20" w:before="20"/>
            </w:pPr>
            <w:r>
              <w:rPr>
                <w:rFonts w:ascii="Calibri" w:hAnsi="Calibri"/>
                <w:b w:val="0"/>
                <w:i w:val="0"/>
                <w:color w:val="444444"/>
                <w:sz w:val="20"/>
              </w:rPr>
              <w:t>Data breach notice + rights &amp; responsibility case</w:t>
            </w:r>
          </w:p>
        </w:tc>
        <w:tc>
          <w:tcPr>
            <w:tcW w:type="dxa" w:w="1440"/>
            <w:vAlign w:val="center"/>
          </w:tcPr>
          <w:p>
            <w:pPr>
              <w:spacing w:after="20" w:before="20"/>
            </w:pPr>
            <w:r>
              <w:rPr>
                <w:rFonts w:ascii="Calibri" w:hAnsi="Calibri"/>
                <w:b w:val="0"/>
                <w:i w:val="0"/>
                <w:color w:val="444444"/>
                <w:sz w:val="20"/>
              </w:rPr>
              <w:t>40–50 min</w:t>
            </w:r>
          </w:p>
        </w:tc>
      </w:tr>
      <w:tr>
        <w:tc>
          <w:tcPr>
            <w:tcW w:type="dxa" w:w="1152"/>
            <w:vAlign w:val="center"/>
          </w:tcPr>
          <w:p>
            <w:pPr>
              <w:spacing w:after="20" w:before="20"/>
            </w:pPr>
            <w:r>
              <w:rPr>
                <w:rFonts w:ascii="Calibri" w:hAnsi="Calibri"/>
                <w:b w:val="0"/>
                <w:i w:val="0"/>
                <w:color w:val="444444"/>
                <w:sz w:val="20"/>
              </w:rPr>
              <w:t>Optional</w:t>
            </w:r>
          </w:p>
        </w:tc>
        <w:tc>
          <w:tcPr>
            <w:tcW w:type="dxa" w:w="2160"/>
            <w:vAlign w:val="center"/>
          </w:tcPr>
          <w:p>
            <w:pPr>
              <w:spacing w:after="20" w:before="20"/>
            </w:pPr>
            <w:r>
              <w:rPr>
                <w:rFonts w:ascii="Calibri" w:hAnsi="Calibri"/>
                <w:b w:val="0"/>
                <w:i w:val="0"/>
                <w:color w:val="444444"/>
                <w:sz w:val="20"/>
              </w:rPr>
              <w:t>Extension</w:t>
            </w:r>
          </w:p>
        </w:tc>
        <w:tc>
          <w:tcPr>
            <w:tcW w:type="dxa" w:w="4464"/>
            <w:vAlign w:val="center"/>
          </w:tcPr>
          <w:p>
            <w:pPr>
              <w:spacing w:after="20" w:before="20"/>
            </w:pPr>
            <w:r>
              <w:rPr>
                <w:rFonts w:ascii="Calibri" w:hAnsi="Calibri"/>
                <w:b w:val="0"/>
                <w:i w:val="0"/>
                <w:color w:val="444444"/>
                <w:sz w:val="20"/>
              </w:rPr>
              <w:t>Build a class “Protect Your Identity” guide or a cyber-careers board</w:t>
            </w:r>
          </w:p>
        </w:tc>
        <w:tc>
          <w:tcPr>
            <w:tcW w:type="dxa" w:w="1440"/>
            <w:vAlign w:val="center"/>
          </w:tcPr>
          <w:p>
            <w:pPr>
              <w:spacing w:after="20" w:before="20"/>
            </w:pPr>
            <w:r>
              <w:rPr>
                <w:rFonts w:ascii="Calibri" w:hAnsi="Calibri"/>
                <w:b w:val="0"/>
                <w:i w:val="0"/>
                <w:color w:val="444444"/>
                <w:sz w:val="20"/>
              </w:rPr>
              <w:t>30–45 min</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One-time prep for the whole unit</w:t>
            </w:r>
          </w:p>
          <w:p>
            <w:pPr>
              <w:spacing w:after="20"/>
            </w:pPr>
            <w:r>
              <w:rPr>
                <w:rFonts w:ascii="Calibri" w:hAnsi="Calibri"/>
                <w:b w:val="0"/>
                <w:i w:val="0"/>
                <w:color w:val="444444"/>
                <w:sz w:val="21"/>
              </w:rPr>
              <w:t>Print the resource appendix once; store card sets in labeled envelopes or bags by lesson (reusable across sections and advisory groups).</w:t>
            </w:r>
          </w:p>
          <w:p>
            <w:pPr>
              <w:spacing w:after="20"/>
            </w:pPr>
            <w:r>
              <w:rPr>
                <w:rFonts w:ascii="Calibri" w:hAnsi="Calibri"/>
                <w:b w:val="0"/>
                <w:i w:val="0"/>
                <w:color w:val="444444"/>
                <w:sz w:val="21"/>
              </w:rPr>
              <w:t>Post two anchor tools you will build with students: the Professional Presence Check (Lesson 1) and the Personal Incident-Response Plan (Lesson 3).</w:t>
            </w:r>
          </w:p>
          <w:p>
            <w:pPr>
              <w:spacing w:after="20"/>
            </w:pPr>
            <w:r>
              <w:rPr>
                <w:rFonts w:ascii="Calibri" w:hAnsi="Calibri"/>
                <w:b w:val="0"/>
                <w:i w:val="0"/>
                <w:color w:val="444444"/>
                <w:sz w:val="21"/>
              </w:rPr>
              <w:t>Fill in your school’s reporting pathway before Lesson 3 — counselor, administrator, technology/IT contact, and any reporting form. Confirm building guidance on reporting fraud and identity theft.</w:t>
            </w:r>
          </w:p>
          <w:p>
            <w:pPr>
              <w:spacing w:after="20"/>
            </w:pPr>
            <w:r>
              <w:rPr>
                <w:rFonts w:ascii="Calibri" w:hAnsi="Calibri"/>
                <w:b w:val="0"/>
                <w:i w:val="0"/>
                <w:color w:val="444444"/>
                <w:sz w:val="21"/>
              </w:rPr>
              <w:t>Use groups of 3–4 — the size that makes peer modeling and practice work.</w:t>
            </w:r>
          </w:p>
        </w:tc>
      </w:tr>
    </w:tbl>
    <w:p>
      <w:pPr>
        <w:spacing w:after="40"/>
      </w:pPr>
    </w:p>
    <w:p>
      <w:pPr>
        <w:pStyle w:val="Heading1"/>
      </w:pPr>
      <w:r>
        <w:t>Unit Vocabulary</w:t>
      </w:r>
    </w:p>
    <w:p>
      <w:pPr>
        <w:spacing w:after="80" w:before="0"/>
      </w:pPr>
      <w:r>
        <w:rPr>
          <w:rFonts w:ascii="Calibri" w:hAnsi="Calibri"/>
          <w:b w:val="0"/>
          <w:i w:val="0"/>
          <w:color w:val="444444"/>
          <w:sz w:val="22"/>
        </w:rPr>
        <w:t>Terms are introduced in context within each lesson. This master list supports a word wall or student glossary.</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E3048"/>
            <w:vAlign w:val="center"/>
          </w:tcPr>
          <w:p>
            <w:pPr>
              <w:spacing w:after="20" w:before="20"/>
            </w:pPr>
            <w:r>
              <w:rPr>
                <w:rFonts w:ascii="Calibri" w:hAnsi="Calibri"/>
                <w:b/>
                <w:i w:val="0"/>
                <w:color w:val="FFFFFF"/>
                <w:sz w:val="21"/>
              </w:rPr>
              <w:t>Term</w:t>
            </w:r>
          </w:p>
        </w:tc>
        <w:tc>
          <w:tcPr>
            <w:tcW w:type="dxa" w:w="6480"/>
            <w:shd w:val="clear" w:color="auto" w:fill="1E3048"/>
            <w:vAlign w:val="center"/>
          </w:tcPr>
          <w:p>
            <w:pPr>
              <w:spacing w:after="20" w:before="20"/>
            </w:pPr>
            <w:r>
              <w:rPr>
                <w:rFonts w:ascii="Calibri" w:hAnsi="Calibri"/>
                <w:b/>
                <w:i w:val="0"/>
                <w:color w:val="FFFFFF"/>
                <w:sz w:val="21"/>
              </w:rPr>
              <w:t>Student-friendly meaning</w:t>
            </w:r>
          </w:p>
        </w:tc>
      </w:tr>
      <w:tr>
        <w:tc>
          <w:tcPr>
            <w:tcW w:type="dxa" w:w="2736"/>
            <w:vAlign w:val="center"/>
          </w:tcPr>
          <w:p>
            <w:pPr>
              <w:spacing w:after="20" w:before="20"/>
            </w:pPr>
            <w:r>
              <w:rPr>
                <w:rFonts w:ascii="Calibri" w:hAnsi="Calibri"/>
                <w:b w:val="0"/>
                <w:i w:val="0"/>
                <w:color w:val="444444"/>
                <w:sz w:val="20"/>
              </w:rPr>
              <w:t>Professional digital identity</w:t>
            </w:r>
          </w:p>
        </w:tc>
        <w:tc>
          <w:tcPr>
            <w:tcW w:type="dxa" w:w="6480"/>
            <w:vAlign w:val="center"/>
          </w:tcPr>
          <w:p>
            <w:pPr>
              <w:spacing w:after="20" w:before="20"/>
            </w:pPr>
            <w:r>
              <w:rPr>
                <w:rFonts w:ascii="Calibri" w:hAnsi="Calibri"/>
                <w:b w:val="0"/>
                <w:i w:val="0"/>
                <w:color w:val="444444"/>
                <w:sz w:val="20"/>
              </w:rPr>
              <w:t>The public, career-facing version of you that colleges and employers can find.</w:t>
            </w:r>
          </w:p>
        </w:tc>
      </w:tr>
      <w:tr>
        <w:tc>
          <w:tcPr>
            <w:tcW w:type="dxa" w:w="2736"/>
            <w:vAlign w:val="center"/>
          </w:tcPr>
          <w:p>
            <w:pPr>
              <w:spacing w:after="20" w:before="20"/>
            </w:pPr>
            <w:r>
              <w:rPr>
                <w:rFonts w:ascii="Calibri" w:hAnsi="Calibri"/>
                <w:b w:val="0"/>
                <w:i w:val="0"/>
                <w:color w:val="444444"/>
                <w:sz w:val="20"/>
              </w:rPr>
              <w:t>Personal brand</w:t>
            </w:r>
          </w:p>
        </w:tc>
        <w:tc>
          <w:tcPr>
            <w:tcW w:type="dxa" w:w="6480"/>
            <w:vAlign w:val="center"/>
          </w:tcPr>
          <w:p>
            <w:pPr>
              <w:spacing w:after="20" w:before="20"/>
            </w:pPr>
            <w:r>
              <w:rPr>
                <w:rFonts w:ascii="Calibri" w:hAnsi="Calibri"/>
                <w:b w:val="0"/>
                <w:i w:val="0"/>
                <w:color w:val="444444"/>
                <w:sz w:val="20"/>
              </w:rPr>
              <w:t>The consistent impression your name, handles, and content give others.</w:t>
            </w:r>
          </w:p>
        </w:tc>
      </w:tr>
      <w:tr>
        <w:tc>
          <w:tcPr>
            <w:tcW w:type="dxa" w:w="2736"/>
            <w:vAlign w:val="center"/>
          </w:tcPr>
          <w:p>
            <w:pPr>
              <w:spacing w:after="20" w:before="20"/>
            </w:pPr>
            <w:r>
              <w:rPr>
                <w:rFonts w:ascii="Calibri" w:hAnsi="Calibri"/>
                <w:b w:val="0"/>
                <w:i w:val="0"/>
                <w:color w:val="444444"/>
                <w:sz w:val="20"/>
              </w:rPr>
              <w:t>Digital reference / background check</w:t>
            </w:r>
          </w:p>
        </w:tc>
        <w:tc>
          <w:tcPr>
            <w:tcW w:type="dxa" w:w="6480"/>
            <w:vAlign w:val="center"/>
          </w:tcPr>
          <w:p>
            <w:pPr>
              <w:spacing w:after="20" w:before="20"/>
            </w:pPr>
            <w:r>
              <w:rPr>
                <w:rFonts w:ascii="Calibri" w:hAnsi="Calibri"/>
                <w:b w:val="0"/>
                <w:i w:val="0"/>
                <w:color w:val="444444"/>
                <w:sz w:val="20"/>
              </w:rPr>
              <w:t>When a school or employer researches your online presence before deciding.</w:t>
            </w:r>
          </w:p>
        </w:tc>
      </w:tr>
      <w:tr>
        <w:tc>
          <w:tcPr>
            <w:tcW w:type="dxa" w:w="2736"/>
            <w:vAlign w:val="center"/>
          </w:tcPr>
          <w:p>
            <w:pPr>
              <w:spacing w:after="20" w:before="20"/>
            </w:pPr>
            <w:r>
              <w:rPr>
                <w:rFonts w:ascii="Calibri" w:hAnsi="Calibri"/>
                <w:b w:val="0"/>
                <w:i w:val="0"/>
                <w:color w:val="444444"/>
                <w:sz w:val="20"/>
              </w:rPr>
              <w:t>PII (personally identifiable information)</w:t>
            </w:r>
          </w:p>
        </w:tc>
        <w:tc>
          <w:tcPr>
            <w:tcW w:type="dxa" w:w="6480"/>
            <w:vAlign w:val="center"/>
          </w:tcPr>
          <w:p>
            <w:pPr>
              <w:spacing w:after="20" w:before="20"/>
            </w:pPr>
            <w:r>
              <w:rPr>
                <w:rFonts w:ascii="Calibri" w:hAnsi="Calibri"/>
                <w:b w:val="0"/>
                <w:i w:val="0"/>
                <w:color w:val="444444"/>
                <w:sz w:val="20"/>
              </w:rPr>
              <w:t>Data that identifies you — name, birthdate, SSN, address, account numbers.</w:t>
            </w:r>
          </w:p>
        </w:tc>
      </w:tr>
      <w:tr>
        <w:tc>
          <w:tcPr>
            <w:tcW w:type="dxa" w:w="2736"/>
            <w:vAlign w:val="center"/>
          </w:tcPr>
          <w:p>
            <w:pPr>
              <w:spacing w:after="20" w:before="20"/>
            </w:pPr>
            <w:r>
              <w:rPr>
                <w:rFonts w:ascii="Calibri" w:hAnsi="Calibri"/>
                <w:b w:val="0"/>
                <w:i w:val="0"/>
                <w:color w:val="444444"/>
                <w:sz w:val="20"/>
              </w:rPr>
              <w:t>Identity theft</w:t>
            </w:r>
          </w:p>
        </w:tc>
        <w:tc>
          <w:tcPr>
            <w:tcW w:type="dxa" w:w="6480"/>
            <w:vAlign w:val="center"/>
          </w:tcPr>
          <w:p>
            <w:pPr>
              <w:spacing w:after="20" w:before="20"/>
            </w:pPr>
            <w:r>
              <w:rPr>
                <w:rFonts w:ascii="Calibri" w:hAnsi="Calibri"/>
                <w:b w:val="0"/>
                <w:i w:val="0"/>
                <w:color w:val="444444"/>
                <w:sz w:val="20"/>
              </w:rPr>
              <w:t>Using your personal information to impersonate you or commit fraud.</w:t>
            </w:r>
          </w:p>
        </w:tc>
      </w:tr>
      <w:tr>
        <w:tc>
          <w:tcPr>
            <w:tcW w:type="dxa" w:w="2736"/>
            <w:vAlign w:val="center"/>
          </w:tcPr>
          <w:p>
            <w:pPr>
              <w:spacing w:after="20" w:before="20"/>
            </w:pPr>
            <w:r>
              <w:rPr>
                <w:rFonts w:ascii="Calibri" w:hAnsi="Calibri"/>
                <w:b w:val="0"/>
                <w:i w:val="0"/>
                <w:color w:val="444444"/>
                <w:sz w:val="20"/>
              </w:rPr>
              <w:t>Financial fraud</w:t>
            </w:r>
          </w:p>
        </w:tc>
        <w:tc>
          <w:tcPr>
            <w:tcW w:type="dxa" w:w="6480"/>
            <w:vAlign w:val="center"/>
          </w:tcPr>
          <w:p>
            <w:pPr>
              <w:spacing w:after="20" w:before="20"/>
            </w:pPr>
            <w:r>
              <w:rPr>
                <w:rFonts w:ascii="Calibri" w:hAnsi="Calibri"/>
                <w:b w:val="0"/>
                <w:i w:val="0"/>
                <w:color w:val="444444"/>
                <w:sz w:val="20"/>
              </w:rPr>
              <w:t>Scams designed to take your money or payment information.</w:t>
            </w:r>
          </w:p>
        </w:tc>
      </w:tr>
      <w:tr>
        <w:tc>
          <w:tcPr>
            <w:tcW w:type="dxa" w:w="2736"/>
            <w:vAlign w:val="center"/>
          </w:tcPr>
          <w:p>
            <w:pPr>
              <w:spacing w:after="20" w:before="20"/>
            </w:pPr>
            <w:r>
              <w:rPr>
                <w:rFonts w:ascii="Calibri" w:hAnsi="Calibri"/>
                <w:b w:val="0"/>
                <w:i w:val="0"/>
                <w:color w:val="444444"/>
                <w:sz w:val="20"/>
              </w:rPr>
              <w:t>Overpayment / advance-fee scam</w:t>
            </w:r>
          </w:p>
        </w:tc>
        <w:tc>
          <w:tcPr>
            <w:tcW w:type="dxa" w:w="6480"/>
            <w:vAlign w:val="center"/>
          </w:tcPr>
          <w:p>
            <w:pPr>
              <w:spacing w:after="20" w:before="20"/>
            </w:pPr>
            <w:r>
              <w:rPr>
                <w:rFonts w:ascii="Calibri" w:hAnsi="Calibri"/>
                <w:b w:val="0"/>
                <w:i w:val="0"/>
                <w:color w:val="444444"/>
                <w:sz w:val="20"/>
              </w:rPr>
              <w:t>A ‘too good’ offer that tricks you into paying or refunding first.</w:t>
            </w:r>
          </w:p>
        </w:tc>
      </w:tr>
      <w:tr>
        <w:tc>
          <w:tcPr>
            <w:tcW w:type="dxa" w:w="2736"/>
            <w:vAlign w:val="center"/>
          </w:tcPr>
          <w:p>
            <w:pPr>
              <w:spacing w:after="20" w:before="20"/>
            </w:pPr>
            <w:r>
              <w:rPr>
                <w:rFonts w:ascii="Calibri" w:hAnsi="Calibri"/>
                <w:b w:val="0"/>
                <w:i w:val="0"/>
                <w:color w:val="444444"/>
                <w:sz w:val="20"/>
              </w:rPr>
              <w:t>Secure transaction</w:t>
            </w:r>
          </w:p>
        </w:tc>
        <w:tc>
          <w:tcPr>
            <w:tcW w:type="dxa" w:w="6480"/>
            <w:vAlign w:val="center"/>
          </w:tcPr>
          <w:p>
            <w:pPr>
              <w:spacing w:after="20" w:before="20"/>
            </w:pPr>
            <w:r>
              <w:rPr>
                <w:rFonts w:ascii="Calibri" w:hAnsi="Calibri"/>
                <w:b w:val="0"/>
                <w:i w:val="0"/>
                <w:color w:val="444444"/>
                <w:sz w:val="20"/>
              </w:rPr>
              <w:t>Paying or sharing data only over encrypted, verified channels (HTTPS, official apps).</w:t>
            </w:r>
          </w:p>
        </w:tc>
      </w:tr>
      <w:tr>
        <w:tc>
          <w:tcPr>
            <w:tcW w:type="dxa" w:w="2736"/>
            <w:vAlign w:val="center"/>
          </w:tcPr>
          <w:p>
            <w:pPr>
              <w:spacing w:after="20" w:before="20"/>
            </w:pPr>
            <w:r>
              <w:rPr>
                <w:rFonts w:ascii="Calibri" w:hAnsi="Calibri"/>
                <w:b w:val="0"/>
                <w:i w:val="0"/>
                <w:color w:val="444444"/>
                <w:sz w:val="20"/>
              </w:rPr>
              <w:t>Encryption</w:t>
            </w:r>
          </w:p>
        </w:tc>
        <w:tc>
          <w:tcPr>
            <w:tcW w:type="dxa" w:w="6480"/>
            <w:vAlign w:val="center"/>
          </w:tcPr>
          <w:p>
            <w:pPr>
              <w:spacing w:after="20" w:before="20"/>
            </w:pPr>
            <w:r>
              <w:rPr>
                <w:rFonts w:ascii="Calibri" w:hAnsi="Calibri"/>
                <w:b w:val="0"/>
                <w:i w:val="0"/>
                <w:color w:val="444444"/>
                <w:sz w:val="20"/>
              </w:rPr>
              <w:t>Scrambling data so only the right person can read it.</w:t>
            </w:r>
          </w:p>
        </w:tc>
      </w:tr>
      <w:tr>
        <w:tc>
          <w:tcPr>
            <w:tcW w:type="dxa" w:w="2736"/>
            <w:vAlign w:val="center"/>
          </w:tcPr>
          <w:p>
            <w:pPr>
              <w:spacing w:after="20" w:before="20"/>
            </w:pPr>
            <w:r>
              <w:rPr>
                <w:rFonts w:ascii="Calibri" w:hAnsi="Calibri"/>
                <w:b w:val="0"/>
                <w:i w:val="0"/>
                <w:color w:val="444444"/>
                <w:sz w:val="20"/>
              </w:rPr>
              <w:t>Data breach</w:t>
            </w:r>
          </w:p>
        </w:tc>
        <w:tc>
          <w:tcPr>
            <w:tcW w:type="dxa" w:w="6480"/>
            <w:vAlign w:val="center"/>
          </w:tcPr>
          <w:p>
            <w:pPr>
              <w:spacing w:after="20" w:before="20"/>
            </w:pPr>
            <w:r>
              <w:rPr>
                <w:rFonts w:ascii="Calibri" w:hAnsi="Calibri"/>
                <w:b w:val="0"/>
                <w:i w:val="0"/>
                <w:color w:val="444444"/>
                <w:sz w:val="20"/>
              </w:rPr>
              <w:t>When a company’s stored data — maybe including yours — is exposed or stolen.</w:t>
            </w:r>
          </w:p>
        </w:tc>
      </w:tr>
      <w:tr>
        <w:tc>
          <w:tcPr>
            <w:tcW w:type="dxa" w:w="2736"/>
            <w:vAlign w:val="center"/>
          </w:tcPr>
          <w:p>
            <w:pPr>
              <w:spacing w:after="20" w:before="20"/>
            </w:pPr>
            <w:r>
              <w:rPr>
                <w:rFonts w:ascii="Calibri" w:hAnsi="Calibri"/>
                <w:b w:val="0"/>
                <w:i w:val="0"/>
                <w:color w:val="444444"/>
                <w:sz w:val="20"/>
              </w:rPr>
              <w:t>Credit freeze</w:t>
            </w:r>
          </w:p>
        </w:tc>
        <w:tc>
          <w:tcPr>
            <w:tcW w:type="dxa" w:w="6480"/>
            <w:vAlign w:val="center"/>
          </w:tcPr>
          <w:p>
            <w:pPr>
              <w:spacing w:after="20" w:before="20"/>
            </w:pPr>
            <w:r>
              <w:rPr>
                <w:rFonts w:ascii="Calibri" w:hAnsi="Calibri"/>
                <w:b w:val="0"/>
                <w:i w:val="0"/>
                <w:color w:val="444444"/>
                <w:sz w:val="20"/>
              </w:rPr>
              <w:t>Locking your credit so no one can open accounts in your name.</w:t>
            </w:r>
          </w:p>
        </w:tc>
      </w:tr>
      <w:tr>
        <w:tc>
          <w:tcPr>
            <w:tcW w:type="dxa" w:w="2736"/>
            <w:vAlign w:val="center"/>
          </w:tcPr>
          <w:p>
            <w:pPr>
              <w:spacing w:after="20" w:before="20"/>
            </w:pPr>
            <w:r>
              <w:rPr>
                <w:rFonts w:ascii="Calibri" w:hAnsi="Calibri"/>
                <w:b w:val="0"/>
                <w:i w:val="0"/>
                <w:color w:val="444444"/>
                <w:sz w:val="20"/>
              </w:rPr>
              <w:t>Multi-factor authentication (MFA)</w:t>
            </w:r>
          </w:p>
        </w:tc>
        <w:tc>
          <w:tcPr>
            <w:tcW w:type="dxa" w:w="6480"/>
            <w:vAlign w:val="center"/>
          </w:tcPr>
          <w:p>
            <w:pPr>
              <w:spacing w:after="20" w:before="20"/>
            </w:pPr>
            <w:r>
              <w:rPr>
                <w:rFonts w:ascii="Calibri" w:hAnsi="Calibri"/>
                <w:b w:val="0"/>
                <w:i w:val="0"/>
                <w:color w:val="444444"/>
                <w:sz w:val="20"/>
              </w:rPr>
              <w:t>A second step that blocks most account takeovers even if a password leaks.</w:t>
            </w:r>
          </w:p>
        </w:tc>
      </w:tr>
      <w:tr>
        <w:tc>
          <w:tcPr>
            <w:tcW w:type="dxa" w:w="2736"/>
            <w:vAlign w:val="center"/>
          </w:tcPr>
          <w:p>
            <w:pPr>
              <w:spacing w:after="20" w:before="20"/>
            </w:pPr>
            <w:r>
              <w:rPr>
                <w:rFonts w:ascii="Calibri" w:hAnsi="Calibri"/>
                <w:b w:val="0"/>
                <w:i w:val="0"/>
                <w:color w:val="444444"/>
                <w:sz w:val="20"/>
              </w:rPr>
              <w:t>Password manager</w:t>
            </w:r>
          </w:p>
        </w:tc>
        <w:tc>
          <w:tcPr>
            <w:tcW w:type="dxa" w:w="6480"/>
            <w:vAlign w:val="center"/>
          </w:tcPr>
          <w:p>
            <w:pPr>
              <w:spacing w:after="20" w:before="20"/>
            </w:pPr>
            <w:r>
              <w:rPr>
                <w:rFonts w:ascii="Calibri" w:hAnsi="Calibri"/>
                <w:b w:val="0"/>
                <w:i w:val="0"/>
                <w:color w:val="444444"/>
                <w:sz w:val="20"/>
              </w:rPr>
              <w:t>A tool that creates and stores strong, unique passwords for you.</w:t>
            </w:r>
          </w:p>
        </w:tc>
      </w:tr>
      <w:tr>
        <w:tc>
          <w:tcPr>
            <w:tcW w:type="dxa" w:w="2736"/>
            <w:vAlign w:val="center"/>
          </w:tcPr>
          <w:p>
            <w:pPr>
              <w:spacing w:after="20" w:before="20"/>
            </w:pPr>
            <w:r>
              <w:rPr>
                <w:rFonts w:ascii="Calibri" w:hAnsi="Calibri"/>
                <w:b w:val="0"/>
                <w:i w:val="0"/>
                <w:color w:val="444444"/>
                <w:sz w:val="20"/>
              </w:rPr>
              <w:t>Privacy rights / data privacy</w:t>
            </w:r>
          </w:p>
        </w:tc>
        <w:tc>
          <w:tcPr>
            <w:tcW w:type="dxa" w:w="6480"/>
            <w:vAlign w:val="center"/>
          </w:tcPr>
          <w:p>
            <w:pPr>
              <w:spacing w:after="20" w:before="20"/>
            </w:pPr>
            <w:r>
              <w:rPr>
                <w:rFonts w:ascii="Calibri" w:hAnsi="Calibri"/>
                <w:b w:val="0"/>
                <w:i w:val="0"/>
                <w:color w:val="444444"/>
                <w:sz w:val="20"/>
              </w:rPr>
              <w:t>Your legal protections over how your personal data is collected and used.</w:t>
            </w:r>
          </w:p>
        </w:tc>
      </w:tr>
      <w:tr>
        <w:tc>
          <w:tcPr>
            <w:tcW w:type="dxa" w:w="2736"/>
            <w:vAlign w:val="center"/>
          </w:tcPr>
          <w:p>
            <w:pPr>
              <w:spacing w:after="20" w:before="20"/>
            </w:pPr>
            <w:r>
              <w:rPr>
                <w:rFonts w:ascii="Calibri" w:hAnsi="Calibri"/>
                <w:b w:val="0"/>
                <w:i w:val="0"/>
                <w:color w:val="444444"/>
                <w:sz w:val="20"/>
              </w:rPr>
              <w:t>Terms of service / digital contract</w:t>
            </w:r>
          </w:p>
        </w:tc>
        <w:tc>
          <w:tcPr>
            <w:tcW w:type="dxa" w:w="6480"/>
            <w:vAlign w:val="center"/>
          </w:tcPr>
          <w:p>
            <w:pPr>
              <w:spacing w:after="20" w:before="20"/>
            </w:pPr>
            <w:r>
              <w:rPr>
                <w:rFonts w:ascii="Calibri" w:hAnsi="Calibri"/>
                <w:b w:val="0"/>
                <w:i w:val="0"/>
                <w:color w:val="444444"/>
                <w:sz w:val="20"/>
              </w:rPr>
              <w:t>The agreement — legally binding — for how a service and your data are used.</w:t>
            </w:r>
          </w:p>
        </w:tc>
      </w:tr>
      <w:tr>
        <w:tc>
          <w:tcPr>
            <w:tcW w:type="dxa" w:w="2736"/>
            <w:vAlign w:val="center"/>
          </w:tcPr>
          <w:p>
            <w:pPr>
              <w:spacing w:after="20" w:before="20"/>
            </w:pPr>
            <w:r>
              <w:rPr>
                <w:rFonts w:ascii="Calibri" w:hAnsi="Calibri"/>
                <w:b w:val="0"/>
                <w:i w:val="0"/>
                <w:color w:val="444444"/>
                <w:sz w:val="20"/>
              </w:rPr>
              <w:t>Incident response</w:t>
            </w:r>
          </w:p>
        </w:tc>
        <w:tc>
          <w:tcPr>
            <w:tcW w:type="dxa" w:w="6480"/>
            <w:vAlign w:val="center"/>
          </w:tcPr>
          <w:p>
            <w:pPr>
              <w:spacing w:after="20" w:before="20"/>
            </w:pPr>
            <w:r>
              <w:rPr>
                <w:rFonts w:ascii="Calibri" w:hAnsi="Calibri"/>
                <w:b w:val="0"/>
                <w:i w:val="0"/>
                <w:color w:val="444444"/>
                <w:sz w:val="20"/>
              </w:rPr>
              <w:t>A planned set of steps to take when an account or identity is compromised.</w:t>
            </w:r>
          </w:p>
        </w:tc>
      </w:tr>
      <w:tr>
        <w:tc>
          <w:tcPr>
            <w:tcW w:type="dxa" w:w="2736"/>
            <w:vAlign w:val="center"/>
          </w:tcPr>
          <w:p>
            <w:pPr>
              <w:spacing w:after="20" w:before="20"/>
            </w:pPr>
            <w:r>
              <w:rPr>
                <w:rFonts w:ascii="Calibri" w:hAnsi="Calibri"/>
                <w:b w:val="0"/>
                <w:i w:val="0"/>
                <w:color w:val="444444"/>
                <w:sz w:val="20"/>
              </w:rPr>
              <w:t>Threat model</w:t>
            </w:r>
          </w:p>
        </w:tc>
        <w:tc>
          <w:tcPr>
            <w:tcW w:type="dxa" w:w="6480"/>
            <w:vAlign w:val="center"/>
          </w:tcPr>
          <w:p>
            <w:pPr>
              <w:spacing w:after="20" w:before="20"/>
            </w:pPr>
            <w:r>
              <w:rPr>
                <w:rFonts w:ascii="Calibri" w:hAnsi="Calibri"/>
                <w:b w:val="0"/>
                <w:i w:val="0"/>
                <w:color w:val="444444"/>
                <w:sz w:val="20"/>
              </w:rPr>
              <w:t>Thinking through what could go wrong, who might target you, and how to protect it.</w:t>
            </w:r>
          </w:p>
        </w:tc>
      </w:tr>
      <w:tr>
        <w:tc>
          <w:tcPr>
            <w:tcW w:type="dxa" w:w="2736"/>
            <w:vAlign w:val="center"/>
          </w:tcPr>
          <w:p>
            <w:pPr>
              <w:spacing w:after="20" w:before="20"/>
            </w:pPr>
            <w:r>
              <w:rPr>
                <w:rFonts w:ascii="Calibri" w:hAnsi="Calibri"/>
                <w:b w:val="0"/>
                <w:i w:val="0"/>
                <w:color w:val="444444"/>
                <w:sz w:val="20"/>
              </w:rPr>
              <w:t>Security mindset (CIA)</w:t>
            </w:r>
          </w:p>
        </w:tc>
        <w:tc>
          <w:tcPr>
            <w:tcW w:type="dxa" w:w="6480"/>
            <w:vAlign w:val="center"/>
          </w:tcPr>
          <w:p>
            <w:pPr>
              <w:spacing w:after="20" w:before="20"/>
            </w:pPr>
            <w:r>
              <w:rPr>
                <w:rFonts w:ascii="Calibri" w:hAnsi="Calibri"/>
                <w:b w:val="0"/>
                <w:i w:val="0"/>
                <w:color w:val="444444"/>
                <w:sz w:val="20"/>
              </w:rPr>
              <w:t>Protecting Confidentiality, Integrity, and Availability of information.</w:t>
            </w:r>
          </w:p>
        </w:tc>
      </w:tr>
      <w:tr>
        <w:tc>
          <w:tcPr>
            <w:tcW w:type="dxa" w:w="2736"/>
            <w:vAlign w:val="center"/>
          </w:tcPr>
          <w:p>
            <w:pPr>
              <w:spacing w:after="20" w:before="20"/>
            </w:pPr>
            <w:r>
              <w:rPr>
                <w:rFonts w:ascii="Calibri" w:hAnsi="Calibri"/>
                <w:b w:val="0"/>
                <w:i w:val="0"/>
                <w:color w:val="444444"/>
                <w:sz w:val="20"/>
              </w:rPr>
              <w:t>Cybersecurity career pathways</w:t>
            </w:r>
          </w:p>
        </w:tc>
        <w:tc>
          <w:tcPr>
            <w:tcW w:type="dxa" w:w="6480"/>
            <w:vAlign w:val="center"/>
          </w:tcPr>
          <w:p>
            <w:pPr>
              <w:spacing w:after="20" w:before="20"/>
            </w:pPr>
            <w:r>
              <w:rPr>
                <w:rFonts w:ascii="Calibri" w:hAnsi="Calibri"/>
                <w:b w:val="0"/>
                <w:i w:val="0"/>
                <w:color w:val="444444"/>
                <w:sz w:val="20"/>
              </w:rPr>
              <w:t>Jobs that defend systems and data — analyst, engineer, incident responder, and more.</w:t>
            </w:r>
          </w:p>
        </w:tc>
      </w:tr>
    </w:tbl>
    <w:p>
      <w:pPr>
        <w:spacing w:after="40"/>
      </w:pPr>
    </w:p>
    <w:p>
      <w:pPr>
        <w:pStyle w:val="Heading1"/>
      </w:pPr>
      <w:r>
        <w:t>Lesson 1 — Your Professional Digital Identity</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Length</w:t>
            </w:r>
          </w:p>
        </w:tc>
        <w:tc>
          <w:tcPr>
            <w:tcW w:type="dxa" w:w="7200"/>
            <w:vAlign w:val="center"/>
          </w:tcPr>
          <w:p>
            <w:pPr>
              <w:spacing w:after="20" w:before="20"/>
            </w:pPr>
            <w:r>
              <w:rPr>
                <w:rFonts w:ascii="Calibri" w:hAnsi="Calibri"/>
                <w:b w:val="0"/>
                <w:i w:val="0"/>
                <w:color w:val="444444"/>
                <w:sz w:val="21"/>
              </w:rPr>
              <w:t>45–50 minutes</w:t>
            </w:r>
          </w:p>
        </w:tc>
      </w:tr>
      <w:tr>
        <w:tc>
          <w:tcPr>
            <w:tcW w:type="dxa" w:w="2016"/>
            <w:shd w:val="clear" w:color="auto" w:fill="EBF1F3"/>
            <w:vAlign w:val="center"/>
          </w:tcPr>
          <w:p>
            <w:pPr>
              <w:spacing w:after="20" w:before="20"/>
            </w:pPr>
            <w:r>
              <w:rPr>
                <w:rFonts w:ascii="Calibri" w:hAnsi="Calibri"/>
                <w:b/>
                <w:i w:val="0"/>
                <w:color w:val="1E3048"/>
                <w:sz w:val="21"/>
              </w:rPr>
              <w:t>Lesson focus</w:t>
            </w:r>
          </w:p>
        </w:tc>
        <w:tc>
          <w:tcPr>
            <w:tcW w:type="dxa" w:w="7200"/>
            <w:vAlign w:val="center"/>
          </w:tcPr>
          <w:p>
            <w:pPr>
              <w:spacing w:after="20" w:before="20"/>
            </w:pPr>
            <w:r>
              <w:rPr>
                <w:rFonts w:ascii="Calibri" w:hAnsi="Calibri"/>
                <w:b w:val="0"/>
                <w:i w:val="0"/>
                <w:color w:val="444444"/>
                <w:sz w:val="21"/>
              </w:rPr>
              <w:t>Students build a professional digital identity on purpose — email, handles, presence, and proof of skills — and separate a private personal life from a public, career-facing one.</w:t>
            </w:r>
          </w:p>
        </w:tc>
      </w:tr>
      <w:tr>
        <w:tc>
          <w:tcPr>
            <w:tcW w:type="dxa" w:w="2016"/>
            <w:shd w:val="clear" w:color="auto" w:fill="EBF1F3"/>
            <w:vAlign w:val="center"/>
          </w:tcPr>
          <w:p>
            <w:pPr>
              <w:spacing w:after="20" w:before="20"/>
            </w:pPr>
            <w:r>
              <w:rPr>
                <w:rFonts w:ascii="Calibri" w:hAnsi="Calibri"/>
                <w:b/>
                <w:i w:val="0"/>
                <w:color w:val="1E3048"/>
                <w:sz w:val="21"/>
              </w:rPr>
              <w:t>Essential question</w:t>
            </w:r>
          </w:p>
        </w:tc>
        <w:tc>
          <w:tcPr>
            <w:tcW w:type="dxa" w:w="7200"/>
            <w:vAlign w:val="center"/>
          </w:tcPr>
          <w:p>
            <w:pPr>
              <w:spacing w:after="20" w:before="20"/>
            </w:pPr>
            <w:r>
              <w:rPr>
                <w:rFonts w:ascii="Calibri" w:hAnsi="Calibri"/>
                <w:b w:val="0"/>
                <w:i w:val="0"/>
                <w:color w:val="444444"/>
                <w:sz w:val="21"/>
              </w:rPr>
              <w:t>How do I build and manage a digital identity that opens doors as I move toward college and career?</w:t>
            </w:r>
          </w:p>
        </w:tc>
      </w:tr>
      <w:tr>
        <w:tc>
          <w:tcPr>
            <w:tcW w:type="dxa" w:w="2016"/>
            <w:shd w:val="clear" w:color="auto" w:fill="EBF1F3"/>
            <w:vAlign w:val="center"/>
          </w:tcPr>
          <w:p>
            <w:pPr>
              <w:spacing w:after="20" w:before="20"/>
            </w:pPr>
            <w:r>
              <w:rPr>
                <w:rFonts w:ascii="Calibri" w:hAnsi="Calibri"/>
                <w:b/>
                <w:i w:val="0"/>
                <w:color w:val="1E3048"/>
                <w:sz w:val="21"/>
              </w:rPr>
              <w:t>SWAT topics</w:t>
            </w:r>
          </w:p>
        </w:tc>
        <w:tc>
          <w:tcPr>
            <w:tcW w:type="dxa" w:w="7200"/>
            <w:vAlign w:val="center"/>
          </w:tcPr>
          <w:p>
            <w:pPr>
              <w:spacing w:after="20" w:before="20"/>
            </w:pPr>
            <w:r>
              <w:rPr>
                <w:rFonts w:ascii="Calibri" w:hAnsi="Calibri"/>
                <w:b w:val="0"/>
                <w:i w:val="0"/>
                <w:color w:val="444444"/>
                <w:sz w:val="21"/>
              </w:rPr>
              <w:t>Digital identity &amp; reputation · privacy &amp; consent · responsible presence · communication with adults · supporting peers.</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CS.DCS.37, CS.DCS.39, CS.DCS.19, CS.DCS.32 · ELA Reading Informational Text, Speaking/Listening,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How this differs from Grade 9</w:t>
            </w:r>
          </w:p>
          <w:p>
            <w:pPr>
              <w:spacing w:after="20"/>
            </w:pPr>
            <w:r>
              <w:rPr>
                <w:rFonts w:ascii="Calibri" w:hAnsi="Calibri"/>
                <w:b w:val="0"/>
                <w:i w:val="0"/>
                <w:color w:val="444444"/>
                <w:sz w:val="21"/>
              </w:rPr>
              <w:t>Grade 9 cleaned up and locked down a footprint. Grade 11 builds a professional identity on purpose — a career-facing presence, a professional email and handles, and proof of skills — while keeping personal life private. The move is from defense to intentional self-presentation for real opportunities.</w:t>
            </w:r>
          </w:p>
        </w:tc>
      </w:tr>
    </w:tbl>
    <w:p>
      <w:pPr>
        <w:spacing w:after="40"/>
      </w:pPr>
    </w:p>
    <w:p>
      <w:pPr>
        <w:pStyle w:val="Heading3"/>
      </w:pPr>
      <w:r>
        <w:t>Learning targets (“I can…”)</w:t>
      </w:r>
    </w:p>
    <w:p>
      <w:pPr>
        <w:pStyle w:val="ListParagraph"/>
        <w:spacing w:after="40"/>
        <w:numPr>
          <w:ilvl w:val="0"/>
          <w:numId w:val="1"/>
        </w:numPr>
      </w:pPr>
      <w:r>
        <w:rPr>
          <w:rFonts w:ascii="Calibri" w:hAnsi="Calibri"/>
          <w:b w:val="0"/>
          <w:i w:val="0"/>
          <w:color w:val="444444"/>
          <w:sz w:val="22"/>
        </w:rPr>
        <w:t>I can build a professional presence — email, handles, and profiles — appropriate for college and career.</w:t>
      </w:r>
    </w:p>
    <w:p>
      <w:pPr>
        <w:pStyle w:val="ListParagraph"/>
        <w:spacing w:after="40"/>
        <w:numPr>
          <w:ilvl w:val="0"/>
          <w:numId w:val="1"/>
        </w:numPr>
      </w:pPr>
      <w:r>
        <w:rPr>
          <w:rFonts w:ascii="Calibri" w:hAnsi="Calibri"/>
          <w:b w:val="0"/>
          <w:i w:val="0"/>
          <w:color w:val="444444"/>
          <w:sz w:val="22"/>
        </w:rPr>
        <w:t>I can separate a private personal presence from a public professional one.</w:t>
      </w:r>
    </w:p>
    <w:p>
      <w:pPr>
        <w:pStyle w:val="ListParagraph"/>
        <w:spacing w:after="40"/>
        <w:numPr>
          <w:ilvl w:val="0"/>
          <w:numId w:val="1"/>
        </w:numPr>
      </w:pPr>
      <w:r>
        <w:rPr>
          <w:rFonts w:ascii="Calibri" w:hAnsi="Calibri"/>
          <w:b w:val="0"/>
          <w:i w:val="0"/>
          <w:color w:val="444444"/>
          <w:sz w:val="22"/>
        </w:rPr>
        <w:t>I can explain how background checks and digital references influence real decisions.</w:t>
      </w:r>
    </w:p>
    <w:p>
      <w:pPr>
        <w:pStyle w:val="ListParagraph"/>
        <w:spacing w:after="40"/>
        <w:numPr>
          <w:ilvl w:val="0"/>
          <w:numId w:val="1"/>
        </w:numPr>
      </w:pPr>
      <w:r>
        <w:rPr>
          <w:rFonts w:ascii="Calibri" w:hAnsi="Calibri"/>
          <w:b w:val="0"/>
          <w:i w:val="0"/>
          <w:color w:val="444444"/>
          <w:sz w:val="22"/>
        </w:rPr>
        <w:t>I can assemble proof of my skills (a portfolio, work samples, or profile).</w:t>
      </w:r>
    </w:p>
    <w:p>
      <w:pPr>
        <w:pStyle w:val="ListParagraph"/>
        <w:spacing w:after="40"/>
        <w:numPr>
          <w:ilvl w:val="0"/>
          <w:numId w:val="1"/>
        </w:numPr>
      </w:pPr>
      <w:r>
        <w:rPr>
          <w:rFonts w:ascii="Calibri" w:hAnsi="Calibri"/>
          <w:b w:val="0"/>
          <w:i w:val="0"/>
          <w:color w:val="444444"/>
          <w:sz w:val="22"/>
        </w:rPr>
        <w:t>I can help a peer prepare a professional presence.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BE7C6"/>
          </w:tcPr>
          <w:p>
            <w:pPr>
              <w:spacing w:after="40"/>
            </w:pPr>
            <w:r>
              <w:rPr>
                <w:rFonts w:ascii="Calibri" w:hAnsi="Calibri"/>
                <w:b/>
                <w:i w:val="0"/>
                <w:color w:val="1E3048"/>
                <w:sz w:val="21"/>
              </w:rPr>
              <w:t>PREP  ·  before class</w:t>
            </w:r>
          </w:p>
          <w:p>
            <w:pPr>
              <w:spacing w:after="20"/>
            </w:pPr>
            <w:r>
              <w:rPr>
                <w:rFonts w:ascii="Calibri" w:hAnsi="Calibri"/>
                <w:b w:val="0"/>
                <w:i w:val="0"/>
                <w:color w:val="444444"/>
                <w:sz w:val="21"/>
              </w:rPr>
              <w:t>Copy the Professional Presence Check + Presence Plan worksheet (Appendix A) — one per group of 3–4.</w:t>
            </w:r>
          </w:p>
          <w:p>
            <w:pPr>
              <w:spacing w:after="20"/>
            </w:pPr>
            <w:r>
              <w:rPr>
                <w:rFonts w:ascii="Calibri" w:hAnsi="Calibri"/>
                <w:b w:val="0"/>
                <w:i w:val="0"/>
                <w:color w:val="444444"/>
                <w:sz w:val="21"/>
              </w:rPr>
              <w:t>Copy the Complex Scenario cards (Appendix B) — one scenario per group.</w:t>
            </w:r>
          </w:p>
          <w:p>
            <w:pPr>
              <w:spacing w:after="20"/>
            </w:pPr>
            <w:r>
              <w:rPr>
                <w:rFonts w:ascii="Calibri" w:hAnsi="Calibri"/>
                <w:b w:val="0"/>
                <w:i w:val="0"/>
                <w:color w:val="444444"/>
                <w:sz w:val="21"/>
              </w:rPr>
              <w:t>Copy the Lesson 1 Exit Ticket (Appendix C).</w:t>
            </w:r>
          </w:p>
          <w:p>
            <w:pPr>
              <w:spacing w:after="20"/>
            </w:pPr>
            <w:r>
              <w:rPr>
                <w:rFonts w:ascii="Calibri" w:hAnsi="Calibri"/>
                <w:b w:val="0"/>
                <w:i w:val="0"/>
                <w:color w:val="444444"/>
                <w:sz w:val="21"/>
              </w:rPr>
              <w:t>Optional: display an example of a clean professional email address and a simple portfolio/profile layout.</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Keep examples fictional or students’ own general choices. Do not require students to publish anything or share private account details. The goal is intentional, safe self-presentation — not exposure.</w:t>
            </w:r>
          </w:p>
        </w:tc>
      </w:tr>
    </w:tbl>
    <w:p>
      <w:pPr>
        <w:spacing w:after="40"/>
      </w:pPr>
    </w:p>
    <w:p>
      <w:pPr>
        <w:pStyle w:val="Heading2"/>
      </w:pPr>
      <w:r>
        <w:t>Lesson Sequence</w:t>
      </w:r>
    </w:p>
    <w:p>
      <w:pPr>
        <w:pStyle w:val="Heading3"/>
      </w:pPr>
      <w:r>
        <w:t>1 · Opening Prompt  (5 min)</w:t>
      </w:r>
    </w:p>
    <w:p>
      <w:pPr>
        <w:spacing w:after="80" w:before="0"/>
      </w:pPr>
      <w:r>
        <w:rPr>
          <w:rFonts w:ascii="Calibri" w:hAnsi="Calibri"/>
          <w:b w:val="0"/>
          <w:i w:val="0"/>
          <w:color w:val="444444"/>
          <w:sz w:val="22"/>
        </w:rPr>
        <w:t>DO:  Give 60 seconds of silent writing before partners talk.</w:t>
      </w:r>
    </w:p>
    <w:p>
      <w:pPr>
        <w:spacing w:after="80" w:before="0"/>
      </w:pPr>
      <w:r>
        <w:rPr>
          <w:rFonts w:ascii="Calibri" w:hAnsi="Calibri"/>
          <w:b w:val="0"/>
          <w:i w:val="0"/>
          <w:color w:val="444444"/>
          <w:sz w:val="22"/>
        </w:rPr>
        <w:t>ASK:  “A college or employer searches your name and finds… what? Now — what would you want a professional to find?”</w:t>
      </w:r>
    </w:p>
    <w:p>
      <w:pPr>
        <w:spacing w:after="80" w:before="0"/>
      </w:pPr>
      <w:r>
        <w:rPr>
          <w:rFonts w:ascii="Calibri" w:hAnsi="Calibri"/>
          <w:b w:val="0"/>
          <w:i w:val="0"/>
          <w:color w:val="444444"/>
          <w:sz w:val="22"/>
        </w:rPr>
        <w:t>DO:  Students write, share with a partner, then share general ideas. Chart the gap between ‘what’s there’ and ‘what opens doors.’</w:t>
      </w:r>
    </w:p>
    <w:p>
      <w:pPr>
        <w:spacing w:after="80" w:before="0"/>
      </w:pPr>
      <w:r>
        <w:rPr>
          <w:rFonts w:ascii="Calibri" w:hAnsi="Calibri"/>
          <w:b w:val="0"/>
          <w:i w:val="0"/>
          <w:color w:val="444444"/>
          <w:sz w:val="22"/>
        </w:rPr>
        <w:t>SAY:  You already have a digital identity. Grade 11 is where you shape it into an asset — on purpose.</w:t>
      </w:r>
    </w:p>
    <w:p>
      <w:pPr>
        <w:pStyle w:val="Heading3"/>
      </w:pPr>
      <w:r>
        <w:t>2 · Mini-Lesson — The Professional Presence Check  (10 min)</w:t>
      </w:r>
    </w:p>
    <w:p>
      <w:pPr>
        <w:spacing w:after="80" w:before="0"/>
      </w:pPr>
      <w:r>
        <w:rPr>
          <w:rFonts w:ascii="Calibri" w:hAnsi="Calibri"/>
          <w:b w:val="0"/>
          <w:i w:val="0"/>
          <w:color w:val="444444"/>
          <w:sz w:val="22"/>
        </w:rPr>
        <w:t>SAY:  A strong professional presence passes five checks. Build for these on purpose.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 xml:space="preserve">1 · SEARCHABLE  </w:t>
            </w:r>
            <w:r>
              <w:rPr>
                <w:rFonts w:ascii="Calibri" w:hAnsi="Calibri"/>
                <w:b w:val="0"/>
                <w:i w:val="0"/>
                <w:color w:val="444444"/>
                <w:sz w:val="21"/>
              </w:rPr>
              <w:t>When someone searches your name, do the right things come up?</w:t>
            </w:r>
          </w:p>
          <w:p>
            <w:pPr>
              <w:spacing w:after="40"/>
            </w:pPr>
            <w:r>
              <w:rPr>
                <w:rFonts w:ascii="Calibri" w:hAnsi="Calibri"/>
                <w:b/>
                <w:i w:val="0"/>
                <w:color w:val="1E3048"/>
                <w:sz w:val="21"/>
              </w:rPr>
              <w:t xml:space="preserve">2 · PROFESSIONAL  </w:t>
            </w:r>
            <w:r>
              <w:rPr>
                <w:rFonts w:ascii="Calibri" w:hAnsi="Calibri"/>
                <w:b w:val="0"/>
                <w:i w:val="0"/>
                <w:color w:val="444444"/>
                <w:sz w:val="21"/>
              </w:rPr>
              <w:t>Is your email address, username, and tone appropriate for an employer?</w:t>
            </w:r>
          </w:p>
          <w:p>
            <w:pPr>
              <w:spacing w:after="40"/>
            </w:pPr>
            <w:r>
              <w:rPr>
                <w:rFonts w:ascii="Calibri" w:hAnsi="Calibri"/>
                <w:b/>
                <w:i w:val="0"/>
                <w:color w:val="1E3048"/>
                <w:sz w:val="21"/>
              </w:rPr>
              <w:t xml:space="preserve">3 · CONSISTENT  </w:t>
            </w:r>
            <w:r>
              <w:rPr>
                <w:rFonts w:ascii="Calibri" w:hAnsi="Calibri"/>
                <w:b w:val="0"/>
                <w:i w:val="0"/>
                <w:color w:val="444444"/>
                <w:sz w:val="21"/>
              </w:rPr>
              <w:t>Is your name and presence consistent and accurate across platforms?</w:t>
            </w:r>
          </w:p>
          <w:p>
            <w:pPr>
              <w:spacing w:after="40"/>
            </w:pPr>
            <w:r>
              <w:rPr>
                <w:rFonts w:ascii="Calibri" w:hAnsi="Calibri"/>
                <w:b/>
                <w:i w:val="0"/>
                <w:color w:val="1E3048"/>
                <w:sz w:val="21"/>
              </w:rPr>
              <w:t xml:space="preserve">4 · PRIVATE  </w:t>
            </w:r>
            <w:r>
              <w:rPr>
                <w:rFonts w:ascii="Calibri" w:hAnsi="Calibri"/>
                <w:b w:val="0"/>
                <w:i w:val="0"/>
                <w:color w:val="444444"/>
                <w:sz w:val="21"/>
              </w:rPr>
              <w:t>Is your personal life locked down and separated from the professional you?</w:t>
            </w:r>
          </w:p>
          <w:p>
            <w:pPr>
              <w:spacing w:after="40"/>
            </w:pPr>
            <w:r>
              <w:rPr>
                <w:rFonts w:ascii="Calibri" w:hAnsi="Calibri"/>
                <w:b/>
                <w:i w:val="0"/>
                <w:color w:val="1E3048"/>
                <w:sz w:val="21"/>
              </w:rPr>
              <w:t xml:space="preserve">5 · PROOF  </w:t>
            </w:r>
            <w:r>
              <w:rPr>
                <w:rFonts w:ascii="Calibri" w:hAnsi="Calibri"/>
                <w:b w:val="0"/>
                <w:i w:val="0"/>
                <w:color w:val="444444"/>
                <w:sz w:val="21"/>
              </w:rPr>
              <w:t>Is there evidence of your skills — a portfolio, work samples, or profile?</w:t>
            </w:r>
          </w:p>
        </w:tc>
      </w:tr>
    </w:tbl>
    <w:p>
      <w:pPr>
        <w:spacing w:after="40"/>
      </w:pPr>
    </w:p>
    <w:p>
      <w:pPr>
        <w:spacing w:after="80" w:before="0"/>
      </w:pPr>
      <w:r>
        <w:rPr>
          <w:rFonts w:ascii="Calibri" w:hAnsi="Calibri"/>
          <w:b w:val="0"/>
          <w:i w:val="0"/>
          <w:color w:val="444444"/>
          <w:sz w:val="22"/>
        </w:rPr>
        <w:t>DO:  Name the impact (CS.DCS.39): a professional presence isn’t bragging — it’s giving a decision-maker a reason to say yes. Point out the trade-off between an open, discoverable presence and a private, protected one — and how to get both.</w:t>
      </w:r>
    </w:p>
    <w:p>
      <w:pPr>
        <w:pStyle w:val="Heading3"/>
      </w:pPr>
      <w:r>
        <w:t>3 · Peer Scenario Analysis  (15 min)</w:t>
      </w:r>
    </w:p>
    <w:p>
      <w:pPr>
        <w:spacing w:after="80" w:before="0"/>
      </w:pPr>
      <w:r>
        <w:rPr>
          <w:rFonts w:ascii="Calibri" w:hAnsi="Calibri"/>
          <w:b w:val="0"/>
          <w:i w:val="0"/>
          <w:color w:val="444444"/>
          <w:sz w:val="22"/>
        </w:rPr>
        <w:t>DO:  Each group receives a Complex Scenario card (Appendix B) — an unprofessional email/handle, a mixed personal-and-professional feed, a thin presence with no proof of skills, or a name-collision problem. Groups run it through the Professional Presence Check and recommend fixes.</w:t>
      </w:r>
    </w:p>
    <w:p>
      <w:pPr>
        <w:spacing w:after="80" w:before="0"/>
      </w:pPr>
      <w:r>
        <w:rPr>
          <w:rFonts w:ascii="Calibri" w:hAnsi="Calibri"/>
          <w:b w:val="0"/>
          <w:i w:val="0"/>
          <w:color w:val="444444"/>
          <w:sz w:val="22"/>
        </w:rPr>
        <w:t>ASK:  “Which of the five checks does this fail? What one change would most improve how a decision-maker sees this person?”</w:t>
      </w:r>
    </w:p>
    <w:p>
      <w:pPr>
        <w:pStyle w:val="Heading3"/>
      </w:pPr>
      <w:r>
        <w:t>4 · Peer Modeling — Build a Presence Plan  (15 min)</w:t>
      </w:r>
    </w:p>
    <w:p>
      <w:pPr>
        <w:spacing w:after="80" w:before="0"/>
      </w:pPr>
      <w:r>
        <w:rPr>
          <w:rFonts w:ascii="Calibri" w:hAnsi="Calibri"/>
          <w:b w:val="0"/>
          <w:i w:val="0"/>
          <w:color w:val="444444"/>
          <w:sz w:val="22"/>
        </w:rPr>
        <w:t>DO:  Groups complete a Presence Plan (Appendix A): a professional email/handle, what to make public vs. private, one piece of proof to build, and who could serve as a reference. Two groups model theirs; classmates identify the strongest door-opening move.</w:t>
      </w:r>
    </w:p>
    <w:p>
      <w:pPr>
        <w:spacing w:after="80" w:before="0"/>
      </w:pPr>
      <w:r>
        <w:rPr>
          <w:rFonts w:ascii="Calibri" w:hAnsi="Calibri"/>
          <w:b w:val="0"/>
          <w:i w:val="0"/>
          <w:color w:val="444444"/>
          <w:sz w:val="22"/>
        </w:rPr>
        <w:t>MODEL  Teacher models the coaching response for helping a peer:</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“Let’s start with a clean email and handle, lock your personal stuff to friends-only, and put one project where people can see it. That’s a presence that opens doors.”</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DIFFERENTIATE</w:t>
            </w:r>
          </w:p>
          <w:p>
            <w:pPr>
              <w:spacing w:after="20"/>
            </w:pPr>
            <w:r>
              <w:rPr>
                <w:rFonts w:ascii="Calibri" w:hAnsi="Calibri"/>
                <w:b w:val="0"/>
                <w:i w:val="0"/>
                <w:color w:val="444444"/>
                <w:sz w:val="21"/>
              </w:rPr>
              <w:t>Support:  Give the five checks as a checklist; provide a template for a professional email and profile.</w:t>
            </w:r>
          </w:p>
          <w:p>
            <w:pPr>
              <w:spacing w:after="20"/>
            </w:pPr>
            <w:r>
              <w:rPr>
                <w:rFonts w:ascii="Calibri" w:hAnsi="Calibri"/>
                <w:b w:val="0"/>
                <w:i w:val="0"/>
                <w:color w:val="444444"/>
                <w:sz w:val="21"/>
              </w:rPr>
              <w:t>Extension:  Students draft a short professional bio and outline a simple portfolio.</w:t>
            </w:r>
          </w:p>
          <w:p>
            <w:pPr>
              <w:spacing w:after="20"/>
            </w:pPr>
            <w:r>
              <w:rPr>
                <w:rFonts w:ascii="Calibri" w:hAnsi="Calibri"/>
                <w:b w:val="0"/>
                <w:i w:val="0"/>
                <w:color w:val="444444"/>
                <w:sz w:val="21"/>
              </w:rPr>
              <w:t>Multilingual learners:  Provide the checks with icons; allow the plan to be drafted in home language first.</w:t>
            </w:r>
          </w:p>
        </w:tc>
      </w:tr>
    </w:tbl>
    <w:p>
      <w:pPr>
        <w:spacing w:after="40"/>
      </w:pPr>
    </w:p>
    <w:p>
      <w:pPr>
        <w:pStyle w:val="Heading3"/>
      </w:pPr>
      <w:r>
        <w:t>5 · Exit Ticket  (5 min)</w:t>
      </w:r>
    </w:p>
    <w:p>
      <w:pPr>
        <w:pStyle w:val="ListParagraph"/>
        <w:spacing w:after="40"/>
        <w:numPr>
          <w:ilvl w:val="0"/>
          <w:numId w:val="1"/>
        </w:numPr>
      </w:pPr>
      <w:r>
        <w:rPr>
          <w:rFonts w:ascii="Calibri" w:hAnsi="Calibri"/>
          <w:b w:val="0"/>
          <w:i w:val="0"/>
          <w:color w:val="444444"/>
          <w:sz w:val="22"/>
        </w:rPr>
        <w:t>One professional-presence upgrade I’ll make is…</w:t>
      </w:r>
    </w:p>
    <w:p>
      <w:pPr>
        <w:pStyle w:val="ListParagraph"/>
        <w:spacing w:after="40"/>
        <w:numPr>
          <w:ilvl w:val="0"/>
          <w:numId w:val="1"/>
        </w:numPr>
      </w:pPr>
      <w:r>
        <w:rPr>
          <w:rFonts w:ascii="Calibri" w:hAnsi="Calibri"/>
          <w:b w:val="0"/>
          <w:i w:val="0"/>
          <w:color w:val="444444"/>
          <w:sz w:val="22"/>
        </w:rPr>
        <w:t>One thing I’ll keep private and separate is…</w:t>
      </w:r>
    </w:p>
    <w:p>
      <w:pPr>
        <w:pStyle w:val="ListParagraph"/>
        <w:spacing w:after="40"/>
        <w:numPr>
          <w:ilvl w:val="0"/>
          <w:numId w:val="1"/>
        </w:numPr>
      </w:pPr>
      <w:r>
        <w:rPr>
          <w:rFonts w:ascii="Calibri" w:hAnsi="Calibri"/>
          <w:b w:val="0"/>
          <w:i w:val="0"/>
          <w:color w:val="444444"/>
          <w:sz w:val="22"/>
        </w:rPr>
        <w:t>One piece of proof of my skills I can build is…</w:t>
      </w:r>
    </w:p>
    <w:p>
      <w:pPr>
        <w:pStyle w:val="Heading3"/>
      </w:pPr>
      <w:r>
        <w:t>Assessment for this lesson</w:t>
      </w:r>
    </w:p>
    <w:p>
      <w:pPr>
        <w:pStyle w:val="ListParagraph"/>
        <w:spacing w:after="40"/>
        <w:numPr>
          <w:ilvl w:val="0"/>
          <w:numId w:val="1"/>
        </w:numPr>
      </w:pPr>
      <w:r>
        <w:rPr>
          <w:rFonts w:ascii="Calibri" w:hAnsi="Calibri"/>
          <w:b w:val="0"/>
          <w:i w:val="0"/>
          <w:color w:val="444444"/>
          <w:sz w:val="22"/>
        </w:rPr>
        <w:t>Application of the Professional Presence Check in scenario analysis (observation).</w:t>
      </w:r>
    </w:p>
    <w:p>
      <w:pPr>
        <w:pStyle w:val="ListParagraph"/>
        <w:spacing w:after="40"/>
        <w:numPr>
          <w:ilvl w:val="0"/>
          <w:numId w:val="1"/>
        </w:numPr>
      </w:pPr>
      <w:r>
        <w:rPr>
          <w:rFonts w:ascii="Calibri" w:hAnsi="Calibri"/>
          <w:b w:val="0"/>
          <w:i w:val="0"/>
          <w:color w:val="444444"/>
          <w:sz w:val="22"/>
        </w:rPr>
        <w:t>Quality and realism of the group Presence Plan.</w:t>
      </w:r>
    </w:p>
    <w:p>
      <w:pPr>
        <w:pStyle w:val="ListParagraph"/>
        <w:spacing w:after="40"/>
        <w:numPr>
          <w:ilvl w:val="0"/>
          <w:numId w:val="1"/>
        </w:numPr>
      </w:pPr>
      <w:r>
        <w:rPr>
          <w:rFonts w:ascii="Calibri" w:hAnsi="Calibri"/>
          <w:b w:val="0"/>
          <w:i w:val="0"/>
          <w:color w:val="444444"/>
          <w:sz w:val="22"/>
        </w:rPr>
        <w:t>Completed exit ticket.</w:t>
      </w:r>
    </w:p>
    <w:p>
      <w:pPr>
        <w:pStyle w:val="Heading1"/>
      </w:pPr>
      <w:r>
        <w:t>Lesson 2 — Financial Safety &amp; Identity Protection</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Length</w:t>
            </w:r>
          </w:p>
        </w:tc>
        <w:tc>
          <w:tcPr>
            <w:tcW w:type="dxa" w:w="7200"/>
            <w:vAlign w:val="center"/>
          </w:tcPr>
          <w:p>
            <w:pPr>
              <w:spacing w:after="20" w:before="20"/>
            </w:pPr>
            <w:r>
              <w:rPr>
                <w:rFonts w:ascii="Calibri" w:hAnsi="Calibri"/>
                <w:b w:val="0"/>
                <w:i w:val="0"/>
                <w:color w:val="444444"/>
                <w:sz w:val="21"/>
              </w:rPr>
              <w:t>45–50 minutes</w:t>
            </w:r>
          </w:p>
        </w:tc>
      </w:tr>
      <w:tr>
        <w:tc>
          <w:tcPr>
            <w:tcW w:type="dxa" w:w="2016"/>
            <w:shd w:val="clear" w:color="auto" w:fill="EBF1F3"/>
            <w:vAlign w:val="center"/>
          </w:tcPr>
          <w:p>
            <w:pPr>
              <w:spacing w:after="20" w:before="20"/>
            </w:pPr>
            <w:r>
              <w:rPr>
                <w:rFonts w:ascii="Calibri" w:hAnsi="Calibri"/>
                <w:b/>
                <w:i w:val="0"/>
                <w:color w:val="1E3048"/>
                <w:sz w:val="21"/>
              </w:rPr>
              <w:t>Lesson focus</w:t>
            </w:r>
          </w:p>
        </w:tc>
        <w:tc>
          <w:tcPr>
            <w:tcW w:type="dxa" w:w="7200"/>
            <w:vAlign w:val="center"/>
          </w:tcPr>
          <w:p>
            <w:pPr>
              <w:spacing w:after="20" w:before="20"/>
            </w:pPr>
            <w:r>
              <w:rPr>
                <w:rFonts w:ascii="Calibri" w:hAnsi="Calibri"/>
                <w:b w:val="0"/>
                <w:i w:val="0"/>
                <w:color w:val="444444"/>
                <w:sz w:val="21"/>
              </w:rPr>
              <w:t>Students recognize financial fraud and identity theft aimed at teens and young adults, apply secure-transaction habits, protect personal information, and know how to respond if hit.</w:t>
            </w:r>
          </w:p>
        </w:tc>
      </w:tr>
      <w:tr>
        <w:tc>
          <w:tcPr>
            <w:tcW w:type="dxa" w:w="2016"/>
            <w:shd w:val="clear" w:color="auto" w:fill="EBF1F3"/>
            <w:vAlign w:val="center"/>
          </w:tcPr>
          <w:p>
            <w:pPr>
              <w:spacing w:after="20" w:before="20"/>
            </w:pPr>
            <w:r>
              <w:rPr>
                <w:rFonts w:ascii="Calibri" w:hAnsi="Calibri"/>
                <w:b/>
                <w:i w:val="0"/>
                <w:color w:val="1E3048"/>
                <w:sz w:val="21"/>
              </w:rPr>
              <w:t>Essential question</w:t>
            </w:r>
          </w:p>
        </w:tc>
        <w:tc>
          <w:tcPr>
            <w:tcW w:type="dxa" w:w="7200"/>
            <w:vAlign w:val="center"/>
          </w:tcPr>
          <w:p>
            <w:pPr>
              <w:spacing w:after="20" w:before="20"/>
            </w:pPr>
            <w:r>
              <w:rPr>
                <w:rFonts w:ascii="Calibri" w:hAnsi="Calibri"/>
                <w:b w:val="0"/>
                <w:i w:val="0"/>
                <w:color w:val="444444"/>
                <w:sz w:val="21"/>
              </w:rPr>
              <w:t>How do I protect my money and identity from fraud as I start working, banking, and transacting online?</w:t>
            </w:r>
          </w:p>
        </w:tc>
      </w:tr>
      <w:tr>
        <w:tc>
          <w:tcPr>
            <w:tcW w:type="dxa" w:w="2016"/>
            <w:shd w:val="clear" w:color="auto" w:fill="EBF1F3"/>
            <w:vAlign w:val="center"/>
          </w:tcPr>
          <w:p>
            <w:pPr>
              <w:spacing w:after="20" w:before="20"/>
            </w:pPr>
            <w:r>
              <w:rPr>
                <w:rFonts w:ascii="Calibri" w:hAnsi="Calibri"/>
                <w:b/>
                <w:i w:val="0"/>
                <w:color w:val="1E3048"/>
                <w:sz w:val="21"/>
              </w:rPr>
              <w:t>SWAT topics</w:t>
            </w:r>
          </w:p>
        </w:tc>
        <w:tc>
          <w:tcPr>
            <w:tcW w:type="dxa" w:w="7200"/>
            <w:vAlign w:val="center"/>
          </w:tcPr>
          <w:p>
            <w:pPr>
              <w:spacing w:after="20" w:before="20"/>
            </w:pPr>
            <w:r>
              <w:rPr>
                <w:rFonts w:ascii="Calibri" w:hAnsi="Calibri"/>
                <w:b w:val="0"/>
                <w:i w:val="0"/>
                <w:color w:val="444444"/>
                <w:sz w:val="21"/>
              </w:rPr>
              <w:t>Personal information security · secure transactions · recognizing deceptive/fraudulent activity · protecting PII · reporting fraud · communication with trusted adults.</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CS.DCS.25, CS.DCS.38, CS.DCS.37, CS.DCS.19, CS.DCS.32 · ELA Reading Informational Text, Speaking/Listening,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How this differs from Grade 9</w:t>
            </w:r>
          </w:p>
          <w:p>
            <w:pPr>
              <w:spacing w:after="20"/>
            </w:pPr>
            <w:r>
              <w:rPr>
                <w:rFonts w:ascii="Calibri" w:hAnsi="Calibri"/>
                <w:b w:val="0"/>
                <w:i w:val="0"/>
                <w:color w:val="444444"/>
                <w:sz w:val="21"/>
              </w:rPr>
              <w:t>Grade 9 covered account safety and scams broadly. Grade 11 focuses on money and identity as students begin earning and transacting — job and payment scams, identity theft, secure transactions, data breaches, and credit protection — the fraud that targets new adults.</w:t>
            </w:r>
          </w:p>
        </w:tc>
      </w:tr>
    </w:tbl>
    <w:p>
      <w:pPr>
        <w:spacing w:after="40"/>
      </w:pPr>
    </w:p>
    <w:p>
      <w:pPr>
        <w:pStyle w:val="Heading3"/>
      </w:pPr>
      <w:r>
        <w:t>Learning targets (“I can…”)</w:t>
      </w:r>
    </w:p>
    <w:p>
      <w:pPr>
        <w:pStyle w:val="ListParagraph"/>
        <w:spacing w:after="40"/>
        <w:numPr>
          <w:ilvl w:val="0"/>
          <w:numId w:val="1"/>
        </w:numPr>
      </w:pPr>
      <w:r>
        <w:rPr>
          <w:rFonts w:ascii="Calibri" w:hAnsi="Calibri"/>
          <w:b w:val="0"/>
          <w:i w:val="0"/>
          <w:color w:val="444444"/>
          <w:sz w:val="22"/>
        </w:rPr>
        <w:t>I can define identity theft and financial fraud and how they target teens and young adults.</w:t>
      </w:r>
    </w:p>
    <w:p>
      <w:pPr>
        <w:pStyle w:val="ListParagraph"/>
        <w:spacing w:after="40"/>
        <w:numPr>
          <w:ilvl w:val="0"/>
          <w:numId w:val="1"/>
        </w:numPr>
      </w:pPr>
      <w:r>
        <w:rPr>
          <w:rFonts w:ascii="Calibri" w:hAnsi="Calibri"/>
          <w:b w:val="0"/>
          <w:i w:val="0"/>
          <w:color w:val="444444"/>
          <w:sz w:val="22"/>
        </w:rPr>
        <w:t>I can spot job, overpayment, rental, payment-app, and banking-phishing scams.</w:t>
      </w:r>
    </w:p>
    <w:p>
      <w:pPr>
        <w:pStyle w:val="ListParagraph"/>
        <w:spacing w:after="40"/>
        <w:numPr>
          <w:ilvl w:val="0"/>
          <w:numId w:val="1"/>
        </w:numPr>
      </w:pPr>
      <w:r>
        <w:rPr>
          <w:rFonts w:ascii="Calibri" w:hAnsi="Calibri"/>
          <w:b w:val="0"/>
          <w:i w:val="0"/>
          <w:color w:val="444444"/>
          <w:sz w:val="22"/>
        </w:rPr>
        <w:t>I can apply secure-transaction habits — encrypted channels, official apps, MFA, and never paying to get paid.</w:t>
      </w:r>
    </w:p>
    <w:p>
      <w:pPr>
        <w:pStyle w:val="ListParagraph"/>
        <w:spacing w:after="40"/>
        <w:numPr>
          <w:ilvl w:val="0"/>
          <w:numId w:val="1"/>
        </w:numPr>
      </w:pPr>
      <w:r>
        <w:rPr>
          <w:rFonts w:ascii="Calibri" w:hAnsi="Calibri"/>
          <w:b w:val="0"/>
          <w:i w:val="0"/>
          <w:color w:val="444444"/>
          <w:sz w:val="22"/>
        </w:rPr>
        <w:t>I can protect my PII and respond to a data breach (change passwords, freeze credit).</w:t>
      </w:r>
    </w:p>
    <w:p>
      <w:pPr>
        <w:pStyle w:val="ListParagraph"/>
        <w:spacing w:after="40"/>
        <w:numPr>
          <w:ilvl w:val="0"/>
          <w:numId w:val="1"/>
        </w:numPr>
      </w:pPr>
      <w:r>
        <w:rPr>
          <w:rFonts w:ascii="Calibri" w:hAnsi="Calibri"/>
          <w:b w:val="0"/>
          <w:i w:val="0"/>
          <w:color w:val="444444"/>
          <w:sz w:val="22"/>
        </w:rPr>
        <w:t>I can report fraud and ask a trusted adult for help.</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BE7C6"/>
          </w:tcPr>
          <w:p>
            <w:pPr>
              <w:spacing w:after="40"/>
            </w:pPr>
            <w:r>
              <w:rPr>
                <w:rFonts w:ascii="Calibri" w:hAnsi="Calibri"/>
                <w:b/>
                <w:i w:val="0"/>
                <w:color w:val="1E3048"/>
                <w:sz w:val="21"/>
              </w:rPr>
              <w:t>PREP  ·  before class</w:t>
            </w:r>
          </w:p>
          <w:p>
            <w:pPr>
              <w:spacing w:after="20"/>
            </w:pPr>
            <w:r>
              <w:rPr>
                <w:rFonts w:ascii="Calibri" w:hAnsi="Calibri"/>
                <w:b w:val="0"/>
                <w:i w:val="0"/>
                <w:color w:val="444444"/>
                <w:sz w:val="21"/>
              </w:rPr>
              <w:t>Copy the “Legit or Fraud?” scenario cards + Fraud-Spotting sheet (Appendix D) — one set per group.</w:t>
            </w:r>
          </w:p>
          <w:p>
            <w:pPr>
              <w:spacing w:after="20"/>
            </w:pPr>
            <w:r>
              <w:rPr>
                <w:rFonts w:ascii="Calibri" w:hAnsi="Calibri"/>
                <w:b w:val="0"/>
                <w:i w:val="0"/>
                <w:color w:val="444444"/>
                <w:sz w:val="21"/>
              </w:rPr>
              <w:t>Copy the Personal Money &amp; Identity Safety Plan (Appendix E) — one per student.</w:t>
            </w:r>
          </w:p>
          <w:p>
            <w:pPr>
              <w:spacing w:after="20"/>
            </w:pPr>
            <w:r>
              <w:rPr>
                <w:rFonts w:ascii="Calibri" w:hAnsi="Calibri"/>
                <w:b w:val="0"/>
                <w:i w:val="0"/>
                <w:color w:val="444444"/>
                <w:sz w:val="21"/>
              </w:rPr>
              <w:t>Copy the Lesson 2 Exit Ticket (Appendix C).</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Never ask students to share real account numbers, PII, or financial details. All offers, messages, and notices used in class are fictional and general.</w:t>
            </w:r>
          </w:p>
        </w:tc>
      </w:tr>
    </w:tbl>
    <w:p>
      <w:pPr>
        <w:spacing w:after="40"/>
      </w:pPr>
    </w:p>
    <w:p>
      <w:pPr>
        <w:pStyle w:val="Heading2"/>
      </w:pPr>
      <w:r>
        <w:t>Lesson Sequence</w:t>
      </w:r>
    </w:p>
    <w:p>
      <w:pPr>
        <w:pStyle w:val="Heading3"/>
      </w:pPr>
      <w:r>
        <w:t>1 · Opening Prompt  (5 min)</w:t>
      </w:r>
    </w:p>
    <w:p>
      <w:pPr>
        <w:spacing w:after="80" w:before="0"/>
      </w:pPr>
      <w:r>
        <w:rPr>
          <w:rFonts w:ascii="Calibri" w:hAnsi="Calibri"/>
          <w:b w:val="0"/>
          <w:i w:val="0"/>
          <w:color w:val="444444"/>
          <w:sz w:val="22"/>
        </w:rPr>
        <w:t>ASK:  “Why are teens and new workers a favorite target for scammers?”</w:t>
      </w:r>
    </w:p>
    <w:p>
      <w:pPr>
        <w:spacing w:after="80" w:before="0"/>
      </w:pPr>
      <w:r>
        <w:rPr>
          <w:rFonts w:ascii="Calibri" w:hAnsi="Calibri"/>
          <w:b w:val="0"/>
          <w:i w:val="0"/>
          <w:color w:val="444444"/>
          <w:sz w:val="22"/>
        </w:rPr>
        <w:t>DO:  Students list reasons (new to money, eager for a first job, trusting, active online). No personal stories.</w:t>
      </w:r>
    </w:p>
    <w:p>
      <w:pPr>
        <w:spacing w:after="80" w:before="0"/>
      </w:pPr>
      <w:r>
        <w:rPr>
          <w:rFonts w:ascii="Calibri" w:hAnsi="Calibri"/>
          <w:b w:val="0"/>
          <w:i w:val="0"/>
          <w:color w:val="444444"/>
          <w:sz w:val="22"/>
        </w:rPr>
        <w:t>SAY:  Scammers follow the money and the inexperience. Knowing their playbook is how you keep your first paycheck.</w:t>
      </w:r>
    </w:p>
    <w:p>
      <w:pPr>
        <w:pStyle w:val="Heading3"/>
      </w:pPr>
      <w:r>
        <w:t>2 · Mini-Lesson — Spot the Fraud, Secure the Transaction  (10 min)</w:t>
      </w:r>
    </w:p>
    <w:p>
      <w:pPr>
        <w:spacing w:after="80" w:before="0"/>
      </w:pPr>
      <w:r>
        <w:rPr>
          <w:rFonts w:ascii="Calibri" w:hAnsi="Calibri"/>
          <w:b w:val="0"/>
          <w:i w:val="0"/>
          <w:color w:val="444444"/>
          <w:sz w:val="22"/>
        </w:rPr>
        <w:t>SAY:  Most money scams share a shape. Run any offer or request through five checks.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 xml:space="preserve">VERIFY  </w:t>
            </w:r>
            <w:r>
              <w:rPr>
                <w:rFonts w:ascii="Calibri" w:hAnsi="Calibri"/>
                <w:b w:val="0"/>
                <w:i w:val="0"/>
                <w:color w:val="444444"/>
                <w:sz w:val="21"/>
              </w:rPr>
              <w:t>Is the sender/offer real? Check it through an official, independent channel.</w:t>
            </w:r>
          </w:p>
          <w:p>
            <w:pPr>
              <w:spacing w:after="40"/>
            </w:pPr>
            <w:r>
              <w:rPr>
                <w:rFonts w:ascii="Calibri" w:hAnsi="Calibri"/>
                <w:b/>
                <w:i w:val="0"/>
                <w:color w:val="1E3048"/>
                <w:sz w:val="21"/>
              </w:rPr>
              <w:t xml:space="preserve">NEVER PAY TO GET PAID  </w:t>
            </w:r>
            <w:r>
              <w:rPr>
                <w:rFonts w:ascii="Calibri" w:hAnsi="Calibri"/>
                <w:b w:val="0"/>
                <w:i w:val="0"/>
                <w:color w:val="444444"/>
                <w:sz w:val="21"/>
              </w:rPr>
              <w:t>Real jobs and prizes don’t ask you to pay, deposit, or ‘refund’ first.</w:t>
            </w:r>
          </w:p>
          <w:p>
            <w:pPr>
              <w:spacing w:after="40"/>
            </w:pPr>
            <w:r>
              <w:rPr>
                <w:rFonts w:ascii="Calibri" w:hAnsi="Calibri"/>
                <w:b/>
                <w:i w:val="0"/>
                <w:color w:val="1E3048"/>
                <w:sz w:val="21"/>
              </w:rPr>
              <w:t xml:space="preserve">PROTECT PII  </w:t>
            </w:r>
            <w:r>
              <w:rPr>
                <w:rFonts w:ascii="Calibri" w:hAnsi="Calibri"/>
                <w:b w:val="0"/>
                <w:i w:val="0"/>
                <w:color w:val="444444"/>
                <w:sz w:val="21"/>
              </w:rPr>
              <w:t>Never share SSN, full card numbers, or codes by message or to strangers.</w:t>
            </w:r>
          </w:p>
          <w:p>
            <w:pPr>
              <w:spacing w:after="40"/>
            </w:pPr>
            <w:r>
              <w:rPr>
                <w:rFonts w:ascii="Calibri" w:hAnsi="Calibri"/>
                <w:b/>
                <w:i w:val="0"/>
                <w:color w:val="1E3048"/>
                <w:sz w:val="21"/>
              </w:rPr>
              <w:t xml:space="preserve">SECURE THE CHANNEL  </w:t>
            </w:r>
            <w:r>
              <w:rPr>
                <w:rFonts w:ascii="Calibri" w:hAnsi="Calibri"/>
                <w:b w:val="0"/>
                <w:i w:val="0"/>
                <w:color w:val="444444"/>
                <w:sz w:val="21"/>
              </w:rPr>
              <w:t>Only transact on encrypted sites (HTTPS) and official apps.</w:t>
            </w:r>
          </w:p>
          <w:p>
            <w:pPr>
              <w:spacing w:after="40"/>
            </w:pPr>
            <w:r>
              <w:rPr>
                <w:rFonts w:ascii="Calibri" w:hAnsi="Calibri"/>
                <w:b/>
                <w:i w:val="0"/>
                <w:color w:val="1E3048"/>
                <w:sz w:val="21"/>
              </w:rPr>
              <w:t xml:space="preserve">REPORT &amp; RECOVER  </w:t>
            </w:r>
            <w:r>
              <w:rPr>
                <w:rFonts w:ascii="Calibri" w:hAnsi="Calibri"/>
                <w:b w:val="0"/>
                <w:i w:val="0"/>
                <w:color w:val="444444"/>
                <w:sz w:val="21"/>
              </w:rPr>
              <w:t>If hit: stop, tell a trusted adult, change passwords, and freeze credit.</w:t>
            </w:r>
          </w:p>
        </w:tc>
      </w:tr>
    </w:tbl>
    <w:p>
      <w:pPr>
        <w:spacing w:after="40"/>
      </w:pPr>
    </w:p>
    <w:p>
      <w:pPr>
        <w:spacing w:after="80" w:before="0"/>
      </w:pPr>
      <w:r>
        <w:rPr>
          <w:rFonts w:ascii="Calibri" w:hAnsi="Calibri"/>
          <w:b w:val="0"/>
          <w:i w:val="0"/>
          <w:color w:val="444444"/>
          <w:sz w:val="22"/>
        </w:rPr>
        <w:t>DO:  Name the security standard (CS.DCS.25): passwords, MFA, encryption, and secure transactions protect your money. Add how fraud has evolved (CS.DCS.38): payment-app instant transfers and AI-written scams make it faster and more convincing — so verify first.</w:t>
      </w:r>
    </w:p>
    <w:p>
      <w:pPr>
        <w:pStyle w:val="Heading3"/>
      </w:pPr>
      <w:r>
        <w:t>3 · Peer Activity — “Legit or Fraud?”  (15 min)</w:t>
      </w:r>
    </w:p>
    <w:p>
      <w:pPr>
        <w:spacing w:after="80" w:before="0"/>
      </w:pPr>
      <w:r>
        <w:rPr>
          <w:rFonts w:ascii="Calibri" w:hAnsi="Calibri"/>
          <w:b w:val="0"/>
          <w:i w:val="0"/>
          <w:color w:val="444444"/>
          <w:sz w:val="22"/>
        </w:rPr>
        <w:t>DO:  Groups review fictional offers and notices (Appendix D) — a job offer, an overpayment ‘refund,’ a payment-app request, a ‘bank’ text, a rental deal — and mark each on the Fraud-Spotting sheet: the scam type, red flags, and the safe move.</w:t>
      </w:r>
    </w:p>
    <w:p>
      <w:pPr>
        <w:spacing w:after="80" w:before="0"/>
      </w:pPr>
      <w:r>
        <w:rPr>
          <w:rFonts w:ascii="Calibri" w:hAnsi="Calibri"/>
          <w:b w:val="0"/>
          <w:i w:val="0"/>
          <w:color w:val="444444"/>
          <w:sz w:val="22"/>
        </w:rPr>
        <w:t>ASK:  “What’s the tell? What single verification would prove whether it’s real?”</w:t>
      </w:r>
    </w:p>
    <w:p>
      <w:pPr>
        <w:pStyle w:val="Heading3"/>
      </w:pPr>
      <w:r>
        <w:t>4 · Student Practice — Money &amp; Identity Safety Plan  (15 min)</w:t>
      </w:r>
    </w:p>
    <w:p>
      <w:pPr>
        <w:spacing w:after="80" w:before="0"/>
      </w:pPr>
      <w:r>
        <w:rPr>
          <w:rFonts w:ascii="Calibri" w:hAnsi="Calibri"/>
          <w:b w:val="0"/>
          <w:i w:val="0"/>
          <w:color w:val="444444"/>
          <w:sz w:val="22"/>
        </w:rPr>
        <w:t>DO:  Students complete the Personal Money &amp; Identity Safety Plan (Appendix E) with general actions only — no real numbers. Include: verify before paying, protect PII, MFA + password manager, secure channels, and how to respond to a breach.</w:t>
      </w:r>
    </w:p>
    <w:p>
      <w:pPr>
        <w:spacing w:after="80" w:before="0"/>
      </w:pPr>
      <w:r>
        <w:rPr>
          <w:rFonts w:ascii="Calibri" w:hAnsi="Calibri"/>
          <w:b w:val="0"/>
          <w:i w:val="0"/>
          <w:color w:val="444444"/>
          <w:sz w:val="22"/>
        </w:rPr>
        <w:t>MODEL  Teacher models the verify-and-refuse response: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“I’m not sending money or my info to claim this. If it were real, I could confirm it through the official company directly — and I’ll ask a trusted adult before I act.”</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DIFFERENTIATE</w:t>
            </w:r>
          </w:p>
          <w:p>
            <w:pPr>
              <w:spacing w:after="20"/>
            </w:pPr>
            <w:r>
              <w:rPr>
                <w:rFonts w:ascii="Calibri" w:hAnsi="Calibri"/>
                <w:b w:val="0"/>
                <w:i w:val="0"/>
                <w:color w:val="444444"/>
                <w:sz w:val="21"/>
              </w:rPr>
              <w:t>Support:  Pre-fill two rows of the plan; give a word bank (PII, MFA, HTTPS, credit freeze).</w:t>
            </w:r>
          </w:p>
          <w:p>
            <w:pPr>
              <w:spacing w:after="20"/>
            </w:pPr>
            <w:r>
              <w:rPr>
                <w:rFonts w:ascii="Calibri" w:hAnsi="Calibri"/>
                <w:b w:val="0"/>
                <w:i w:val="0"/>
                <w:color w:val="444444"/>
                <w:sz w:val="21"/>
              </w:rPr>
              <w:t>Extension:  Students write a short justification for one secure-transaction choice (CS.DCS.25).</w:t>
            </w:r>
          </w:p>
          <w:p>
            <w:pPr>
              <w:spacing w:after="20"/>
            </w:pPr>
            <w:r>
              <w:rPr>
                <w:rFonts w:ascii="Calibri" w:hAnsi="Calibri"/>
                <w:b w:val="0"/>
                <w:i w:val="0"/>
                <w:color w:val="444444"/>
                <w:sz w:val="21"/>
              </w:rPr>
              <w:t>Multilingual learners:  Provide the five checks with icons; allow verbal responses.</w:t>
            </w:r>
          </w:p>
        </w:tc>
      </w:tr>
    </w:tbl>
    <w:p>
      <w:pPr>
        <w:spacing w:after="40"/>
      </w:pPr>
    </w:p>
    <w:p>
      <w:pPr>
        <w:pStyle w:val="Heading3"/>
      </w:pPr>
      <w:r>
        <w:t>5 · Exit Ticket  (5 min)</w:t>
      </w:r>
    </w:p>
    <w:p>
      <w:pPr>
        <w:pStyle w:val="ListParagraph"/>
        <w:spacing w:after="40"/>
        <w:numPr>
          <w:ilvl w:val="0"/>
          <w:numId w:val="1"/>
        </w:numPr>
      </w:pPr>
      <w:r>
        <w:rPr>
          <w:rFonts w:ascii="Calibri" w:hAnsi="Calibri"/>
          <w:b w:val="0"/>
          <w:i w:val="0"/>
          <w:color w:val="444444"/>
          <w:sz w:val="22"/>
        </w:rPr>
        <w:t>One scam that targets young adults I can now spot is…</w:t>
      </w:r>
    </w:p>
    <w:p>
      <w:pPr>
        <w:pStyle w:val="ListParagraph"/>
        <w:spacing w:after="40"/>
        <w:numPr>
          <w:ilvl w:val="0"/>
          <w:numId w:val="1"/>
        </w:numPr>
      </w:pPr>
      <w:r>
        <w:rPr>
          <w:rFonts w:ascii="Calibri" w:hAnsi="Calibri"/>
          <w:b w:val="0"/>
          <w:i w:val="0"/>
          <w:color w:val="444444"/>
          <w:sz w:val="22"/>
        </w:rPr>
        <w:t>One way I’ll protect my PII or money is…</w:t>
      </w:r>
    </w:p>
    <w:p>
      <w:pPr>
        <w:pStyle w:val="ListParagraph"/>
        <w:spacing w:after="40"/>
        <w:numPr>
          <w:ilvl w:val="0"/>
          <w:numId w:val="1"/>
        </w:numPr>
      </w:pPr>
      <w:r>
        <w:rPr>
          <w:rFonts w:ascii="Calibri" w:hAnsi="Calibri"/>
          <w:b w:val="0"/>
          <w:i w:val="0"/>
          <w:color w:val="444444"/>
          <w:sz w:val="22"/>
        </w:rPr>
        <w:t>One step I’d take if my identity or account were compromised is…</w:t>
      </w:r>
    </w:p>
    <w:p>
      <w:pPr>
        <w:pStyle w:val="Heading3"/>
      </w:pPr>
      <w:r>
        <w:t>Assessment for this lesson</w:t>
      </w:r>
    </w:p>
    <w:p>
      <w:pPr>
        <w:pStyle w:val="ListParagraph"/>
        <w:spacing w:after="40"/>
        <w:numPr>
          <w:ilvl w:val="0"/>
          <w:numId w:val="1"/>
        </w:numPr>
      </w:pPr>
      <w:r>
        <w:rPr>
          <w:rFonts w:ascii="Calibri" w:hAnsi="Calibri"/>
          <w:b w:val="0"/>
          <w:i w:val="0"/>
          <w:color w:val="444444"/>
          <w:sz w:val="22"/>
        </w:rPr>
        <w:t>Accuracy of scam identification on the Fraud-Spotting sheet.</w:t>
      </w:r>
    </w:p>
    <w:p>
      <w:pPr>
        <w:pStyle w:val="ListParagraph"/>
        <w:spacing w:after="40"/>
        <w:numPr>
          <w:ilvl w:val="0"/>
          <w:numId w:val="1"/>
        </w:numPr>
      </w:pPr>
      <w:r>
        <w:rPr>
          <w:rFonts w:ascii="Calibri" w:hAnsi="Calibri"/>
          <w:b w:val="0"/>
          <w:i w:val="0"/>
          <w:color w:val="444444"/>
          <w:sz w:val="22"/>
        </w:rPr>
        <w:t>Quality of the Money &amp; Identity Safety Plan.</w:t>
      </w:r>
    </w:p>
    <w:p>
      <w:pPr>
        <w:pStyle w:val="ListParagraph"/>
        <w:spacing w:after="40"/>
        <w:numPr>
          <w:ilvl w:val="0"/>
          <w:numId w:val="1"/>
        </w:numPr>
      </w:pPr>
      <w:r>
        <w:rPr>
          <w:rFonts w:ascii="Calibri" w:hAnsi="Calibri"/>
          <w:b w:val="0"/>
          <w:i w:val="0"/>
          <w:color w:val="444444"/>
          <w:sz w:val="22"/>
        </w:rPr>
        <w:t>Completed exit ticket.</w:t>
      </w:r>
    </w:p>
    <w:p>
      <w:pPr>
        <w:pStyle w:val="Heading1"/>
      </w:pPr>
      <w:r>
        <w:t>Lesson 3 — Digital Law, Your Rights &amp; Cyber-Ready Thinking</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Length</w:t>
            </w:r>
          </w:p>
        </w:tc>
        <w:tc>
          <w:tcPr>
            <w:tcW w:type="dxa" w:w="7200"/>
            <w:vAlign w:val="center"/>
          </w:tcPr>
          <w:p>
            <w:pPr>
              <w:spacing w:after="20" w:before="20"/>
            </w:pPr>
            <w:r>
              <w:rPr>
                <w:rFonts w:ascii="Calibri" w:hAnsi="Calibri"/>
                <w:b w:val="0"/>
                <w:i w:val="0"/>
                <w:color w:val="444444"/>
                <w:sz w:val="21"/>
              </w:rPr>
              <w:t>45–50 minutes</w:t>
            </w:r>
          </w:p>
        </w:tc>
      </w:tr>
      <w:tr>
        <w:tc>
          <w:tcPr>
            <w:tcW w:type="dxa" w:w="2016"/>
            <w:shd w:val="clear" w:color="auto" w:fill="EBF1F3"/>
            <w:vAlign w:val="center"/>
          </w:tcPr>
          <w:p>
            <w:pPr>
              <w:spacing w:after="20" w:before="20"/>
            </w:pPr>
            <w:r>
              <w:rPr>
                <w:rFonts w:ascii="Calibri" w:hAnsi="Calibri"/>
                <w:b/>
                <w:i w:val="0"/>
                <w:color w:val="1E3048"/>
                <w:sz w:val="21"/>
              </w:rPr>
              <w:t>Lesson focus</w:t>
            </w:r>
          </w:p>
        </w:tc>
        <w:tc>
          <w:tcPr>
            <w:tcW w:type="dxa" w:w="7200"/>
            <w:vAlign w:val="center"/>
          </w:tcPr>
          <w:p>
            <w:pPr>
              <w:spacing w:after="20" w:before="20"/>
            </w:pPr>
            <w:r>
              <w:rPr>
                <w:rFonts w:ascii="Calibri" w:hAnsi="Calibri"/>
                <w:b w:val="0"/>
                <w:i w:val="0"/>
                <w:color w:val="444444"/>
                <w:sz w:val="21"/>
              </w:rPr>
              <w:t>Students learn their digital rights and legal responsibilities as near-adults, build a personal incident-response plan, apply a defender’s mindset, and explore cybersecurity careers.</w:t>
            </w:r>
          </w:p>
        </w:tc>
      </w:tr>
      <w:tr>
        <w:tc>
          <w:tcPr>
            <w:tcW w:type="dxa" w:w="2016"/>
            <w:shd w:val="clear" w:color="auto" w:fill="EBF1F3"/>
            <w:vAlign w:val="center"/>
          </w:tcPr>
          <w:p>
            <w:pPr>
              <w:spacing w:after="20" w:before="20"/>
            </w:pPr>
            <w:r>
              <w:rPr>
                <w:rFonts w:ascii="Calibri" w:hAnsi="Calibri"/>
                <w:b/>
                <w:i w:val="0"/>
                <w:color w:val="1E3048"/>
                <w:sz w:val="21"/>
              </w:rPr>
              <w:t>Essential question</w:t>
            </w:r>
          </w:p>
        </w:tc>
        <w:tc>
          <w:tcPr>
            <w:tcW w:type="dxa" w:w="7200"/>
            <w:vAlign w:val="center"/>
          </w:tcPr>
          <w:p>
            <w:pPr>
              <w:spacing w:after="20" w:before="20"/>
            </w:pPr>
            <w:r>
              <w:rPr>
                <w:rFonts w:ascii="Calibri" w:hAnsi="Calibri"/>
                <w:b w:val="0"/>
                <w:i w:val="0"/>
                <w:color w:val="444444"/>
                <w:sz w:val="21"/>
              </w:rPr>
              <w:t>As a near-adult, what are my digital rights, my legal responsibilities, and how do I think like a defender?</w:t>
            </w:r>
          </w:p>
        </w:tc>
      </w:tr>
      <w:tr>
        <w:tc>
          <w:tcPr>
            <w:tcW w:type="dxa" w:w="2016"/>
            <w:shd w:val="clear" w:color="auto" w:fill="EBF1F3"/>
            <w:vAlign w:val="center"/>
          </w:tcPr>
          <w:p>
            <w:pPr>
              <w:spacing w:after="20" w:before="20"/>
            </w:pPr>
            <w:r>
              <w:rPr>
                <w:rFonts w:ascii="Calibri" w:hAnsi="Calibri"/>
                <w:b/>
                <w:i w:val="0"/>
                <w:color w:val="1E3048"/>
                <w:sz w:val="21"/>
              </w:rPr>
              <w:t>SWAT topics</w:t>
            </w:r>
          </w:p>
        </w:tc>
        <w:tc>
          <w:tcPr>
            <w:tcW w:type="dxa" w:w="7200"/>
            <w:vAlign w:val="center"/>
          </w:tcPr>
          <w:p>
            <w:pPr>
              <w:spacing w:after="20" w:before="20"/>
            </w:pPr>
            <w:r>
              <w:rPr>
                <w:rFonts w:ascii="Calibri" w:hAnsi="Calibri"/>
                <w:b w:val="0"/>
                <w:i w:val="0"/>
                <w:color w:val="444444"/>
                <w:sz w:val="21"/>
              </w:rPr>
              <w:t>Legal &amp; ethical technology use · privacy rights &amp; consent · consequences of misuse · incident response · communication with trusted adults · careers.</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CS.DCS.37, CS.DCS.25, CS.DCS.26, CS.DCS.19, CS.DCS.32 · ELA Reading Informational Text, Speaking/Listening,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How this differs from Grade 9</w:t>
            </w:r>
          </w:p>
          <w:p>
            <w:pPr>
              <w:spacing w:after="20"/>
            </w:pPr>
            <w:r>
              <w:rPr>
                <w:rFonts w:ascii="Calibri" w:hAnsi="Calibri"/>
                <w:b w:val="0"/>
                <w:i w:val="0"/>
                <w:color w:val="444444"/>
                <w:sz w:val="21"/>
              </w:rPr>
              <w:t>Grade 9 built a reporting pathway for serious harm. Grade 11 adds legal literacy for near-adults — rights, digital contracts, and real consequences — plus a personal incident-response plan and a defender’s mindset, and it connects those skills to cybersecurity careers.</w:t>
            </w:r>
          </w:p>
        </w:tc>
      </w:tr>
    </w:tbl>
    <w:p>
      <w:pPr>
        <w:spacing w:after="40"/>
      </w:pPr>
    </w:p>
    <w:p>
      <w:pPr>
        <w:pStyle w:val="Heading3"/>
      </w:pPr>
      <w:r>
        <w:t>Learning targets (“I can…”)</w:t>
      </w:r>
    </w:p>
    <w:p>
      <w:pPr>
        <w:pStyle w:val="ListParagraph"/>
        <w:spacing w:after="40"/>
        <w:numPr>
          <w:ilvl w:val="0"/>
          <w:numId w:val="1"/>
        </w:numPr>
      </w:pPr>
      <w:r>
        <w:rPr>
          <w:rFonts w:ascii="Calibri" w:hAnsi="Calibri"/>
          <w:b w:val="0"/>
          <w:i w:val="0"/>
          <w:color w:val="444444"/>
          <w:sz w:val="22"/>
        </w:rPr>
        <w:t>I can explain key digital rights and data-privacy protections in plain terms.</w:t>
      </w:r>
    </w:p>
    <w:p>
      <w:pPr>
        <w:pStyle w:val="ListParagraph"/>
        <w:spacing w:after="40"/>
        <w:numPr>
          <w:ilvl w:val="0"/>
          <w:numId w:val="1"/>
        </w:numPr>
      </w:pPr>
      <w:r>
        <w:rPr>
          <w:rFonts w:ascii="Calibri" w:hAnsi="Calibri"/>
          <w:b w:val="0"/>
          <w:i w:val="0"/>
          <w:color w:val="444444"/>
          <w:sz w:val="22"/>
        </w:rPr>
        <w:t>I can describe my legal responsibilities online and the real consequences of misuse.</w:t>
      </w:r>
    </w:p>
    <w:p>
      <w:pPr>
        <w:pStyle w:val="ListParagraph"/>
        <w:spacing w:after="40"/>
        <w:numPr>
          <w:ilvl w:val="0"/>
          <w:numId w:val="1"/>
        </w:numPr>
      </w:pPr>
      <w:r>
        <w:rPr>
          <w:rFonts w:ascii="Calibri" w:hAnsi="Calibri"/>
          <w:b w:val="0"/>
          <w:i w:val="0"/>
          <w:color w:val="444444"/>
          <w:sz w:val="22"/>
        </w:rPr>
        <w:t>I can build a personal incident-response plan (recognize, contain, preserve, report, recover).</w:t>
      </w:r>
    </w:p>
    <w:p>
      <w:pPr>
        <w:pStyle w:val="ListParagraph"/>
        <w:spacing w:after="40"/>
        <w:numPr>
          <w:ilvl w:val="0"/>
          <w:numId w:val="1"/>
        </w:numPr>
      </w:pPr>
      <w:r>
        <w:rPr>
          <w:rFonts w:ascii="Calibri" w:hAnsi="Calibri"/>
          <w:b w:val="0"/>
          <w:i w:val="0"/>
          <w:color w:val="444444"/>
          <w:sz w:val="22"/>
        </w:rPr>
        <w:t>I can apply a defender’s mindset — a basic threat model and the CIA idea (confidentiality, integrity, availability).</w:t>
      </w:r>
    </w:p>
    <w:p>
      <w:pPr>
        <w:pStyle w:val="ListParagraph"/>
        <w:spacing w:after="40"/>
        <w:numPr>
          <w:ilvl w:val="0"/>
          <w:numId w:val="1"/>
        </w:numPr>
      </w:pPr>
      <w:r>
        <w:rPr>
          <w:rFonts w:ascii="Calibri" w:hAnsi="Calibri"/>
          <w:b w:val="0"/>
          <w:i w:val="0"/>
          <w:color w:val="444444"/>
          <w:sz w:val="22"/>
        </w:rPr>
        <w:t>I can identify cybersecurity career pathways and the skills they use.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BE7C6"/>
          </w:tcPr>
          <w:p>
            <w:pPr>
              <w:spacing w:after="40"/>
            </w:pPr>
            <w:r>
              <w:rPr>
                <w:rFonts w:ascii="Calibri" w:hAnsi="Calibri"/>
                <w:b/>
                <w:i w:val="0"/>
                <w:color w:val="1E3048"/>
                <w:sz w:val="21"/>
              </w:rPr>
              <w:t>PREP  ·  before class</w:t>
            </w:r>
          </w:p>
          <w:p>
            <w:pPr>
              <w:spacing w:after="20"/>
            </w:pPr>
            <w:r>
              <w:rPr>
                <w:rFonts w:ascii="Calibri" w:hAnsi="Calibri"/>
                <w:b w:val="0"/>
                <w:i w:val="0"/>
                <w:color w:val="444444"/>
                <w:sz w:val="21"/>
              </w:rPr>
              <w:t>Copy the “Rights, Responsibility, or Report?” scenario cards (Appendix F) — one set per group.</w:t>
            </w:r>
          </w:p>
          <w:p>
            <w:pPr>
              <w:spacing w:after="20"/>
            </w:pPr>
            <w:r>
              <w:rPr>
                <w:rFonts w:ascii="Calibri" w:hAnsi="Calibri"/>
                <w:b w:val="0"/>
                <w:i w:val="0"/>
                <w:color w:val="444444"/>
                <w:sz w:val="21"/>
              </w:rPr>
              <w:t>Copy the Personal Incident-Response Plan template (Appendix F) — one per group or student.</w:t>
            </w:r>
          </w:p>
          <w:p>
            <w:pPr>
              <w:spacing w:after="20"/>
            </w:pPr>
            <w:r>
              <w:rPr>
                <w:rFonts w:ascii="Calibri" w:hAnsi="Calibri"/>
                <w:b w:val="0"/>
                <w:i w:val="0"/>
                <w:color w:val="444444"/>
                <w:sz w:val="21"/>
              </w:rPr>
              <w:t>Copy the Cyber-Careers cards (Appendix G).</w:t>
            </w:r>
          </w:p>
          <w:p>
            <w:pPr>
              <w:spacing w:after="20"/>
            </w:pPr>
            <w:r>
              <w:rPr>
                <w:rFonts w:ascii="Calibri" w:hAnsi="Calibri"/>
                <w:b w:val="0"/>
                <w:i w:val="0"/>
                <w:color w:val="444444"/>
                <w:sz w:val="21"/>
              </w:rPr>
              <w:t>Fill in your school’s reporting contacts in advance; confirm building guidance on reporting fraud and identity theft.</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Keep examples fictional and general. Do not ask students to disclose personal experiences. This lesson builds awareness of rights and responsibilities — it is not legal advice; direct real legal questions to a trusted adult or professional.</w:t>
            </w:r>
          </w:p>
        </w:tc>
      </w:tr>
    </w:tbl>
    <w:p>
      <w:pPr>
        <w:spacing w:after="40"/>
      </w:pPr>
    </w:p>
    <w:p>
      <w:pPr>
        <w:pStyle w:val="Heading2"/>
      </w:pPr>
      <w:r>
        <w:t>Lesson Sequence</w:t>
      </w:r>
    </w:p>
    <w:p>
      <w:pPr>
        <w:pStyle w:val="Heading3"/>
      </w:pPr>
      <w:r>
        <w:t>1 · Opening Prompt  (5 min)</w:t>
      </w:r>
    </w:p>
    <w:p>
      <w:pPr>
        <w:spacing w:after="80" w:before="0"/>
      </w:pPr>
      <w:r>
        <w:rPr>
          <w:rFonts w:ascii="Calibri" w:hAnsi="Calibri"/>
          <w:b w:val="0"/>
          <w:i w:val="0"/>
          <w:color w:val="444444"/>
          <w:sz w:val="22"/>
        </w:rPr>
        <w:t>ASK:  “As you approach 18, what changes about your responsibility for what you post, sign, or agree to online?”</w:t>
      </w:r>
    </w:p>
    <w:p>
      <w:pPr>
        <w:spacing w:after="80" w:before="0"/>
      </w:pPr>
      <w:r>
        <w:rPr>
          <w:rFonts w:ascii="Calibri" w:hAnsi="Calibri"/>
          <w:b w:val="0"/>
          <w:i w:val="0"/>
          <w:color w:val="444444"/>
          <w:sz w:val="22"/>
        </w:rPr>
        <w:t>DO:  Keep responses general. Surface: contracts become binding, some actions carry legal consequences, and ‘I didn’t read it’ isn’t a defense.</w:t>
      </w:r>
    </w:p>
    <w:p>
      <w:pPr>
        <w:spacing w:after="80" w:before="0"/>
      </w:pPr>
      <w:r>
        <w:rPr>
          <w:rFonts w:ascii="Calibri" w:hAnsi="Calibri"/>
          <w:b w:val="0"/>
          <w:i w:val="0"/>
          <w:color w:val="444444"/>
          <w:sz w:val="22"/>
        </w:rPr>
        <w:t>SAY:  Rights and responsibilities grow together. Cyber readiness means knowing both — and having a plan when something goes wrong.</w:t>
      </w:r>
    </w:p>
    <w:p>
      <w:pPr>
        <w:pStyle w:val="Heading3"/>
      </w:pPr>
      <w:r>
        <w:t>2 · Mini-Lesson — Rights, Responsibility &amp; the Defender’s Mindset  (10 min)</w:t>
      </w:r>
    </w:p>
    <w:p>
      <w:pPr>
        <w:spacing w:after="80" w:before="0"/>
      </w:pPr>
      <w:r>
        <w:rPr>
          <w:rFonts w:ascii="Calibri" w:hAnsi="Calibri"/>
          <w:b w:val="0"/>
          <w:i w:val="0"/>
          <w:color w:val="444444"/>
          <w:sz w:val="22"/>
        </w:rPr>
        <w:t>SAY:  Three ideas. You have privacy rights over your data. You have legal responsibilities — harassment, threats, fraud, and IP theft carry real consequences. And a defender thinks ahead.</w:t>
      </w:r>
    </w:p>
    <w:p>
      <w:pPr>
        <w:spacing w:after="80" w:before="0"/>
      </w:pPr>
      <w:r>
        <w:rPr>
          <w:rFonts w:ascii="Calibri" w:hAnsi="Calibri"/>
          <w:b w:val="0"/>
          <w:i w:val="0"/>
          <w:color w:val="444444"/>
          <w:sz w:val="22"/>
        </w:rPr>
        <w:t>SAY:  Build a Personal Incident-Response Plan — the steps to take when something is compromised:</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 xml:space="preserve">RECOGNIZE  </w:t>
            </w:r>
            <w:r>
              <w:rPr>
                <w:rFonts w:ascii="Calibri" w:hAnsi="Calibri"/>
                <w:b w:val="0"/>
                <w:i w:val="0"/>
                <w:color w:val="444444"/>
                <w:sz w:val="21"/>
              </w:rPr>
              <w:t>Notice the signs — a breach notice, a locked account, a strange charge.</w:t>
            </w:r>
          </w:p>
          <w:p>
            <w:pPr>
              <w:spacing w:after="40"/>
            </w:pPr>
            <w:r>
              <w:rPr>
                <w:rFonts w:ascii="Calibri" w:hAnsi="Calibri"/>
                <w:b/>
                <w:i w:val="0"/>
                <w:color w:val="1E3048"/>
                <w:sz w:val="21"/>
              </w:rPr>
              <w:t xml:space="preserve">CONTAIN  </w:t>
            </w:r>
            <w:r>
              <w:rPr>
                <w:rFonts w:ascii="Calibri" w:hAnsi="Calibri"/>
                <w:b w:val="0"/>
                <w:i w:val="0"/>
                <w:color w:val="444444"/>
                <w:sz w:val="21"/>
              </w:rPr>
              <w:t>Stop the damage — change passwords, sign out sessions, freeze cards/credit.</w:t>
            </w:r>
          </w:p>
          <w:p>
            <w:pPr>
              <w:spacing w:after="40"/>
            </w:pPr>
            <w:r>
              <w:rPr>
                <w:rFonts w:ascii="Calibri" w:hAnsi="Calibri"/>
                <w:b/>
                <w:i w:val="0"/>
                <w:color w:val="1E3048"/>
                <w:sz w:val="21"/>
              </w:rPr>
              <w:t xml:space="preserve">PRESERVE  </w:t>
            </w:r>
            <w:r>
              <w:rPr>
                <w:rFonts w:ascii="Calibri" w:hAnsi="Calibri"/>
                <w:b w:val="0"/>
                <w:i w:val="0"/>
                <w:color w:val="444444"/>
                <w:sz w:val="21"/>
              </w:rPr>
              <w:t>Save evidence — screenshots, emails, transaction records.</w:t>
            </w:r>
          </w:p>
          <w:p>
            <w:pPr>
              <w:spacing w:after="40"/>
            </w:pPr>
            <w:r>
              <w:rPr>
                <w:rFonts w:ascii="Calibri" w:hAnsi="Calibri"/>
                <w:b/>
                <w:i w:val="0"/>
                <w:color w:val="1E3048"/>
                <w:sz w:val="21"/>
              </w:rPr>
              <w:t xml:space="preserve">REPORT  </w:t>
            </w:r>
            <w:r>
              <w:rPr>
                <w:rFonts w:ascii="Calibri" w:hAnsi="Calibri"/>
                <w:b w:val="0"/>
                <w:i w:val="0"/>
                <w:color w:val="444444"/>
                <w:sz w:val="21"/>
              </w:rPr>
              <w:t>Tell a trusted adult; report to the platform, bank, or authorities as needed.</w:t>
            </w:r>
          </w:p>
          <w:p>
            <w:pPr>
              <w:spacing w:after="40"/>
            </w:pPr>
            <w:r>
              <w:rPr>
                <w:rFonts w:ascii="Calibri" w:hAnsi="Calibri"/>
                <w:b/>
                <w:i w:val="0"/>
                <w:color w:val="1E3048"/>
                <w:sz w:val="21"/>
              </w:rPr>
              <w:t xml:space="preserve">RECOVER  </w:t>
            </w:r>
            <w:r>
              <w:rPr>
                <w:rFonts w:ascii="Calibri" w:hAnsi="Calibri"/>
                <w:b w:val="0"/>
                <w:i w:val="0"/>
                <w:color w:val="444444"/>
                <w:sz w:val="21"/>
              </w:rPr>
              <w:t>Restore access, monitor accounts, and update your protections.</w:t>
            </w:r>
          </w:p>
        </w:tc>
      </w:tr>
    </w:tbl>
    <w:p>
      <w:pPr>
        <w:spacing w:after="40"/>
      </w:pPr>
    </w:p>
    <w:p>
      <w:pPr>
        <w:spacing w:after="80" w:before="0"/>
      </w:pPr>
      <w:r>
        <w:rPr>
          <w:rFonts w:ascii="Calibri" w:hAnsi="Calibri"/>
          <w:b w:val="0"/>
          <w:i w:val="0"/>
          <w:color w:val="444444"/>
          <w:sz w:val="22"/>
        </w:rPr>
        <w:t>DO:  Name the defender’s mindset (CS.DCS.25): protect Confidentiality, Integrity, and Availability. Then connect to careers (CS.DCS.26): the people who do this professionally are security analysts, incident responders, and engineers — real, in-demand jobs.</w:t>
      </w:r>
    </w:p>
    <w:p>
      <w:pPr>
        <w:pStyle w:val="Heading3"/>
      </w:pPr>
      <w:r>
        <w:t>3 · Peer Activity — “Rights, Responsibility, or Report?”  (15 min)</w:t>
      </w:r>
    </w:p>
    <w:p>
      <w:pPr>
        <w:spacing w:after="80" w:before="0"/>
      </w:pPr>
      <w:r>
        <w:rPr>
          <w:rFonts w:ascii="Calibri" w:hAnsi="Calibri"/>
          <w:b w:val="0"/>
          <w:i w:val="0"/>
          <w:color w:val="444444"/>
          <w:sz w:val="22"/>
        </w:rPr>
        <w:t>DO:  Groups sort scenario cards (Appendix F) into: a RIGHT you can exercise · a RESPONSIBILITY you must meet · a situation to REPORT. Groups explain the reasoning — a card may involve more than one.</w:t>
      </w:r>
    </w:p>
    <w:p>
      <w:pPr>
        <w:spacing w:after="80" w:before="0"/>
      </w:pPr>
      <w:r>
        <w:rPr>
          <w:rFonts w:ascii="Calibri" w:hAnsi="Calibri"/>
          <w:b w:val="0"/>
          <w:i w:val="0"/>
          <w:color w:val="444444"/>
          <w:sz w:val="22"/>
        </w:rPr>
        <w:t>ASK:  “Is this about a right you have, a responsibility you owe, or something to report — and how do you know?”</w:t>
      </w:r>
    </w:p>
    <w:p>
      <w:pPr>
        <w:pStyle w:val="Heading3"/>
      </w:pPr>
      <w:r>
        <w:t>4 · Student Practice — Personal Incident-Response Plan  (15 min)</w:t>
      </w:r>
    </w:p>
    <w:p>
      <w:pPr>
        <w:spacing w:after="80" w:before="0"/>
      </w:pPr>
      <w:r>
        <w:rPr>
          <w:rFonts w:ascii="Calibri" w:hAnsi="Calibri"/>
          <w:b w:val="0"/>
          <w:i w:val="0"/>
          <w:color w:val="444444"/>
          <w:sz w:val="22"/>
        </w:rPr>
        <w:t>DO:  Students complete a Personal Incident-Response Plan (Appendix F): the signs they’d watch for, their contain/preserve/report/recover steps, and their trusted adult and reporting contacts.</w:t>
      </w:r>
    </w:p>
    <w:p>
      <w:pPr>
        <w:spacing w:after="80" w:before="0"/>
      </w:pPr>
      <w:r>
        <w:rPr>
          <w:rFonts w:ascii="Calibri" w:hAnsi="Calibri"/>
          <w:b w:val="0"/>
          <w:i w:val="0"/>
          <w:color w:val="444444"/>
          <w:sz w:val="22"/>
        </w:rPr>
        <w:t>MODEL  Teacher models the calm, planned response: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“If my account or identity is hit, I don’t panic — I contain it, save the evidence, report it to the right people, and recover. Having the plan first is what keeps a bad day from becoming a disaster.”</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DIFFERENTIATE</w:t>
            </w:r>
          </w:p>
          <w:p>
            <w:pPr>
              <w:spacing w:after="20"/>
            </w:pPr>
            <w:r>
              <w:rPr>
                <w:rFonts w:ascii="Calibri" w:hAnsi="Calibri"/>
                <w:b w:val="0"/>
                <w:i w:val="0"/>
                <w:color w:val="444444"/>
                <w:sz w:val="21"/>
              </w:rPr>
              <w:t>Support:  Provide a partially completed plan; give sentence frames for each step.</w:t>
            </w:r>
          </w:p>
          <w:p>
            <w:pPr>
              <w:spacing w:after="20"/>
            </w:pPr>
            <w:r>
              <w:rPr>
                <w:rFonts w:ascii="Calibri" w:hAnsi="Calibri"/>
                <w:b w:val="0"/>
                <w:i w:val="0"/>
                <w:color w:val="444444"/>
                <w:sz w:val="21"/>
              </w:rPr>
              <w:t>Extension:  Students research and present one cybersecurity career and its skills (CS.DCS.26).</w:t>
            </w:r>
          </w:p>
          <w:p>
            <w:pPr>
              <w:spacing w:after="20"/>
            </w:pPr>
            <w:r>
              <w:rPr>
                <w:rFonts w:ascii="Calibri" w:hAnsi="Calibri"/>
                <w:b w:val="0"/>
                <w:i w:val="0"/>
                <w:color w:val="444444"/>
                <w:sz w:val="21"/>
              </w:rPr>
              <w:t>Multilingual learners:  Translate the plan labels; allow verbal responses.</w:t>
            </w:r>
          </w:p>
        </w:tc>
      </w:tr>
    </w:tbl>
    <w:p>
      <w:pPr>
        <w:spacing w:after="40"/>
      </w:pPr>
    </w:p>
    <w:p>
      <w:pPr>
        <w:pStyle w:val="Heading3"/>
      </w:pPr>
      <w:r>
        <w:t>5 · Exit Ticket  (5 min)</w:t>
      </w:r>
    </w:p>
    <w:p>
      <w:pPr>
        <w:pStyle w:val="ListParagraph"/>
        <w:spacing w:after="40"/>
        <w:numPr>
          <w:ilvl w:val="0"/>
          <w:numId w:val="1"/>
        </w:numPr>
      </w:pPr>
      <w:r>
        <w:rPr>
          <w:rFonts w:ascii="Calibri" w:hAnsi="Calibri"/>
          <w:b w:val="0"/>
          <w:i w:val="0"/>
          <w:color w:val="444444"/>
          <w:sz w:val="22"/>
        </w:rPr>
        <w:t>One digital right or responsibility I can now explain is…</w:t>
      </w:r>
    </w:p>
    <w:p>
      <w:pPr>
        <w:pStyle w:val="ListParagraph"/>
        <w:spacing w:after="40"/>
        <w:numPr>
          <w:ilvl w:val="0"/>
          <w:numId w:val="1"/>
        </w:numPr>
      </w:pPr>
      <w:r>
        <w:rPr>
          <w:rFonts w:ascii="Calibri" w:hAnsi="Calibri"/>
          <w:b w:val="0"/>
          <w:i w:val="0"/>
          <w:color w:val="444444"/>
          <w:sz w:val="22"/>
        </w:rPr>
        <w:t>One step in my incident-response plan is…</w:t>
      </w:r>
    </w:p>
    <w:p>
      <w:pPr>
        <w:pStyle w:val="ListParagraph"/>
        <w:spacing w:after="40"/>
        <w:numPr>
          <w:ilvl w:val="0"/>
          <w:numId w:val="1"/>
        </w:numPr>
      </w:pPr>
      <w:r>
        <w:rPr>
          <w:rFonts w:ascii="Calibri" w:hAnsi="Calibri"/>
          <w:b w:val="0"/>
          <w:i w:val="0"/>
          <w:color w:val="444444"/>
          <w:sz w:val="22"/>
        </w:rPr>
        <w:t>One cybersecurity career that interests me is…</w:t>
      </w:r>
    </w:p>
    <w:p>
      <w:pPr>
        <w:pStyle w:val="Heading3"/>
      </w:pPr>
      <w:r>
        <w:t>Assessment for this lesson</w:t>
      </w:r>
    </w:p>
    <w:p>
      <w:pPr>
        <w:pStyle w:val="ListParagraph"/>
        <w:spacing w:after="40"/>
        <w:numPr>
          <w:ilvl w:val="0"/>
          <w:numId w:val="1"/>
        </w:numPr>
      </w:pPr>
      <w:r>
        <w:rPr>
          <w:rFonts w:ascii="Calibri" w:hAnsi="Calibri"/>
          <w:b w:val="0"/>
          <w:i w:val="0"/>
          <w:color w:val="444444"/>
          <w:sz w:val="22"/>
        </w:rPr>
        <w:t>Accuracy of the Rights/Responsibility/Report sort with reasoning.</w:t>
      </w:r>
    </w:p>
    <w:p>
      <w:pPr>
        <w:pStyle w:val="ListParagraph"/>
        <w:spacing w:after="40"/>
        <w:numPr>
          <w:ilvl w:val="0"/>
          <w:numId w:val="1"/>
        </w:numPr>
      </w:pPr>
      <w:r>
        <w:rPr>
          <w:rFonts w:ascii="Calibri" w:hAnsi="Calibri"/>
          <w:b w:val="0"/>
          <w:i w:val="0"/>
          <w:color w:val="444444"/>
          <w:sz w:val="22"/>
        </w:rPr>
        <w:t>Clarity and usability of the Personal Incident-Response Plan.</w:t>
      </w:r>
    </w:p>
    <w:p>
      <w:pPr>
        <w:pStyle w:val="ListParagraph"/>
        <w:spacing w:after="40"/>
        <w:numPr>
          <w:ilvl w:val="0"/>
          <w:numId w:val="1"/>
        </w:numPr>
      </w:pPr>
      <w:r>
        <w:rPr>
          <w:rFonts w:ascii="Calibri" w:hAnsi="Calibri"/>
          <w:b w:val="0"/>
          <w:i w:val="0"/>
          <w:color w:val="444444"/>
          <w:sz w:val="22"/>
        </w:rPr>
        <w:t>Completed exit ticket.</w:t>
      </w:r>
    </w:p>
    <w:p>
      <w:pPr>
        <w:pStyle w:val="Heading1"/>
      </w:pPr>
      <w:r>
        <w:t>Tabletop Exercises</w:t>
      </w:r>
    </w:p>
    <w:p>
      <w:pPr>
        <w:spacing w:after="80" w:before="0"/>
      </w:pPr>
      <w:r>
        <w:rPr>
          <w:rFonts w:ascii="Calibri" w:hAnsi="Calibri"/>
          <w:b w:val="0"/>
          <w:i w:val="0"/>
          <w:color w:val="444444"/>
          <w:sz w:val="22"/>
        </w:rPr>
        <w:t>Grade 11 tabletops ask students to manage a professional identity, defend against fraud, and respond to real incidents. Each meets the SWAT delivery expectation: a real (fictional) scenario, peer discussion, modeled behavior, student practice, and reflection. Use them after the matching lesson, as advisory activities, or as review stations.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How to facilitate any tabletop</w:t>
            </w:r>
          </w:p>
          <w:p>
            <w:pPr>
              <w:spacing w:after="20"/>
            </w:pPr>
            <w:r>
              <w:rPr>
                <w:rFonts w:ascii="Calibri" w:hAnsi="Calibri"/>
                <w:b w:val="0"/>
                <w:i w:val="0"/>
                <w:color w:val="444444"/>
                <w:sz w:val="21"/>
              </w:rPr>
              <w:t>Group students in 3–4. Assign light roles: Reader, Recorder, Reporter, Timekeeper.</w:t>
            </w:r>
          </w:p>
          <w:p>
            <w:pPr>
              <w:spacing w:after="20"/>
            </w:pPr>
            <w:r>
              <w:rPr>
                <w:rFonts w:ascii="Calibri" w:hAnsi="Calibri"/>
                <w:b w:val="0"/>
                <w:i w:val="0"/>
                <w:color w:val="444444"/>
                <w:sz w:val="21"/>
              </w:rPr>
              <w:t>Read the scenario aloud once; give groups the response sheet from the appendix.</w:t>
            </w:r>
          </w:p>
          <w:p>
            <w:pPr>
              <w:spacing w:after="20"/>
            </w:pPr>
            <w:r>
              <w:rPr>
                <w:rFonts w:ascii="Calibri" w:hAnsi="Calibri"/>
                <w:b w:val="0"/>
                <w:i w:val="0"/>
                <w:color w:val="444444"/>
                <w:sz w:val="21"/>
              </w:rPr>
              <w:t>Circulate and prompt — don’t solve it for them. Keep sensitive content general.</w:t>
            </w:r>
          </w:p>
          <w:p>
            <w:pPr>
              <w:spacing w:after="20"/>
            </w:pPr>
            <w:r>
              <w:rPr>
                <w:rFonts w:ascii="Calibri" w:hAnsi="Calibri"/>
                <w:b w:val="0"/>
                <w:i w:val="0"/>
                <w:color w:val="444444"/>
                <w:sz w:val="21"/>
              </w:rPr>
              <w:t>Have 1–2 groups present one response; classmates identify what protects identity, money, or rights.</w:t>
            </w:r>
          </w:p>
          <w:p>
            <w:pPr>
              <w:spacing w:after="20"/>
            </w:pPr>
            <w:r>
              <w:rPr>
                <w:rFonts w:ascii="Calibri" w:hAnsi="Calibri"/>
                <w:b w:val="0"/>
                <w:i w:val="0"/>
                <w:color w:val="444444"/>
                <w:sz w:val="21"/>
              </w:rPr>
              <w:t>Debrief with age-appropriate language, reinforce trusted-adult reporting, and collect the evidence item.</w:t>
            </w:r>
          </w:p>
        </w:tc>
      </w:tr>
    </w:tbl>
    <w:p>
      <w:pPr>
        <w:spacing w:after="40"/>
      </w:pPr>
    </w:p>
    <w:p>
      <w:pPr>
        <w:pStyle w:val="Heading2"/>
      </w:pPr>
      <w:r>
        <w:t>Tabletop 1 — The Background Check</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11 focus</w:t>
            </w:r>
          </w:p>
        </w:tc>
        <w:tc>
          <w:tcPr>
            <w:tcW w:type="dxa" w:w="7200"/>
            <w:vAlign w:val="center"/>
          </w:tcPr>
          <w:p>
            <w:pPr>
              <w:spacing w:after="20" w:before="20"/>
            </w:pPr>
            <w:r>
              <w:rPr>
                <w:rFonts w:ascii="Calibri" w:hAnsi="Calibri"/>
                <w:b w:val="0"/>
                <w:i w:val="0"/>
                <w:color w:val="444444"/>
                <w:sz w:val="21"/>
              </w:rPr>
              <w:t>Professional digital identity, privacy, reputation for opportunity</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CS.DCS.37, CS.DCS.39, CS.DCS.19 (as applicable) · Grade 11 evidence-based discussion &amp; planning</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student is a finalist for a competitive internship. The employer says they’ll ‘look them up.’ The student has an unprofessional email, a mixed personal-and-professional feed, and no visible proof of their skills.</w:t>
            </w:r>
          </w:p>
        </w:tc>
      </w:tr>
    </w:tbl>
    <w:p>
      <w:pPr>
        <w:spacing w:after="40"/>
      </w:pPr>
    </w:p>
    <w:p>
      <w:pPr>
        <w:pStyle w:val="Heading3"/>
      </w:pPr>
      <w:r>
        <w:t>Student task — Professional Presence Fix (Appendix H)</w:t>
      </w:r>
    </w:p>
    <w:p>
      <w:pPr>
        <w:pStyle w:val="ListParagraph"/>
        <w:spacing w:after="40"/>
        <w:numPr>
          <w:ilvl w:val="0"/>
          <w:numId w:val="1"/>
        </w:numPr>
      </w:pPr>
      <w:r>
        <w:rPr>
          <w:rFonts w:ascii="Calibri" w:hAnsi="Calibri"/>
          <w:b w:val="0"/>
          <w:i w:val="0"/>
          <w:color w:val="444444"/>
          <w:sz w:val="22"/>
        </w:rPr>
        <w:t>Run the presence through the Professional Presence Check.</w:t>
      </w:r>
    </w:p>
    <w:p>
      <w:pPr>
        <w:pStyle w:val="ListParagraph"/>
        <w:spacing w:after="40"/>
        <w:numPr>
          <w:ilvl w:val="0"/>
          <w:numId w:val="1"/>
        </w:numPr>
      </w:pPr>
      <w:r>
        <w:rPr>
          <w:rFonts w:ascii="Calibri" w:hAnsi="Calibri"/>
          <w:b w:val="0"/>
          <w:i w:val="0"/>
          <w:color w:val="444444"/>
          <w:sz w:val="22"/>
        </w:rPr>
        <w:t>Identify what to fix, lock down, or build before the search.</w:t>
      </w:r>
    </w:p>
    <w:p>
      <w:pPr>
        <w:pStyle w:val="ListParagraph"/>
        <w:spacing w:after="40"/>
        <w:numPr>
          <w:ilvl w:val="0"/>
          <w:numId w:val="1"/>
        </w:numPr>
      </w:pPr>
      <w:r>
        <w:rPr>
          <w:rFonts w:ascii="Calibri" w:hAnsi="Calibri"/>
          <w:b w:val="0"/>
          <w:i w:val="0"/>
          <w:color w:val="444444"/>
          <w:sz w:val="22"/>
        </w:rPr>
        <w:t>Create a plan to add proof of skills and a professional contact point.</w:t>
      </w:r>
    </w:p>
    <w:p>
      <w:pPr>
        <w:pStyle w:val="ListParagraph"/>
        <w:spacing w:after="40"/>
        <w:numPr>
          <w:ilvl w:val="0"/>
          <w:numId w:val="1"/>
        </w:numPr>
      </w:pPr>
      <w:r>
        <w:rPr>
          <w:rFonts w:ascii="Calibri" w:hAnsi="Calibri"/>
          <w:b w:val="0"/>
          <w:i w:val="0"/>
          <w:color w:val="444444"/>
          <w:sz w:val="22"/>
        </w:rPr>
        <w:t>Identify a reference and how to ask them.</w:t>
      </w:r>
    </w:p>
    <w:p>
      <w:pPr>
        <w:pStyle w:val="Heading3"/>
      </w:pPr>
      <w:r>
        <w:t>Peer modeling</w:t>
      </w:r>
    </w:p>
    <w:p>
      <w:pPr>
        <w:spacing w:after="80" w:before="0"/>
      </w:pPr>
      <w:r>
        <w:rPr>
          <w:rFonts w:ascii="Calibri" w:hAnsi="Calibri"/>
          <w:b w:val="0"/>
          <w:i w:val="0"/>
          <w:color w:val="444444"/>
          <w:sz w:val="22"/>
        </w:rPr>
        <w:t>Each group presents one response and explains why it protects identity, money, or rights.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“Let’s get a clean email, lock the personal feed, and put one project where they can see it — then line up a reference. That turns a risky search into a reason to hire.”</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Which fixes matter most before someone searches you?</w:t>
      </w:r>
    </w:p>
    <w:p>
      <w:pPr>
        <w:pStyle w:val="ListParagraph"/>
        <w:spacing w:after="40"/>
        <w:numPr>
          <w:ilvl w:val="0"/>
          <w:numId w:val="1"/>
        </w:numPr>
      </w:pPr>
      <w:r>
        <w:rPr>
          <w:rFonts w:ascii="Calibri" w:hAnsi="Calibri"/>
          <w:b w:val="0"/>
          <w:i w:val="0"/>
          <w:color w:val="444444"/>
          <w:sz w:val="22"/>
        </w:rPr>
        <w:t>How does ‘proof of skills’ change the impression a decision-maker gets?</w:t>
      </w:r>
    </w:p>
    <w:p>
      <w:pPr>
        <w:spacing w:after="80" w:before="0"/>
      </w:pPr>
      <w:r>
        <w:rPr>
          <w:rFonts w:ascii="Calibri" w:hAnsi="Calibri"/>
          <w:b w:val="0"/>
          <w:i/>
          <w:color w:val="444444"/>
          <w:sz w:val="20"/>
        </w:rPr>
        <w:t>Evidence of completion:  Presence plan, fraud-spotting sheet, money/identity plan, incident-response plan, or exit ticket.</w:t>
      </w:r>
    </w:p>
    <w:p>
      <w:pPr>
        <w:pStyle w:val="Heading2"/>
      </w:pPr>
      <w:r>
        <w:t>Tabletop 2 — The Too-Good Job Offer</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11 focus</w:t>
            </w:r>
          </w:p>
        </w:tc>
        <w:tc>
          <w:tcPr>
            <w:tcW w:type="dxa" w:w="7200"/>
            <w:vAlign w:val="center"/>
          </w:tcPr>
          <w:p>
            <w:pPr>
              <w:spacing w:after="20" w:before="20"/>
            </w:pPr>
            <w:r>
              <w:rPr>
                <w:rFonts w:ascii="Calibri" w:hAnsi="Calibri"/>
                <w:b w:val="0"/>
                <w:i w:val="0"/>
                <w:color w:val="444444"/>
                <w:sz w:val="21"/>
              </w:rPr>
              <w:t>Financial fraud, overpayment scam, secure transactions, PII protection</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CS.DCS.25, CS.DCS.38, CS.DCS.19 (as applicable) · Grade 11 evidence-based discussion &amp; planning</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student gets a ‘remote job’ offer with easy money. The ‘employer’ sends a check to buy equipment, asks them to deposit it and send back the difference, and wants their SSN and bank login to ‘set up payroll.’</w:t>
            </w:r>
          </w:p>
        </w:tc>
      </w:tr>
    </w:tbl>
    <w:p>
      <w:pPr>
        <w:spacing w:after="40"/>
      </w:pPr>
    </w:p>
    <w:p>
      <w:pPr>
        <w:pStyle w:val="Heading3"/>
      </w:pPr>
      <w:r>
        <w:t>Student task — Fraud Response Plan (Appendix H)</w:t>
      </w:r>
    </w:p>
    <w:p>
      <w:pPr>
        <w:pStyle w:val="ListParagraph"/>
        <w:spacing w:after="40"/>
        <w:numPr>
          <w:ilvl w:val="0"/>
          <w:numId w:val="1"/>
        </w:numPr>
      </w:pPr>
      <w:r>
        <w:rPr>
          <w:rFonts w:ascii="Calibri" w:hAnsi="Calibri"/>
          <w:b w:val="0"/>
          <w:i w:val="0"/>
          <w:color w:val="444444"/>
          <w:sz w:val="22"/>
        </w:rPr>
        <w:t>Identify the scam type and the red flags.</w:t>
      </w:r>
    </w:p>
    <w:p>
      <w:pPr>
        <w:pStyle w:val="ListParagraph"/>
        <w:spacing w:after="40"/>
        <w:numPr>
          <w:ilvl w:val="0"/>
          <w:numId w:val="1"/>
        </w:numPr>
      </w:pPr>
      <w:r>
        <w:rPr>
          <w:rFonts w:ascii="Calibri" w:hAnsi="Calibri"/>
          <w:b w:val="0"/>
          <w:i w:val="0"/>
          <w:color w:val="444444"/>
          <w:sz w:val="22"/>
        </w:rPr>
        <w:t>Decide what the student should NOT do (deposit, refund, share SSN/login).</w:t>
      </w:r>
    </w:p>
    <w:p>
      <w:pPr>
        <w:pStyle w:val="ListParagraph"/>
        <w:spacing w:after="40"/>
        <w:numPr>
          <w:ilvl w:val="0"/>
          <w:numId w:val="1"/>
        </w:numPr>
      </w:pPr>
      <w:r>
        <w:rPr>
          <w:rFonts w:ascii="Calibri" w:hAnsi="Calibri"/>
          <w:b w:val="0"/>
          <w:i w:val="0"/>
          <w:color w:val="444444"/>
          <w:sz w:val="22"/>
        </w:rPr>
        <w:t>Create a verify-and-refuse plan using official channels.</w:t>
      </w:r>
    </w:p>
    <w:p>
      <w:pPr>
        <w:pStyle w:val="ListParagraph"/>
        <w:spacing w:after="40"/>
        <w:numPr>
          <w:ilvl w:val="0"/>
          <w:numId w:val="1"/>
        </w:numPr>
      </w:pPr>
      <w:r>
        <w:rPr>
          <w:rFonts w:ascii="Calibri" w:hAnsi="Calibri"/>
          <w:b w:val="0"/>
          <w:i w:val="0"/>
          <w:color w:val="444444"/>
          <w:sz w:val="22"/>
        </w:rPr>
        <w:t>Identify how and where to report it.</w:t>
      </w:r>
    </w:p>
    <w:p>
      <w:pPr>
        <w:pStyle w:val="Heading3"/>
      </w:pPr>
      <w:r>
        <w:t>Peer modeling</w:t>
      </w:r>
    </w:p>
    <w:p>
      <w:pPr>
        <w:spacing w:after="80" w:before="0"/>
      </w:pPr>
      <w:r>
        <w:rPr>
          <w:rFonts w:ascii="Calibri" w:hAnsi="Calibri"/>
          <w:b w:val="0"/>
          <w:i w:val="0"/>
          <w:color w:val="444444"/>
          <w:sz w:val="22"/>
        </w:rPr>
        <w:t>Each group presents one response and explains why it protects identity, money, or rights.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“Real jobs don’t pay you first and ask for money back, and they never need my bank login or SSN by message. I’ll verify the company directly and report this.”</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Why is ‘deposit this and send back the difference’ always a scam?</w:t>
      </w:r>
    </w:p>
    <w:p>
      <w:pPr>
        <w:pStyle w:val="ListParagraph"/>
        <w:spacing w:after="40"/>
        <w:numPr>
          <w:ilvl w:val="0"/>
          <w:numId w:val="1"/>
        </w:numPr>
      </w:pPr>
      <w:r>
        <w:rPr>
          <w:rFonts w:ascii="Calibri" w:hAnsi="Calibri"/>
          <w:b w:val="0"/>
          <w:i w:val="0"/>
          <w:color w:val="444444"/>
          <w:sz w:val="22"/>
        </w:rPr>
        <w:t>What information should never be shared to ‘set up’ a job?</w:t>
      </w:r>
    </w:p>
    <w:p>
      <w:pPr>
        <w:spacing w:after="80" w:before="0"/>
      </w:pPr>
      <w:r>
        <w:rPr>
          <w:rFonts w:ascii="Calibri" w:hAnsi="Calibri"/>
          <w:b w:val="0"/>
          <w:i/>
          <w:color w:val="444444"/>
          <w:sz w:val="20"/>
        </w:rPr>
        <w:t>Evidence of completion:  Presence plan, fraud-spotting sheet, money/identity plan, incident-response plan, or exit ticket.</w:t>
      </w:r>
    </w:p>
    <w:p>
      <w:pPr>
        <w:pStyle w:val="Heading2"/>
      </w:pPr>
      <w:r>
        <w:t>Tabletop 3 — The Data Breach Notice</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11 focus</w:t>
            </w:r>
          </w:p>
        </w:tc>
        <w:tc>
          <w:tcPr>
            <w:tcW w:type="dxa" w:w="7200"/>
            <w:vAlign w:val="center"/>
          </w:tcPr>
          <w:p>
            <w:pPr>
              <w:spacing w:after="20" w:before="20"/>
            </w:pPr>
            <w:r>
              <w:rPr>
                <w:rFonts w:ascii="Calibri" w:hAnsi="Calibri"/>
                <w:b w:val="0"/>
                <w:i w:val="0"/>
                <w:color w:val="444444"/>
                <w:sz w:val="21"/>
              </w:rPr>
              <w:t>Identity protection, incident response, secure recovery</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CS.DCS.25, CS.DCS.38, CS.DCS.19 (as applicable) · Grade 11 evidence-based discussion &amp; planning</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student gets a notice that a service they use was breached and their email, password, and some personal info may be exposed. They reused that password on other accounts.</w:t>
            </w:r>
          </w:p>
        </w:tc>
      </w:tr>
    </w:tbl>
    <w:p>
      <w:pPr>
        <w:spacing w:after="40"/>
      </w:pPr>
    </w:p>
    <w:p>
      <w:pPr>
        <w:pStyle w:val="Heading3"/>
      </w:pPr>
      <w:r>
        <w:t>Student task — Incident-Response Plan (Appendix H)</w:t>
      </w:r>
    </w:p>
    <w:p>
      <w:pPr>
        <w:pStyle w:val="ListParagraph"/>
        <w:spacing w:after="40"/>
        <w:numPr>
          <w:ilvl w:val="0"/>
          <w:numId w:val="1"/>
        </w:numPr>
      </w:pPr>
      <w:r>
        <w:rPr>
          <w:rFonts w:ascii="Calibri" w:hAnsi="Calibri"/>
          <w:b w:val="0"/>
          <w:i w:val="0"/>
          <w:color w:val="444444"/>
          <w:sz w:val="22"/>
        </w:rPr>
        <w:t>Identify the immediate risks of the breach.</w:t>
      </w:r>
    </w:p>
    <w:p>
      <w:pPr>
        <w:pStyle w:val="ListParagraph"/>
        <w:spacing w:after="40"/>
        <w:numPr>
          <w:ilvl w:val="0"/>
          <w:numId w:val="1"/>
        </w:numPr>
      </w:pPr>
      <w:r>
        <w:rPr>
          <w:rFonts w:ascii="Calibri" w:hAnsi="Calibri"/>
          <w:b w:val="0"/>
          <w:i w:val="0"/>
          <w:color w:val="444444"/>
          <w:sz w:val="22"/>
        </w:rPr>
        <w:t>Decide the contain steps (change passwords, enable MFA, watch accounts).</w:t>
      </w:r>
    </w:p>
    <w:p>
      <w:pPr>
        <w:pStyle w:val="ListParagraph"/>
        <w:spacing w:after="40"/>
        <w:numPr>
          <w:ilvl w:val="0"/>
          <w:numId w:val="1"/>
        </w:numPr>
      </w:pPr>
      <w:r>
        <w:rPr>
          <w:rFonts w:ascii="Calibri" w:hAnsi="Calibri"/>
          <w:b w:val="0"/>
          <w:i w:val="0"/>
          <w:color w:val="444444"/>
          <w:sz w:val="22"/>
        </w:rPr>
        <w:t>Create a recovery and monitoring plan (unique passwords, credit freeze if needed).</w:t>
      </w:r>
    </w:p>
    <w:p>
      <w:pPr>
        <w:pStyle w:val="ListParagraph"/>
        <w:spacing w:after="40"/>
        <w:numPr>
          <w:ilvl w:val="0"/>
          <w:numId w:val="1"/>
        </w:numPr>
      </w:pPr>
      <w:r>
        <w:rPr>
          <w:rFonts w:ascii="Calibri" w:hAnsi="Calibri"/>
          <w:b w:val="0"/>
          <w:i w:val="0"/>
          <w:color w:val="444444"/>
          <w:sz w:val="22"/>
        </w:rPr>
        <w:t>Identify who to tell and what to preserve.</w:t>
      </w:r>
    </w:p>
    <w:p>
      <w:pPr>
        <w:pStyle w:val="Heading3"/>
      </w:pPr>
      <w:r>
        <w:t>Peer modeling</w:t>
      </w:r>
    </w:p>
    <w:p>
      <w:pPr>
        <w:spacing w:after="80" w:before="0"/>
      </w:pPr>
      <w:r>
        <w:rPr>
          <w:rFonts w:ascii="Calibri" w:hAnsi="Calibri"/>
          <w:b w:val="0"/>
          <w:i w:val="0"/>
          <w:color w:val="444444"/>
          <w:sz w:val="22"/>
        </w:rPr>
        <w:t>Each group presents one response and explains why it protects identity, money, or rights.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“Reused password means I change it everywhere, turn on MFA, and watch my accounts. I’ll save the notice, tell a trusted adult, and freeze credit if my identity info was exposed.”</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Why does one reused password turn a small breach into a big one?</w:t>
      </w:r>
    </w:p>
    <w:p>
      <w:pPr>
        <w:pStyle w:val="ListParagraph"/>
        <w:spacing w:after="40"/>
        <w:numPr>
          <w:ilvl w:val="0"/>
          <w:numId w:val="1"/>
        </w:numPr>
      </w:pPr>
      <w:r>
        <w:rPr>
          <w:rFonts w:ascii="Calibri" w:hAnsi="Calibri"/>
          <w:b w:val="0"/>
          <w:i w:val="0"/>
          <w:color w:val="444444"/>
          <w:sz w:val="22"/>
        </w:rPr>
        <w:t>What’s the difference between containing and recovering from an incident?</w:t>
      </w:r>
    </w:p>
    <w:p>
      <w:pPr>
        <w:spacing w:after="80" w:before="0"/>
      </w:pPr>
      <w:r>
        <w:rPr>
          <w:rFonts w:ascii="Calibri" w:hAnsi="Calibri"/>
          <w:b w:val="0"/>
          <w:i/>
          <w:color w:val="444444"/>
          <w:sz w:val="20"/>
        </w:rPr>
        <w:t>Evidence of completion:  Presence plan, fraud-spotting sheet, money/identity plan, incident-response plan, or exit ticket.</w:t>
      </w:r>
    </w:p>
    <w:p>
      <w:pPr>
        <w:pStyle w:val="Heading2"/>
      </w:pPr>
      <w:r>
        <w:t>Tabletop 4 — The Rights &amp; Responsibility Case</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11 focus</w:t>
            </w:r>
          </w:p>
        </w:tc>
        <w:tc>
          <w:tcPr>
            <w:tcW w:type="dxa" w:w="7200"/>
            <w:vAlign w:val="center"/>
          </w:tcPr>
          <w:p>
            <w:pPr>
              <w:spacing w:after="20" w:before="20"/>
            </w:pPr>
            <w:r>
              <w:rPr>
                <w:rFonts w:ascii="Calibri" w:hAnsi="Calibri"/>
                <w:b w:val="0"/>
                <w:i w:val="0"/>
                <w:color w:val="444444"/>
                <w:sz w:val="21"/>
              </w:rPr>
              <w:t>Digital rights, legal responsibility, consequences, reporting</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CS.DCS.37, CS.DCS.39, CS.DCS.19 (as applicable) · Grade 11 evidence-based discussion &amp; planning</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near-adult student faces a choice: agree to a service’s terms without reading, reshare something that may be defamatory or harassing, or use copyrighted or AI-generated work without permission or disclosure — each with real legal weight now.</w:t>
            </w:r>
          </w:p>
        </w:tc>
      </w:tr>
    </w:tbl>
    <w:p>
      <w:pPr>
        <w:spacing w:after="40"/>
      </w:pPr>
    </w:p>
    <w:p>
      <w:pPr>
        <w:pStyle w:val="Heading3"/>
      </w:pPr>
      <w:r>
        <w:t>Student task — Rights &amp; Responsibility Analysis (Appendix H)</w:t>
      </w:r>
    </w:p>
    <w:p>
      <w:pPr>
        <w:pStyle w:val="ListParagraph"/>
        <w:spacing w:after="40"/>
        <w:numPr>
          <w:ilvl w:val="0"/>
          <w:numId w:val="1"/>
        </w:numPr>
      </w:pPr>
      <w:r>
        <w:rPr>
          <w:rFonts w:ascii="Calibri" w:hAnsi="Calibri"/>
          <w:b w:val="0"/>
          <w:i w:val="0"/>
          <w:color w:val="444444"/>
          <w:sz w:val="22"/>
        </w:rPr>
        <w:t>Identify the right, the responsibility, and the possible consequence in each option.</w:t>
      </w:r>
    </w:p>
    <w:p>
      <w:pPr>
        <w:pStyle w:val="ListParagraph"/>
        <w:spacing w:after="40"/>
        <w:numPr>
          <w:ilvl w:val="0"/>
          <w:numId w:val="1"/>
        </w:numPr>
      </w:pPr>
      <w:r>
        <w:rPr>
          <w:rFonts w:ascii="Calibri" w:hAnsi="Calibri"/>
          <w:b w:val="0"/>
          <w:i w:val="0"/>
          <w:color w:val="444444"/>
          <w:sz w:val="22"/>
        </w:rPr>
        <w:t>Decide the responsible action and explain the legal reasoning in plain terms.</w:t>
      </w:r>
    </w:p>
    <w:p>
      <w:pPr>
        <w:pStyle w:val="ListParagraph"/>
        <w:spacing w:after="40"/>
        <w:numPr>
          <w:ilvl w:val="0"/>
          <w:numId w:val="1"/>
        </w:numPr>
      </w:pPr>
      <w:r>
        <w:rPr>
          <w:rFonts w:ascii="Calibri" w:hAnsi="Calibri"/>
          <w:b w:val="0"/>
          <w:i w:val="0"/>
          <w:color w:val="444444"/>
          <w:sz w:val="22"/>
        </w:rPr>
        <w:t>Identify what would cross into something to report.</w:t>
      </w:r>
    </w:p>
    <w:p>
      <w:pPr>
        <w:pStyle w:val="ListParagraph"/>
        <w:spacing w:after="40"/>
        <w:numPr>
          <w:ilvl w:val="0"/>
          <w:numId w:val="1"/>
        </w:numPr>
      </w:pPr>
      <w:r>
        <w:rPr>
          <w:rFonts w:ascii="Calibri" w:hAnsi="Calibri"/>
          <w:b w:val="0"/>
          <w:i w:val="0"/>
          <w:color w:val="444444"/>
          <w:sz w:val="22"/>
        </w:rPr>
        <w:t>Note where to get help with a real legal question.</w:t>
      </w:r>
    </w:p>
    <w:p>
      <w:pPr>
        <w:pStyle w:val="Heading3"/>
      </w:pPr>
      <w:r>
        <w:t>Peer modeling</w:t>
      </w:r>
    </w:p>
    <w:p>
      <w:pPr>
        <w:spacing w:after="80" w:before="0"/>
      </w:pPr>
      <w:r>
        <w:rPr>
          <w:rFonts w:ascii="Calibri" w:hAnsi="Calibri"/>
          <w:b w:val="0"/>
          <w:i w:val="0"/>
          <w:color w:val="444444"/>
          <w:sz w:val="22"/>
        </w:rPr>
        <w:t>Each group presents one response and explains why it protects identity, money, or rights.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“Now that I’m nearly an adult, ‘I didn’t read it’ isn’t a defense. I check what I’m agreeing to, respect others’ rights and work, and report anything that crosses into harassment or fraud.”</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What changes legally as students approach 18?</w:t>
      </w:r>
    </w:p>
    <w:p>
      <w:pPr>
        <w:pStyle w:val="ListParagraph"/>
        <w:spacing w:after="40"/>
        <w:numPr>
          <w:ilvl w:val="0"/>
          <w:numId w:val="1"/>
        </w:numPr>
      </w:pPr>
      <w:r>
        <w:rPr>
          <w:rFonts w:ascii="Calibri" w:hAnsi="Calibri"/>
          <w:b w:val="0"/>
          <w:i w:val="0"/>
          <w:color w:val="444444"/>
          <w:sz w:val="22"/>
        </w:rPr>
        <w:t>When is something a personal choice, and when is it a legal responsibility?</w:t>
      </w:r>
    </w:p>
    <w:p>
      <w:pPr>
        <w:spacing w:after="80" w:before="0"/>
      </w:pPr>
      <w:r>
        <w:rPr>
          <w:rFonts w:ascii="Calibri" w:hAnsi="Calibri"/>
          <w:b w:val="0"/>
          <w:i/>
          <w:color w:val="444444"/>
          <w:sz w:val="20"/>
        </w:rPr>
        <w:t>Evidence of completion:  Presence plan, fraud-spotting sheet, money/identity plan, incident-response plan, or exit ticket.</w:t>
      </w:r>
    </w:p>
    <w:p>
      <w:pPr>
        <w:pStyle w:val="Heading1"/>
      </w:pPr>
      <w:r>
        <w:t>Assessment Toolkit</w:t>
      </w:r>
    </w:p>
    <w:p>
      <w:pPr>
        <w:spacing w:after="80" w:before="0"/>
      </w:pPr>
      <w:r>
        <w:rPr>
          <w:rFonts w:ascii="Calibri" w:hAnsi="Calibri"/>
          <w:b w:val="0"/>
          <w:i w:val="0"/>
          <w:color w:val="444444"/>
          <w:sz w:val="22"/>
        </w:rPr>
        <w:t>Use any combination below. All are low-stakes and formative — the goal is evidence that students can build a professional identity, defend their money and information, and respond like a cyber-ready near-adult.</w:t>
      </w:r>
    </w:p>
    <w:p>
      <w:pPr>
        <w:pStyle w:val="Heading2"/>
      </w:pPr>
      <w:r>
        <w:t>Option 1 — Unit Exit Ticket</w:t>
      </w:r>
    </w:p>
    <w:p>
      <w:pPr>
        <w:spacing w:after="80" w:before="0"/>
      </w:pPr>
      <w:r>
        <w:rPr>
          <w:rFonts w:ascii="Calibri" w:hAnsi="Calibri"/>
          <w:b w:val="0"/>
          <w:i w:val="0"/>
          <w:color w:val="444444"/>
          <w:sz w:val="22"/>
        </w:rPr>
        <w:t>Students answer:</w:t>
      </w:r>
    </w:p>
    <w:p>
      <w:pPr>
        <w:pStyle w:val="ListParagraph"/>
        <w:spacing w:after="40"/>
        <w:numPr>
          <w:ilvl w:val="0"/>
          <w:numId w:val="1"/>
        </w:numPr>
      </w:pPr>
      <w:r>
        <w:rPr>
          <w:rFonts w:ascii="Calibri" w:hAnsi="Calibri"/>
          <w:b w:val="0"/>
          <w:i w:val="0"/>
          <w:color w:val="444444"/>
          <w:sz w:val="22"/>
        </w:rPr>
        <w:t>One professional-presence upgrade I’ll make is…</w:t>
      </w:r>
    </w:p>
    <w:p>
      <w:pPr>
        <w:pStyle w:val="ListParagraph"/>
        <w:spacing w:after="40"/>
        <w:numPr>
          <w:ilvl w:val="0"/>
          <w:numId w:val="1"/>
        </w:numPr>
      </w:pPr>
      <w:r>
        <w:rPr>
          <w:rFonts w:ascii="Calibri" w:hAnsi="Calibri"/>
          <w:b w:val="0"/>
          <w:i w:val="0"/>
          <w:color w:val="444444"/>
          <w:sz w:val="22"/>
        </w:rPr>
        <w:t>One scam or identity-theft risk I can now spot is…</w:t>
      </w:r>
    </w:p>
    <w:p>
      <w:pPr>
        <w:pStyle w:val="ListParagraph"/>
        <w:spacing w:after="40"/>
        <w:numPr>
          <w:ilvl w:val="0"/>
          <w:numId w:val="1"/>
        </w:numPr>
      </w:pPr>
      <w:r>
        <w:rPr>
          <w:rFonts w:ascii="Calibri" w:hAnsi="Calibri"/>
          <w:b w:val="0"/>
          <w:i w:val="0"/>
          <w:color w:val="444444"/>
          <w:sz w:val="22"/>
        </w:rPr>
        <w:t>One secure-transaction or PII-protection habit I use is…</w:t>
      </w:r>
    </w:p>
    <w:p>
      <w:pPr>
        <w:pStyle w:val="ListParagraph"/>
        <w:spacing w:after="40"/>
        <w:numPr>
          <w:ilvl w:val="0"/>
          <w:numId w:val="1"/>
        </w:numPr>
      </w:pPr>
      <w:r>
        <w:rPr>
          <w:rFonts w:ascii="Calibri" w:hAnsi="Calibri"/>
          <w:b w:val="0"/>
          <w:i w:val="0"/>
          <w:color w:val="444444"/>
          <w:sz w:val="22"/>
        </w:rPr>
        <w:t>One step in my incident-response plan — and one cyber career that interests me — is…</w:t>
      </w:r>
    </w:p>
    <w:p>
      <w:pPr>
        <w:pStyle w:val="Heading2"/>
      </w:pPr>
      <w:r>
        <w:t>Option 2 — Group Scenario Rubric</w:t>
      </w:r>
    </w:p>
    <w:p>
      <w:pPr>
        <w:spacing w:after="80" w:before="0"/>
      </w:pPr>
      <w:r>
        <w:rPr>
          <w:rFonts w:ascii="Calibri" w:hAnsi="Calibri"/>
          <w:b w:val="0"/>
          <w:i w:val="0"/>
          <w:color w:val="444444"/>
          <w:sz w:val="22"/>
        </w:rPr>
        <w:t>Score group performance on any scenario or tabletop. A “Developing” column tracks growth, not just pass/fail.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E3048"/>
            <w:vAlign w:val="center"/>
          </w:tcPr>
          <w:p>
            <w:pPr>
              <w:spacing w:after="20" w:before="20"/>
            </w:pPr>
            <w:r>
              <w:rPr>
                <w:rFonts w:ascii="Calibri" w:hAnsi="Calibri"/>
                <w:b/>
                <w:i w:val="0"/>
                <w:color w:val="FFFFFF"/>
                <w:sz w:val="21"/>
              </w:rPr>
              <w:t>Criteria</w:t>
            </w:r>
          </w:p>
        </w:tc>
        <w:tc>
          <w:tcPr>
            <w:tcW w:type="dxa" w:w="2448"/>
            <w:shd w:val="clear" w:color="auto" w:fill="1E3048"/>
            <w:vAlign w:val="center"/>
          </w:tcPr>
          <w:p>
            <w:pPr>
              <w:spacing w:after="20" w:before="20"/>
            </w:pPr>
            <w:r>
              <w:rPr>
                <w:rFonts w:ascii="Calibri" w:hAnsi="Calibri"/>
                <w:b/>
                <w:i w:val="0"/>
                <w:color w:val="FFFFFF"/>
                <w:sz w:val="21"/>
              </w:rPr>
              <w:t>Meets expectation</w:t>
            </w:r>
          </w:p>
        </w:tc>
        <w:tc>
          <w:tcPr>
            <w:tcW w:type="dxa" w:w="2304"/>
            <w:shd w:val="clear" w:color="auto" w:fill="1E3048"/>
            <w:vAlign w:val="center"/>
          </w:tcPr>
          <w:p>
            <w:pPr>
              <w:spacing w:after="20" w:before="20"/>
            </w:pPr>
            <w:r>
              <w:rPr>
                <w:rFonts w:ascii="Calibri" w:hAnsi="Calibri"/>
                <w:b/>
                <w:i w:val="0"/>
                <w:color w:val="FFFFFF"/>
                <w:sz w:val="21"/>
              </w:rPr>
              <w:t>Developing</w:t>
            </w:r>
          </w:p>
        </w:tc>
        <w:tc>
          <w:tcPr>
            <w:tcW w:type="dxa" w:w="2160"/>
            <w:shd w:val="clear" w:color="auto" w:fill="1E3048"/>
            <w:vAlign w:val="center"/>
          </w:tcPr>
          <w:p>
            <w:pPr>
              <w:spacing w:after="20" w:before="20"/>
            </w:pPr>
            <w:r>
              <w:rPr>
                <w:rFonts w:ascii="Calibri" w:hAnsi="Calibri"/>
                <w:b/>
                <w:i w:val="0"/>
                <w:color w:val="FFFFFF"/>
                <w:sz w:val="21"/>
              </w:rPr>
              <w:t>Needs support</w:t>
            </w:r>
          </w:p>
        </w:tc>
      </w:tr>
      <w:tr>
        <w:tc>
          <w:tcPr>
            <w:tcW w:type="dxa" w:w="2304"/>
            <w:vAlign w:val="center"/>
          </w:tcPr>
          <w:p>
            <w:pPr>
              <w:spacing w:after="20" w:before="20"/>
            </w:pPr>
            <w:r>
              <w:rPr>
                <w:rFonts w:ascii="Calibri" w:hAnsi="Calibri"/>
                <w:b w:val="0"/>
                <w:i w:val="0"/>
                <w:color w:val="444444"/>
                <w:sz w:val="20"/>
              </w:rPr>
              <w:t>Identifies risk &amp; stakes</w:t>
            </w:r>
          </w:p>
        </w:tc>
        <w:tc>
          <w:tcPr>
            <w:tcW w:type="dxa" w:w="2448"/>
            <w:vAlign w:val="center"/>
          </w:tcPr>
          <w:p>
            <w:pPr>
              <w:spacing w:after="20" w:before="20"/>
            </w:pPr>
            <w:r>
              <w:rPr>
                <w:rFonts w:ascii="Calibri" w:hAnsi="Calibri"/>
                <w:b w:val="0"/>
                <w:i w:val="0"/>
                <w:color w:val="444444"/>
                <w:sz w:val="20"/>
              </w:rPr>
              <w:t>Clearly names the fraud, risk, or right at stake</w:t>
            </w:r>
          </w:p>
        </w:tc>
        <w:tc>
          <w:tcPr>
            <w:tcW w:type="dxa" w:w="2304"/>
            <w:vAlign w:val="center"/>
          </w:tcPr>
          <w:p>
            <w:pPr>
              <w:spacing w:after="20" w:before="20"/>
            </w:pPr>
            <w:r>
              <w:rPr>
                <w:rFonts w:ascii="Calibri" w:hAnsi="Calibri"/>
                <w:b w:val="0"/>
                <w:i w:val="0"/>
                <w:color w:val="444444"/>
                <w:sz w:val="20"/>
              </w:rPr>
              <w:t>Names some with prompting</w:t>
            </w:r>
          </w:p>
        </w:tc>
        <w:tc>
          <w:tcPr>
            <w:tcW w:type="dxa" w:w="2160"/>
            <w:vAlign w:val="center"/>
          </w:tcPr>
          <w:p>
            <w:pPr>
              <w:spacing w:after="20" w:before="20"/>
            </w:pPr>
            <w:r>
              <w:rPr>
                <w:rFonts w:ascii="Calibri" w:hAnsi="Calibri"/>
                <w:b w:val="0"/>
                <w:i w:val="0"/>
                <w:color w:val="444444"/>
                <w:sz w:val="20"/>
              </w:rPr>
              <w:t>Misses or misreads the issue</w:t>
            </w:r>
          </w:p>
        </w:tc>
      </w:tr>
      <w:tr>
        <w:tc>
          <w:tcPr>
            <w:tcW w:type="dxa" w:w="2304"/>
            <w:vAlign w:val="center"/>
          </w:tcPr>
          <w:p>
            <w:pPr>
              <w:spacing w:after="20" w:before="20"/>
            </w:pPr>
            <w:r>
              <w:rPr>
                <w:rFonts w:ascii="Calibri" w:hAnsi="Calibri"/>
                <w:b w:val="0"/>
                <w:i w:val="0"/>
                <w:color w:val="444444"/>
                <w:sz w:val="20"/>
              </w:rPr>
              <w:t>Chooses a secure / responsible action</w:t>
            </w:r>
          </w:p>
        </w:tc>
        <w:tc>
          <w:tcPr>
            <w:tcW w:type="dxa" w:w="2448"/>
            <w:vAlign w:val="center"/>
          </w:tcPr>
          <w:p>
            <w:pPr>
              <w:spacing w:after="20" w:before="20"/>
            </w:pPr>
            <w:r>
              <w:rPr>
                <w:rFonts w:ascii="Calibri" w:hAnsi="Calibri"/>
                <w:b w:val="0"/>
                <w:i w:val="0"/>
                <w:color w:val="444444"/>
                <w:sz w:val="20"/>
              </w:rPr>
              <w:t>Chooses a safe, verified, lawful response</w:t>
            </w:r>
          </w:p>
        </w:tc>
        <w:tc>
          <w:tcPr>
            <w:tcW w:type="dxa" w:w="2304"/>
            <w:vAlign w:val="center"/>
          </w:tcPr>
          <w:p>
            <w:pPr>
              <w:spacing w:after="20" w:before="20"/>
            </w:pPr>
            <w:r>
              <w:rPr>
                <w:rFonts w:ascii="Calibri" w:hAnsi="Calibri"/>
                <w:b w:val="0"/>
                <w:i w:val="0"/>
                <w:color w:val="444444"/>
                <w:sz w:val="20"/>
              </w:rPr>
              <w:t>Chooses a mostly safe response</w:t>
            </w:r>
          </w:p>
        </w:tc>
        <w:tc>
          <w:tcPr>
            <w:tcW w:type="dxa" w:w="2160"/>
            <w:vAlign w:val="center"/>
          </w:tcPr>
          <w:p>
            <w:pPr>
              <w:spacing w:after="20" w:before="20"/>
            </w:pPr>
            <w:r>
              <w:rPr>
                <w:rFonts w:ascii="Calibri" w:hAnsi="Calibri"/>
                <w:b w:val="0"/>
                <w:i w:val="0"/>
                <w:color w:val="444444"/>
                <w:sz w:val="20"/>
              </w:rPr>
              <w:t>Chooses a response that exposes harm</w:t>
            </w:r>
          </w:p>
        </w:tc>
      </w:tr>
      <w:tr>
        <w:tc>
          <w:tcPr>
            <w:tcW w:type="dxa" w:w="2304"/>
            <w:vAlign w:val="center"/>
          </w:tcPr>
          <w:p>
            <w:pPr>
              <w:spacing w:after="20" w:before="20"/>
            </w:pPr>
            <w:r>
              <w:rPr>
                <w:rFonts w:ascii="Calibri" w:hAnsi="Calibri"/>
                <w:b w:val="0"/>
                <w:i w:val="0"/>
                <w:color w:val="444444"/>
                <w:sz w:val="20"/>
              </w:rPr>
              <w:t>Builds plan / presence / response</w:t>
            </w:r>
          </w:p>
        </w:tc>
        <w:tc>
          <w:tcPr>
            <w:tcW w:type="dxa" w:w="2448"/>
            <w:vAlign w:val="center"/>
          </w:tcPr>
          <w:p>
            <w:pPr>
              <w:spacing w:after="20" w:before="20"/>
            </w:pPr>
            <w:r>
              <w:rPr>
                <w:rFonts w:ascii="Calibri" w:hAnsi="Calibri"/>
                <w:b w:val="0"/>
                <w:i w:val="0"/>
                <w:color w:val="444444"/>
                <w:sz w:val="20"/>
              </w:rPr>
              <w:t>Creates a clear, usable plan or presence</w:t>
            </w:r>
          </w:p>
        </w:tc>
        <w:tc>
          <w:tcPr>
            <w:tcW w:type="dxa" w:w="2304"/>
            <w:vAlign w:val="center"/>
          </w:tcPr>
          <w:p>
            <w:pPr>
              <w:spacing w:after="20" w:before="20"/>
            </w:pPr>
            <w:r>
              <w:rPr>
                <w:rFonts w:ascii="Calibri" w:hAnsi="Calibri"/>
                <w:b w:val="0"/>
                <w:i w:val="0"/>
                <w:color w:val="444444"/>
                <w:sz w:val="20"/>
              </w:rPr>
              <w:t>Partial or unclear</w:t>
            </w:r>
          </w:p>
        </w:tc>
        <w:tc>
          <w:tcPr>
            <w:tcW w:type="dxa" w:w="2160"/>
            <w:vAlign w:val="center"/>
          </w:tcPr>
          <w:p>
            <w:pPr>
              <w:spacing w:after="20" w:before="20"/>
            </w:pPr>
            <w:r>
              <w:rPr>
                <w:rFonts w:ascii="Calibri" w:hAnsi="Calibri"/>
                <w:b w:val="0"/>
                <w:i w:val="0"/>
                <w:color w:val="444444"/>
                <w:sz w:val="20"/>
              </w:rPr>
              <w:t>No usable product</w:t>
            </w:r>
          </w:p>
        </w:tc>
      </w:tr>
      <w:tr>
        <w:tc>
          <w:tcPr>
            <w:tcW w:type="dxa" w:w="2304"/>
            <w:vAlign w:val="center"/>
          </w:tcPr>
          <w:p>
            <w:pPr>
              <w:spacing w:after="20" w:before="20"/>
            </w:pPr>
            <w:r>
              <w:rPr>
                <w:rFonts w:ascii="Calibri" w:hAnsi="Calibri"/>
                <w:b w:val="0"/>
                <w:i w:val="0"/>
                <w:color w:val="444444"/>
                <w:sz w:val="20"/>
              </w:rPr>
              <w:t>Involves help / reporting</w:t>
            </w:r>
          </w:p>
        </w:tc>
        <w:tc>
          <w:tcPr>
            <w:tcW w:type="dxa" w:w="2448"/>
            <w:vAlign w:val="center"/>
          </w:tcPr>
          <w:p>
            <w:pPr>
              <w:spacing w:after="20" w:before="20"/>
            </w:pPr>
            <w:r>
              <w:rPr>
                <w:rFonts w:ascii="Calibri" w:hAnsi="Calibri"/>
                <w:b w:val="0"/>
                <w:i w:val="0"/>
                <w:color w:val="444444"/>
                <w:sz w:val="20"/>
              </w:rPr>
              <w:t>Names an adult and a reporting route</w:t>
            </w:r>
          </w:p>
        </w:tc>
        <w:tc>
          <w:tcPr>
            <w:tcW w:type="dxa" w:w="2304"/>
            <w:vAlign w:val="center"/>
          </w:tcPr>
          <w:p>
            <w:pPr>
              <w:spacing w:after="20" w:before="20"/>
            </w:pPr>
            <w:r>
              <w:rPr>
                <w:rFonts w:ascii="Calibri" w:hAnsi="Calibri"/>
                <w:b w:val="0"/>
                <w:i w:val="0"/>
                <w:color w:val="444444"/>
                <w:sz w:val="20"/>
              </w:rPr>
              <w:t>Names one help step</w:t>
            </w:r>
          </w:p>
        </w:tc>
        <w:tc>
          <w:tcPr>
            <w:tcW w:type="dxa" w:w="2160"/>
            <w:vAlign w:val="center"/>
          </w:tcPr>
          <w:p>
            <w:pPr>
              <w:spacing w:after="20" w:before="20"/>
            </w:pPr>
            <w:r>
              <w:rPr>
                <w:rFonts w:ascii="Calibri" w:hAnsi="Calibri"/>
                <w:b w:val="0"/>
                <w:i w:val="0"/>
                <w:color w:val="444444"/>
                <w:sz w:val="20"/>
              </w:rPr>
              <w:t>Does not identify a help step</w:t>
            </w:r>
          </w:p>
        </w:tc>
      </w:tr>
      <w:tr>
        <w:tc>
          <w:tcPr>
            <w:tcW w:type="dxa" w:w="2304"/>
            <w:vAlign w:val="center"/>
          </w:tcPr>
          <w:p>
            <w:pPr>
              <w:spacing w:after="20" w:before="20"/>
            </w:pPr>
            <w:r>
              <w:rPr>
                <w:rFonts w:ascii="Calibri" w:hAnsi="Calibri"/>
                <w:b w:val="0"/>
                <w:i w:val="0"/>
                <w:color w:val="444444"/>
                <w:sz w:val="20"/>
              </w:rPr>
              <w:t>Explains reasoning</w:t>
            </w:r>
          </w:p>
        </w:tc>
        <w:tc>
          <w:tcPr>
            <w:tcW w:type="dxa" w:w="2448"/>
            <w:vAlign w:val="center"/>
          </w:tcPr>
          <w:p>
            <w:pPr>
              <w:spacing w:after="20" w:before="20"/>
            </w:pPr>
            <w:r>
              <w:rPr>
                <w:rFonts w:ascii="Calibri" w:hAnsi="Calibri"/>
                <w:b w:val="0"/>
                <w:i w:val="0"/>
                <w:color w:val="444444"/>
                <w:sz w:val="20"/>
              </w:rPr>
              <w:t>Explains checks and choices clearly</w:t>
            </w:r>
          </w:p>
        </w:tc>
        <w:tc>
          <w:tcPr>
            <w:tcW w:type="dxa" w:w="2304"/>
            <w:vAlign w:val="center"/>
          </w:tcPr>
          <w:p>
            <w:pPr>
              <w:spacing w:after="20" w:before="20"/>
            </w:pPr>
            <w:r>
              <w:rPr>
                <w:rFonts w:ascii="Calibri" w:hAnsi="Calibri"/>
                <w:b w:val="0"/>
                <w:i w:val="0"/>
                <w:color w:val="444444"/>
                <w:sz w:val="20"/>
              </w:rPr>
              <w:t>Approximate reasoning</w:t>
            </w:r>
          </w:p>
        </w:tc>
        <w:tc>
          <w:tcPr>
            <w:tcW w:type="dxa" w:w="2160"/>
            <w:vAlign w:val="center"/>
          </w:tcPr>
          <w:p>
            <w:pPr>
              <w:spacing w:after="20" w:before="20"/>
            </w:pPr>
            <w:r>
              <w:rPr>
                <w:rFonts w:ascii="Calibri" w:hAnsi="Calibri"/>
                <w:b w:val="0"/>
                <w:i w:val="0"/>
                <w:color w:val="444444"/>
                <w:sz w:val="20"/>
              </w:rPr>
              <w:t>Needs support explaining</w:t>
            </w:r>
          </w:p>
        </w:tc>
      </w:tr>
    </w:tbl>
    <w:p>
      <w:pPr>
        <w:spacing w:after="40"/>
      </w:pPr>
    </w:p>
    <w:p>
      <w:pPr>
        <w:spacing w:after="80" w:before="0"/>
      </w:pPr>
      <w:r>
        <w:rPr>
          <w:rFonts w:ascii="Calibri" w:hAnsi="Calibri"/>
          <w:b w:val="0"/>
          <w:i/>
          <w:color w:val="444444"/>
          <w:sz w:val="20"/>
        </w:rPr>
        <w:t>This matches the SWAT delivery expectation — students observe, discuss, practice, and reflect rather than only listen. The model draws on Bandura’s observational learning: attention, retention, production/practice, and motivation.</w:t>
      </w:r>
    </w:p>
    <w:p>
      <w:pPr>
        <w:pStyle w:val="Heading1"/>
      </w:pPr>
      <w:r>
        <w:t>SWAT Instructional Delivery Checklist</w:t>
      </w:r>
    </w:p>
    <w:p>
      <w:pPr>
        <w:spacing w:after="80" w:before="0"/>
      </w:pPr>
      <w:r>
        <w:rPr>
          <w:rFonts w:ascii="Calibri" w:hAnsi="Calibri"/>
          <w:b w:val="0"/>
          <w:i w:val="0"/>
          <w:color w:val="444444"/>
          <w:sz w:val="22"/>
        </w:rPr>
        <w:t>(Bandura social-cognitive foundation — peer-modeling and discussion requirement.) Use this to self-check any lesson before you teach it.</w:t>
      </w:r>
    </w:p>
    <w:p>
      <w:pPr>
        <w:pStyle w:val="Heading3"/>
      </w:pPr>
      <w:r>
        <w:t>Lesson planning</w:t>
      </w:r>
    </w:p>
    <w:p>
      <w:pPr>
        <w:pStyle w:val="ListParagraph"/>
        <w:spacing w:after="40"/>
        <w:numPr>
          <w:ilvl w:val="0"/>
          <w:numId w:val="1"/>
        </w:numPr>
      </w:pPr>
      <w:r>
        <w:rPr>
          <w:rFonts w:ascii="Calibri" w:hAnsi="Calibri"/>
          <w:b w:val="0"/>
          <w:i w:val="0"/>
          <w:color w:val="444444"/>
          <w:sz w:val="22"/>
        </w:rPr>
        <w:t>☐  A real-world scenario is included in the lesson</w:t>
      </w:r>
    </w:p>
    <w:p>
      <w:pPr>
        <w:pStyle w:val="ListParagraph"/>
        <w:spacing w:after="40"/>
        <w:numPr>
          <w:ilvl w:val="0"/>
          <w:numId w:val="1"/>
        </w:numPr>
      </w:pPr>
      <w:r>
        <w:rPr>
          <w:rFonts w:ascii="Calibri" w:hAnsi="Calibri"/>
          <w:b w:val="0"/>
          <w:i w:val="0"/>
          <w:color w:val="444444"/>
          <w:sz w:val="22"/>
        </w:rPr>
        <w:t>☐  Students are asked “What would you do?” or a similar decision-making question</w:t>
      </w:r>
    </w:p>
    <w:p>
      <w:pPr>
        <w:pStyle w:val="ListParagraph"/>
        <w:spacing w:after="40"/>
        <w:numPr>
          <w:ilvl w:val="0"/>
          <w:numId w:val="1"/>
        </w:numPr>
      </w:pPr>
      <w:r>
        <w:rPr>
          <w:rFonts w:ascii="Calibri" w:hAnsi="Calibri"/>
          <w:b w:val="0"/>
          <w:i w:val="0"/>
          <w:color w:val="444444"/>
          <w:sz w:val="22"/>
        </w:rPr>
        <w:t>☐  The lesson includes structured student discussion (small group or whole class)</w:t>
      </w:r>
    </w:p>
    <w:p>
      <w:pPr>
        <w:pStyle w:val="ListParagraph"/>
        <w:spacing w:after="40"/>
        <w:numPr>
          <w:ilvl w:val="0"/>
          <w:numId w:val="1"/>
        </w:numPr>
      </w:pPr>
      <w:r>
        <w:rPr>
          <w:rFonts w:ascii="Calibri" w:hAnsi="Calibri"/>
          <w:b w:val="0"/>
          <w:i w:val="0"/>
          <w:color w:val="444444"/>
          <w:sz w:val="22"/>
        </w:rPr>
        <w:t>☐  The lesson includes modeling of correct behavior (teacher, video, or peer)</w:t>
      </w:r>
    </w:p>
    <w:p>
      <w:pPr>
        <w:pStyle w:val="ListParagraph"/>
        <w:spacing w:after="40"/>
        <w:numPr>
          <w:ilvl w:val="0"/>
          <w:numId w:val="1"/>
        </w:numPr>
      </w:pPr>
      <w:r>
        <w:rPr>
          <w:rFonts w:ascii="Calibri" w:hAnsi="Calibri"/>
          <w:b w:val="0"/>
          <w:i w:val="0"/>
          <w:color w:val="444444"/>
          <w:sz w:val="22"/>
        </w:rPr>
        <w:t>☐  Students actively compare responses to appropriate behavior</w:t>
      </w:r>
    </w:p>
    <w:p>
      <w:pPr>
        <w:pStyle w:val="Heading3"/>
      </w:pPr>
      <w:r>
        <w:t>Student engagement</w:t>
      </w:r>
    </w:p>
    <w:p>
      <w:pPr>
        <w:pStyle w:val="ListParagraph"/>
        <w:spacing w:after="40"/>
        <w:numPr>
          <w:ilvl w:val="0"/>
          <w:numId w:val="1"/>
        </w:numPr>
      </w:pPr>
      <w:r>
        <w:rPr>
          <w:rFonts w:ascii="Calibri" w:hAnsi="Calibri"/>
          <w:b w:val="0"/>
          <w:i w:val="0"/>
          <w:color w:val="444444"/>
          <w:sz w:val="22"/>
        </w:rPr>
        <w:t>☐  Students talk to peers about the topic</w:t>
      </w:r>
    </w:p>
    <w:p>
      <w:pPr>
        <w:pStyle w:val="ListParagraph"/>
        <w:spacing w:after="40"/>
        <w:numPr>
          <w:ilvl w:val="0"/>
          <w:numId w:val="1"/>
        </w:numPr>
      </w:pPr>
      <w:r>
        <w:rPr>
          <w:rFonts w:ascii="Calibri" w:hAnsi="Calibri"/>
          <w:b w:val="0"/>
          <w:i w:val="0"/>
          <w:color w:val="444444"/>
          <w:sz w:val="22"/>
        </w:rPr>
        <w:t>☐  Students participate in a group discussion or partner activity</w:t>
      </w:r>
    </w:p>
    <w:p>
      <w:pPr>
        <w:pStyle w:val="ListParagraph"/>
        <w:spacing w:after="40"/>
        <w:numPr>
          <w:ilvl w:val="0"/>
          <w:numId w:val="1"/>
        </w:numPr>
      </w:pPr>
      <w:r>
        <w:rPr>
          <w:rFonts w:ascii="Calibri" w:hAnsi="Calibri"/>
          <w:b w:val="0"/>
          <w:i w:val="0"/>
          <w:color w:val="444444"/>
          <w:sz w:val="22"/>
        </w:rPr>
        <w:t>☐  Students analyze a realistic online situation</w:t>
      </w:r>
    </w:p>
    <w:p>
      <w:pPr>
        <w:pStyle w:val="ListParagraph"/>
        <w:spacing w:after="40"/>
        <w:numPr>
          <w:ilvl w:val="0"/>
          <w:numId w:val="1"/>
        </w:numPr>
      </w:pPr>
      <w:r>
        <w:rPr>
          <w:rFonts w:ascii="Calibri" w:hAnsi="Calibri"/>
          <w:b w:val="0"/>
          <w:i w:val="0"/>
          <w:color w:val="444444"/>
          <w:sz w:val="22"/>
        </w:rPr>
        <w:t>☐  Students explain their reasoning or choices</w:t>
      </w:r>
    </w:p>
    <w:p>
      <w:pPr>
        <w:pStyle w:val="ListParagraph"/>
        <w:spacing w:after="40"/>
        <w:numPr>
          <w:ilvl w:val="0"/>
          <w:numId w:val="1"/>
        </w:numPr>
      </w:pPr>
      <w:r>
        <w:rPr>
          <w:rFonts w:ascii="Calibri" w:hAnsi="Calibri"/>
          <w:b w:val="0"/>
          <w:i w:val="0"/>
          <w:color w:val="444444"/>
          <w:sz w:val="22"/>
        </w:rPr>
        <w:t>☐  Students hear and consider multiple perspectives</w:t>
      </w:r>
    </w:p>
    <w:p>
      <w:pPr>
        <w:pStyle w:val="Heading3"/>
      </w:pPr>
      <w:r>
        <w:t>Peer-modeling strategy (at least one required)</w:t>
      </w:r>
    </w:p>
    <w:p>
      <w:pPr>
        <w:pStyle w:val="ListParagraph"/>
        <w:spacing w:after="40"/>
        <w:numPr>
          <w:ilvl w:val="0"/>
          <w:numId w:val="1"/>
        </w:numPr>
      </w:pPr>
      <w:r>
        <w:rPr>
          <w:rFonts w:ascii="Calibri" w:hAnsi="Calibri"/>
          <w:b w:val="0"/>
          <w:i w:val="0"/>
          <w:color w:val="444444"/>
          <w:sz w:val="22"/>
        </w:rPr>
        <w:t>☐  Scenario-based discussion</w:t>
      </w:r>
    </w:p>
    <w:p>
      <w:pPr>
        <w:pStyle w:val="ListParagraph"/>
        <w:spacing w:after="40"/>
        <w:numPr>
          <w:ilvl w:val="0"/>
          <w:numId w:val="1"/>
        </w:numPr>
      </w:pPr>
      <w:r>
        <w:rPr>
          <w:rFonts w:ascii="Calibri" w:hAnsi="Calibri"/>
          <w:b w:val="0"/>
          <w:i w:val="0"/>
          <w:color w:val="444444"/>
          <w:sz w:val="22"/>
        </w:rPr>
        <w:t>☐  Role-play or response practice</w:t>
      </w:r>
    </w:p>
    <w:p>
      <w:pPr>
        <w:pStyle w:val="ListParagraph"/>
        <w:spacing w:after="40"/>
        <w:numPr>
          <w:ilvl w:val="0"/>
          <w:numId w:val="1"/>
        </w:numPr>
      </w:pPr>
      <w:r>
        <w:rPr>
          <w:rFonts w:ascii="Calibri" w:hAnsi="Calibri"/>
          <w:b w:val="0"/>
          <w:i w:val="0"/>
          <w:color w:val="444444"/>
          <w:sz w:val="22"/>
        </w:rPr>
        <w:t>☐  Group problem-solving discussion</w:t>
      </w:r>
    </w:p>
    <w:p>
      <w:pPr>
        <w:pStyle w:val="ListParagraph"/>
        <w:spacing w:after="40"/>
        <w:numPr>
          <w:ilvl w:val="0"/>
          <w:numId w:val="1"/>
        </w:numPr>
      </w:pPr>
      <w:r>
        <w:rPr>
          <w:rFonts w:ascii="Calibri" w:hAnsi="Calibri"/>
          <w:b w:val="0"/>
          <w:i w:val="0"/>
          <w:color w:val="444444"/>
          <w:sz w:val="22"/>
        </w:rPr>
        <w:t>☐  Case study or example analysis</w:t>
      </w:r>
    </w:p>
    <w:p>
      <w:pPr>
        <w:pStyle w:val="ListParagraph"/>
        <w:spacing w:after="40"/>
        <w:numPr>
          <w:ilvl w:val="0"/>
          <w:numId w:val="1"/>
        </w:numPr>
      </w:pPr>
      <w:r>
        <w:rPr>
          <w:rFonts w:ascii="Calibri" w:hAnsi="Calibri"/>
          <w:b w:val="0"/>
          <w:i w:val="0"/>
          <w:color w:val="444444"/>
          <w:sz w:val="22"/>
        </w:rPr>
        <w:t>☐  Student-created examples (plans, presences, responses, boards)</w:t>
      </w:r>
    </w:p>
    <w:p>
      <w:pPr>
        <w:pStyle w:val="Heading3"/>
      </w:pPr>
      <w:r>
        <w:t>Instructional balance</w:t>
      </w:r>
    </w:p>
    <w:p>
      <w:pPr>
        <w:pStyle w:val="ListParagraph"/>
        <w:spacing w:after="40"/>
        <w:numPr>
          <w:ilvl w:val="0"/>
          <w:numId w:val="1"/>
        </w:numPr>
      </w:pPr>
      <w:r>
        <w:rPr>
          <w:rFonts w:ascii="Calibri" w:hAnsi="Calibri"/>
          <w:b w:val="0"/>
          <w:i w:val="0"/>
          <w:color w:val="444444"/>
          <w:sz w:val="22"/>
        </w:rPr>
        <w:t>☐  The lesson includes more than lecture or video</w:t>
      </w:r>
    </w:p>
    <w:p>
      <w:pPr>
        <w:pStyle w:val="ListParagraph"/>
        <w:spacing w:after="40"/>
        <w:numPr>
          <w:ilvl w:val="0"/>
          <w:numId w:val="1"/>
        </w:numPr>
      </w:pPr>
      <w:r>
        <w:rPr>
          <w:rFonts w:ascii="Calibri" w:hAnsi="Calibri"/>
          <w:b w:val="0"/>
          <w:i w:val="0"/>
          <w:color w:val="444444"/>
          <w:sz w:val="22"/>
        </w:rPr>
        <w:t>☐  Students are not only passive listeners</w:t>
      </w:r>
    </w:p>
    <w:p>
      <w:pPr>
        <w:pStyle w:val="ListParagraph"/>
        <w:spacing w:after="40"/>
        <w:numPr>
          <w:ilvl w:val="0"/>
          <w:numId w:val="1"/>
        </w:numPr>
      </w:pPr>
      <w:r>
        <w:rPr>
          <w:rFonts w:ascii="Calibri" w:hAnsi="Calibri"/>
          <w:b w:val="0"/>
          <w:i w:val="0"/>
          <w:color w:val="444444"/>
          <w:sz w:val="22"/>
        </w:rPr>
        <w:t>☐  Students have an opportunity to practice or demonstrate the behavior</w:t>
      </w:r>
    </w:p>
    <w:p>
      <w:pPr>
        <w:pStyle w:val="ListParagraph"/>
        <w:spacing w:after="40"/>
        <w:numPr>
          <w:ilvl w:val="0"/>
          <w:numId w:val="1"/>
        </w:numPr>
      </w:pPr>
      <w:r>
        <w:rPr>
          <w:rFonts w:ascii="Calibri" w:hAnsi="Calibri"/>
          <w:b w:val="0"/>
          <w:i w:val="0"/>
          <w:color w:val="444444"/>
          <w:sz w:val="22"/>
        </w:rPr>
        <w:t>☐  The teacher facilitates discussion rather than only presenting</w:t>
      </w:r>
    </w:p>
    <w:p>
      <w:pPr>
        <w:pStyle w:val="Heading1"/>
      </w:pPr>
      <w:r>
        <w:t>Printable Teacher Resources</w:t>
      </w:r>
    </w:p>
    <w:p>
      <w:pPr>
        <w:spacing w:after="80" w:before="0"/>
      </w:pPr>
      <w:r>
        <w:rPr>
          <w:rFonts w:ascii="Calibri" w:hAnsi="Calibri"/>
          <w:b w:val="0"/>
          <w:i w:val="0"/>
          <w:color w:val="444444"/>
          <w:sz w:val="22"/>
        </w:rPr>
        <w:t>Everything below is ready to copy. Cards are marked with cut lines. Print card sets on cardstock and store them in labeled bags for reuse across sections and advisory groups.</w:t>
      </w:r>
    </w:p>
    <w:p>
      <w:pPr>
        <w:pStyle w:val="Heading2"/>
      </w:pPr>
      <w:r>
        <w:t>Appendix A — Professional Presence Check + Presence Plan (Lesson 1)</w:t>
      </w:r>
    </w:p>
    <w:p>
      <w:pPr>
        <w:pStyle w:val="Heading3"/>
      </w:pPr>
      <w:r>
        <w:t>Professional Presence Check</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Rate the presence on five checks. Mark ✓ or ✗ and note why.</w:t>
            </w:r>
          </w:p>
          <w:p>
            <w:pPr>
              <w:spacing w:after="60"/>
            </w:pPr>
            <w:r>
              <w:rPr>
                <w:rFonts w:ascii="Calibri" w:hAnsi="Calibri"/>
                <w:b w:val="0"/>
                <w:i w:val="0"/>
                <w:color w:val="444444"/>
                <w:sz w:val="21"/>
              </w:rPr>
              <w:t xml:space="preserve">1. SEARCHABLE — do the right things come up?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2. PROFESSIONAL — email, handle, tone appropriate?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3. CONSISTENT — name/presence accurate across platforms?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4. PRIVATE — personal life locked down and separated?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5. PROOF — evidence of skills (portfolio/profile)? </w:t>
            </w:r>
            <w:r>
              <w:rPr>
                <w:rFonts w:ascii="Calibri" w:hAnsi="Calibri"/>
                <w:b w:val="0"/>
                <w:i w:val="0"/>
                <w:color w:val="BBBBBB"/>
                <w:sz w:val="21"/>
              </w:rPr>
              <w:t>______________________</w:t>
            </w:r>
          </w:p>
        </w:tc>
      </w:tr>
    </w:tbl>
    <w:p>
      <w:pPr>
        <w:spacing w:after="40"/>
      </w:pPr>
    </w:p>
    <w:p>
      <w:pPr>
        <w:pStyle w:val="Heading3"/>
      </w:pPr>
      <w:r>
        <w:t>Presence Plan Worksheet</w:t>
      </w:r>
    </w:p>
    <w:p>
      <w:pPr>
        <w:spacing w:after="120"/>
      </w:pPr>
      <w:r>
        <w:rPr>
          <w:rFonts w:ascii="Calibri" w:hAnsi="Calibri"/>
          <w:b w:val="0"/>
          <w:i w:val="0"/>
          <w:color w:val="444444"/>
          <w:sz w:val="22"/>
        </w:rPr>
        <w:t xml:space="preserve">Name: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My professional email / handle will be: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What I’ll make PUBLIC (professional):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What I’ll keep PRIVATE (personal):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One piece of PROOF I’ll build (portfolio/sample/profile):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A reference I could ask, and how: </w:t>
      </w:r>
      <w:r>
        <w:rPr>
          <w:rFonts w:ascii="Calibri" w:hAnsi="Calibri"/>
          <w:b w:val="0"/>
          <w:i w:val="0"/>
          <w:color w:val="BBBBBB"/>
          <w:sz w:val="22"/>
        </w:rPr>
        <w:t>______________________________________________</w:t>
      </w:r>
    </w:p>
    <w:p>
      <w:pPr>
        <w:pStyle w:val="Heading2"/>
      </w:pPr>
      <w:r>
        <w:t>Appendix B — Complex Scenario Cards (Lesson 1)</w:t>
      </w:r>
    </w:p>
    <w:p>
      <w:pPr>
        <w:spacing w:after="80" w:before="0"/>
      </w:pPr>
      <w:r>
        <w:rPr>
          <w:rFonts w:ascii="Calibri" w:hAnsi="Calibri"/>
          <w:b w:val="0"/>
          <w:i w:val="0"/>
          <w:color w:val="444444"/>
          <w:sz w:val="22"/>
        </w:rPr>
        <w:t>Print and cut. Give one scenario per group.</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An applicant’s email is ‘partyanimal2007@…’ and their handle is a private joke.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student’s only feed mixes personal posts with anything a professional would see.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talented student has almost no online presence and no visible proof of skills.</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common name means someone else’s posts show up first in a search.</w:t>
            </w:r>
          </w:p>
        </w:tc>
      </w:tr>
    </w:tbl>
    <w:p>
      <w:pPr>
        <w:spacing w:after="40"/>
      </w:pPr>
      <w:r>
        <w:rPr>
          <w:rFonts w:ascii="Calibri" w:hAnsi="Calibri"/>
          <w:b w:val="0"/>
          <w:i w:val="0"/>
          <w:color w:val="999999"/>
          <w:sz w:val="20"/>
        </w:rPr>
        <w:t>✂  - - - - - - - - - - - - - - - - - - - - - - - - - - - - - - - - - - - - - - - - - - -  ✂</w:t>
      </w:r>
    </w:p>
    <w:p>
      <w:pPr>
        <w:pStyle w:val="Heading2"/>
      </w:pPr>
      <w:r>
        <w:t>Appendix C — Exit Tickets</w:t>
      </w:r>
    </w:p>
    <w:p>
      <w:pPr>
        <w:pStyle w:val="Heading3"/>
      </w:pPr>
      <w:r>
        <w:t>Lesson 1 Exit Ticket — Professional Identity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Name: ______________________     Date: ____________</w:t>
            </w:r>
          </w:p>
          <w:p>
            <w:pPr>
              <w:spacing w:after="60"/>
            </w:pPr>
            <w:r>
              <w:rPr>
                <w:rFonts w:ascii="Calibri" w:hAnsi="Calibri"/>
                <w:b w:val="0"/>
                <w:i w:val="0"/>
                <w:color w:val="444444"/>
                <w:sz w:val="21"/>
              </w:rPr>
              <w:t xml:space="preserve">1. One professional-presence upgrade I’ll make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2. One thing I’ll keep private and separate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3. One piece of proof of my skills I can build is: </w:t>
            </w:r>
            <w:r>
              <w:rPr>
                <w:rFonts w:ascii="Calibri" w:hAnsi="Calibri"/>
                <w:b w:val="0"/>
                <w:i w:val="0"/>
                <w:color w:val="BBBBBB"/>
                <w:sz w:val="21"/>
              </w:rPr>
              <w:t>____________________</w:t>
            </w:r>
          </w:p>
        </w:tc>
      </w:tr>
    </w:tbl>
    <w:p>
      <w:pPr>
        <w:spacing w:after="40"/>
      </w:pPr>
    </w:p>
    <w:p>
      <w:pPr>
        <w:pStyle w:val="Heading3"/>
      </w:pPr>
      <w:r>
        <w:t>Lesson 2 Exit Ticket — Financial Safety &amp; Identity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Name: ______________________     Date: ____________</w:t>
            </w:r>
          </w:p>
          <w:p>
            <w:pPr>
              <w:spacing w:after="60"/>
            </w:pPr>
            <w:r>
              <w:rPr>
                <w:rFonts w:ascii="Calibri" w:hAnsi="Calibri"/>
                <w:b w:val="0"/>
                <w:i w:val="0"/>
                <w:color w:val="444444"/>
                <w:sz w:val="21"/>
              </w:rPr>
              <w:t xml:space="preserve">1. One scam that targets young adults I can spot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2. One way I’ll protect my PII or money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3. One step I’d take if compromised is: </w:t>
            </w:r>
            <w:r>
              <w:rPr>
                <w:rFonts w:ascii="Calibri" w:hAnsi="Calibri"/>
                <w:b w:val="0"/>
                <w:i w:val="0"/>
                <w:color w:val="BBBBBB"/>
                <w:sz w:val="21"/>
              </w:rPr>
              <w:t>____________________</w:t>
            </w:r>
          </w:p>
        </w:tc>
      </w:tr>
    </w:tbl>
    <w:p>
      <w:pPr>
        <w:spacing w:after="40"/>
      </w:pPr>
    </w:p>
    <w:p>
      <w:pPr>
        <w:pStyle w:val="Heading3"/>
      </w:pPr>
      <w:r>
        <w:t>Lesson 3 Exit Ticket — Rights, Responsibility &amp; Cyber Readiness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Name: ______________________     Date: ____________</w:t>
            </w:r>
          </w:p>
          <w:p>
            <w:pPr>
              <w:spacing w:after="60"/>
            </w:pPr>
            <w:r>
              <w:rPr>
                <w:rFonts w:ascii="Calibri" w:hAnsi="Calibri"/>
                <w:b w:val="0"/>
                <w:i w:val="0"/>
                <w:color w:val="444444"/>
                <w:sz w:val="21"/>
              </w:rPr>
              <w:t xml:space="preserve">1. One digital right or responsibility I can explain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2. One step in my incident-response plan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3. One cybersecurity career that interests me is: </w:t>
            </w:r>
            <w:r>
              <w:rPr>
                <w:rFonts w:ascii="Calibri" w:hAnsi="Calibri"/>
                <w:b w:val="0"/>
                <w:i w:val="0"/>
                <w:color w:val="BBBBBB"/>
                <w:sz w:val="21"/>
              </w:rPr>
              <w:t>____________________</w:t>
            </w:r>
          </w:p>
        </w:tc>
      </w:tr>
    </w:tbl>
    <w:p>
      <w:pPr>
        <w:spacing w:after="40"/>
      </w:pPr>
    </w:p>
    <w:p>
      <w:pPr>
        <w:pStyle w:val="Heading2"/>
      </w:pPr>
      <w:r>
        <w:t>Appendix D — “Legit or Fraud?” Cards + Fraud-Spotting Sheet (Lesson 2)</w:t>
      </w:r>
    </w:p>
    <w:p>
      <w:pPr>
        <w:spacing w:after="80" w:before="0"/>
      </w:pPr>
      <w:r>
        <w:rPr>
          <w:rFonts w:ascii="Calibri" w:hAnsi="Calibri"/>
          <w:b w:val="0"/>
          <w:i w:val="0"/>
          <w:color w:val="444444"/>
          <w:sz w:val="22"/>
        </w:rPr>
        <w:t>Print one set per group. Groups review each fictional item and complete the Fraud-Spotting sheet.</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JOB: “Work from home, $900/week, no experience — just send your SSN and bank login to start.”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CHECK: “We overpaid your first check. Deposit it and send back the extra $300 in gift cards.”</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TEXT: “Your bank locked your account. Verify your card number and PIN here: [link].”</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PAY APP: “Accidentally sent you money — please send it back to this different account.”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RENTAL: “Great apartment, but wire the deposit before you can see it — lots of interest!”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PRIZE: “You won a gift card! Just pay a small processing fee with your card to claim it.”</w:t>
            </w:r>
          </w:p>
        </w:tc>
      </w:tr>
    </w:tbl>
    <w:p>
      <w:pPr>
        <w:spacing w:after="40"/>
      </w:pPr>
      <w:r>
        <w:rPr>
          <w:rFonts w:ascii="Calibri" w:hAnsi="Calibri"/>
          <w:b w:val="0"/>
          <w:i w:val="0"/>
          <w:color w:val="999999"/>
          <w:sz w:val="20"/>
        </w:rPr>
        <w:t>✂  - - - - - - - - - - - - - - - - - - - - - - - - - - - - - - - - - - - - - - - - - - -  ✂</w:t>
      </w:r>
    </w:p>
    <w:p>
      <w:pPr>
        <w:pStyle w:val="Heading3"/>
      </w:pPr>
      <w:r>
        <w:t>Fraud-Spotting Sheet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Which item, and LEGIT or FRAUD?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The scam TYPE: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The RED FLAGS we found: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The SAFE MOVE (verify · refuse · protect PII · report): </w:t>
            </w:r>
            <w:r>
              <w:rPr>
                <w:rFonts w:ascii="Calibri" w:hAnsi="Calibri"/>
                <w:b w:val="0"/>
                <w:i w:val="0"/>
                <w:color w:val="BBBBBB"/>
                <w:sz w:val="21"/>
              </w:rPr>
              <w:t>______________________</w:t>
            </w:r>
          </w:p>
        </w:tc>
      </w:tr>
    </w:tbl>
    <w:p>
      <w:pPr>
        <w:spacing w:after="40"/>
      </w:pPr>
    </w:p>
    <w:p>
      <w:pPr>
        <w:pStyle w:val="Heading2"/>
      </w:pPr>
      <w:r>
        <w:t>Appendix E — Personal Money &amp; Identity Safety Plan (Lesson 2)</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p>
          <w:p>
            <w:pPr>
              <w:spacing w:after="20"/>
            </w:pPr>
            <w:r>
              <w:rPr>
                <w:rFonts w:ascii="Calibri" w:hAnsi="Calibri"/>
                <w:b w:val="0"/>
                <w:i w:val="0"/>
                <w:color w:val="444444"/>
                <w:sz w:val="21"/>
              </w:rPr>
              <w:t>Do not write real account numbers, passwords, or PII on this plan. Use general actions only.</w:t>
            </w:r>
          </w:p>
        </w:tc>
      </w:tr>
    </w:tbl>
    <w:p>
      <w:pPr>
        <w:spacing w:after="40"/>
      </w:pPr>
    </w:p>
    <w:p>
      <w:pPr>
        <w:spacing w:after="120"/>
      </w:pPr>
      <w:r>
        <w:rPr>
          <w:rFonts w:ascii="Calibri" w:hAnsi="Calibri"/>
          <w:b w:val="0"/>
          <w:i w:val="0"/>
          <w:color w:val="444444"/>
          <w:sz w:val="22"/>
        </w:rPr>
        <w:t xml:space="preserve">Name: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How I’ll verify an offer or request before acting: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How I’ll protect my PII (SSN, cards, birthdate):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My login security (MFA + password manager):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How I’ll keep transactions secure (HTTPS, official apps):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What I’ll do if my identity or account is compromised: </w:t>
      </w:r>
      <w:r>
        <w:rPr>
          <w:rFonts w:ascii="Calibri" w:hAnsi="Calibri"/>
          <w:b w:val="0"/>
          <w:i w:val="0"/>
          <w:color w:val="BBBBBB"/>
          <w:sz w:val="22"/>
        </w:rPr>
        <w:t>______________________________________________</w:t>
      </w:r>
    </w:p>
    <w:p>
      <w:pPr>
        <w:pStyle w:val="Heading2"/>
      </w:pPr>
      <w:r>
        <w:t>Appendix F — “Rights, Responsibility, or Report?” Cards + Incident-Response Plan (Lesson 3)</w:t>
      </w:r>
    </w:p>
    <w:p>
      <w:pPr>
        <w:spacing w:after="80" w:before="0"/>
      </w:pPr>
      <w:r>
        <w:rPr>
          <w:rFonts w:ascii="Calibri" w:hAnsi="Calibri"/>
          <w:b w:val="0"/>
          <w:i w:val="0"/>
          <w:color w:val="444444"/>
          <w:sz w:val="22"/>
        </w:rPr>
        <w:t>Print and cut. Groups sort into: a RIGHT you can exercise · a RESPONSIBILITY you must meet · a situation to REPORT (a card may involve more than one).</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Requesting that a company delete data it holds about you.</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Reading and understanding terms before you agree to them.</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Resharing something that may be defamatory or harassing.</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Using copyrighted or AI-generated work without permission or disclosure.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Discovering a data breach exposed your personal information.</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Being targeted by threats, fraud, or impersonation.</w:t>
            </w:r>
          </w:p>
        </w:tc>
      </w:tr>
    </w:tbl>
    <w:p>
      <w:pPr>
        <w:spacing w:after="40"/>
      </w:pPr>
      <w:r>
        <w:rPr>
          <w:rFonts w:ascii="Calibri" w:hAnsi="Calibri"/>
          <w:b w:val="0"/>
          <w:i w:val="0"/>
          <w:color w:val="999999"/>
          <w:sz w:val="20"/>
        </w:rPr>
        <w:t>✂  - - - - - - - - - - - - - - - - - - - - - - - - - - - - - - - - - - - - - - - - - - -  ✂</w:t>
      </w:r>
    </w:p>
    <w:p>
      <w:pPr>
        <w:pStyle w:val="Heading3"/>
      </w:pPr>
      <w:r>
        <w:t>Personal Incident-Response Plan</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i w:val="0"/>
                <w:color w:val="1E3048"/>
                <w:sz w:val="21"/>
              </w:rPr>
              <w:t>My plan for when an account or identity is compromised:</w:t>
            </w:r>
          </w:p>
          <w:p>
            <w:pPr>
              <w:spacing w:after="60"/>
            </w:pPr>
            <w:r>
              <w:rPr>
                <w:rFonts w:ascii="Calibri" w:hAnsi="Calibri"/>
                <w:b w:val="0"/>
                <w:i w:val="0"/>
                <w:color w:val="444444"/>
                <w:sz w:val="21"/>
              </w:rPr>
              <w:t xml:space="preserve">RECOGNIZE — signs I’ll watch for: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CONTAIN — my first steps: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PRESERVE — evidence I’ll save: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REPORT — who I’ll tell (adult · platform · bank/authorities):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RECOVER — how I’ll restore and monitor: </w:t>
            </w:r>
            <w:r>
              <w:rPr>
                <w:rFonts w:ascii="Calibri" w:hAnsi="Calibri"/>
                <w:b w:val="0"/>
                <w:i w:val="0"/>
                <w:color w:val="BBBBBB"/>
                <w:sz w:val="21"/>
              </w:rPr>
              <w:t>______________________</w:t>
            </w:r>
          </w:p>
        </w:tc>
      </w:tr>
    </w:tbl>
    <w:p>
      <w:pPr>
        <w:spacing w:after="40"/>
      </w:pPr>
    </w:p>
    <w:p>
      <w:pPr>
        <w:pStyle w:val="Heading2"/>
      </w:pPr>
      <w:r>
        <w:t>Appendix G — Cyber-Careers Cards (Lesson 3)</w:t>
      </w:r>
    </w:p>
    <w:p>
      <w:pPr>
        <w:spacing w:after="80" w:before="0"/>
      </w:pPr>
      <w:r>
        <w:rPr>
          <w:rFonts w:ascii="Calibri" w:hAnsi="Calibri"/>
          <w:b w:val="0"/>
          <w:i w:val="0"/>
          <w:color w:val="444444"/>
          <w:sz w:val="22"/>
        </w:rPr>
        <w:t>Print and cut. Use to spark discussion about cybersecurity career pathways and the skills they use.</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222B33"/>
                <w:sz w:val="21"/>
              </w:rPr>
              <w:t>Security Analyst — monitors systems and hunts for threats.</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222B33"/>
                <w:sz w:val="21"/>
              </w:rPr>
              <w:t>Incident Responder — leads the response when something is breached.</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222B33"/>
                <w:sz w:val="21"/>
              </w:rPr>
              <w:t>Penetration Tester — legally tests systems to find weaknesses first.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222B33"/>
                <w:sz w:val="21"/>
              </w:rPr>
              <w:t>Security Engineer — builds and hardens the defenses.</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222B33"/>
                <w:sz w:val="21"/>
              </w:rPr>
              <w:t>Digital Forensics Analyst — investigates what happened after an incident.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222B33"/>
                <w:sz w:val="21"/>
              </w:rPr>
              <w:t>Governance / Privacy Specialist — makes sure data and law are handled right.</w:t>
            </w:r>
          </w:p>
        </w:tc>
      </w:tr>
    </w:tbl>
    <w:p>
      <w:pPr>
        <w:spacing w:after="40"/>
      </w:pPr>
      <w:r>
        <w:rPr>
          <w:rFonts w:ascii="Calibri" w:hAnsi="Calibri"/>
          <w:b w:val="0"/>
          <w:i w:val="0"/>
          <w:color w:val="999999"/>
          <w:sz w:val="20"/>
        </w:rPr>
        <w:t>✂  - - - - - - - - - - - - - - - - - - - - - - - - - - - - - - - - - - - - - - - - - - -  ✂</w:t>
      </w:r>
    </w:p>
    <w:p>
      <w:pPr>
        <w:pStyle w:val="Heading2"/>
      </w:pPr>
      <w:r>
        <w:t>Appendix H — Tabletop Response Sheets</w:t>
      </w:r>
    </w:p>
    <w:p>
      <w:pPr>
        <w:pStyle w:val="Heading3"/>
      </w:pPr>
      <w:r>
        <w:t>Tabletop 1 — Professional Presence Fix: The Background Check</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What to fix / lock down / build: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Proof of skills to add: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Professional contact point: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Reference and how to ask: </w:t>
            </w:r>
            <w:r>
              <w:rPr>
                <w:rFonts w:ascii="Calibri" w:hAnsi="Calibri"/>
                <w:b w:val="0"/>
                <w:i w:val="0"/>
                <w:color w:val="BBBBBB"/>
                <w:sz w:val="21"/>
              </w:rPr>
              <w:t>______________________</w:t>
            </w:r>
          </w:p>
        </w:tc>
      </w:tr>
    </w:tbl>
    <w:p>
      <w:pPr>
        <w:spacing w:after="40"/>
      </w:pPr>
    </w:p>
    <w:p>
      <w:pPr>
        <w:pStyle w:val="Heading3"/>
      </w:pPr>
      <w:r>
        <w:t>Tabletop 2 — Fraud Response Plan: The Too-Good Job Offer</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Scam type &amp; red flags: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What the student should NOT do: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Our verify-and-refuse plan: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How and where to report: </w:t>
            </w:r>
            <w:r>
              <w:rPr>
                <w:rFonts w:ascii="Calibri" w:hAnsi="Calibri"/>
                <w:b w:val="0"/>
                <w:i w:val="0"/>
                <w:color w:val="BBBBBB"/>
                <w:sz w:val="21"/>
              </w:rPr>
              <w:t>______________________</w:t>
            </w:r>
          </w:p>
        </w:tc>
      </w:tr>
    </w:tbl>
    <w:p>
      <w:pPr>
        <w:spacing w:after="40"/>
      </w:pPr>
    </w:p>
    <w:p>
      <w:pPr>
        <w:pStyle w:val="Heading3"/>
      </w:pPr>
      <w:r>
        <w:t>Tabletop 3 — Incident-Response Plan: The Data Breach Notice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Immediate risks: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Contain steps: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Recovery &amp; monitoring plan: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Who to tell &amp; what to preserve: </w:t>
            </w:r>
            <w:r>
              <w:rPr>
                <w:rFonts w:ascii="Calibri" w:hAnsi="Calibri"/>
                <w:b w:val="0"/>
                <w:i w:val="0"/>
                <w:color w:val="BBBBBB"/>
                <w:sz w:val="21"/>
              </w:rPr>
              <w:t>______________________</w:t>
            </w:r>
          </w:p>
        </w:tc>
      </w:tr>
    </w:tbl>
    <w:p>
      <w:pPr>
        <w:spacing w:after="40"/>
      </w:pPr>
    </w:p>
    <w:p>
      <w:pPr>
        <w:pStyle w:val="Heading3"/>
      </w:pPr>
      <w:r>
        <w:t>Tabletop 4 — Rights &amp; Responsibility Analysis: The Rights &amp; Responsibility Case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The right / responsibility / consequence in each option: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The responsible action &amp; reasoning: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What crosses into something to report: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Where to get help with a real legal question: </w:t>
            </w:r>
            <w:r>
              <w:rPr>
                <w:rFonts w:ascii="Calibri" w:hAnsi="Calibri"/>
                <w:b w:val="0"/>
                <w:i w:val="0"/>
                <w:color w:val="BBBBBB"/>
                <w:sz w:val="21"/>
              </w:rPr>
              <w:t>______________________</w:t>
            </w:r>
          </w:p>
        </w:tc>
      </w:tr>
    </w:tbl>
    <w:p>
      <w:pPr>
        <w:spacing w:after="40"/>
      </w:pPr>
    </w:p>
    <w:p>
      <w:pPr>
        <w:pStyle w:val="Heading2"/>
      </w:pPr>
      <w:r>
        <w:t>Appendix I — Parent / Guardian Summary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i w:val="0"/>
                <w:color w:val="1E3048"/>
                <w:sz w:val="21"/>
              </w:rPr>
              <w:t>Dear Families,</w:t>
            </w:r>
          </w:p>
          <w:p>
            <w:pPr>
              <w:spacing w:after="60"/>
            </w:pPr>
            <w:r>
              <w:rPr>
                <w:rFonts w:ascii="Calibri" w:hAnsi="Calibri"/>
                <w:b w:val="0"/>
                <w:i w:val="0"/>
                <w:color w:val="444444"/>
                <w:sz w:val="21"/>
              </w:rPr>
              <w:t>As your eleventh grader prepares for college, career, and adulthood, they are taking part in age-appropriate lessons on safe and responsible technology use. Instruction focuses on building a professional digital identity, protecting money and personal information from fraud and identity theft, and thinking like a defender — including a personal plan for when something goes wrong.</w:t>
            </w:r>
          </w:p>
          <w:p>
            <w:pPr>
              <w:spacing w:after="60"/>
            </w:pPr>
            <w:r>
              <w:rPr>
                <w:rFonts w:ascii="Calibri" w:hAnsi="Calibri"/>
                <w:b w:val="0"/>
                <w:i w:val="0"/>
                <w:color w:val="444444"/>
                <w:sz w:val="21"/>
              </w:rPr>
              <w:t>Lessons use peer discussion and realistic (fictional) scenarios — not lectures. Students are never asked to reveal real account numbers, personal information, or experiences, or to investigate anything on their own. All examples are made-up and kept developmentally appropriate. This unit builds awareness — it is not legal or financial advice.</w:t>
            </w:r>
          </w:p>
          <w:p>
            <w:pPr>
              <w:spacing w:after="60"/>
            </w:pPr>
            <w:r>
              <w:rPr>
                <w:rFonts w:ascii="Calibri" w:hAnsi="Calibri"/>
                <w:b w:val="0"/>
                <w:i w:val="0"/>
                <w:color w:val="444444"/>
                <w:sz w:val="21"/>
              </w:rPr>
              <w:t>You can support this at home by helping your student set up a professional email, turn on multi-factor authentication and a password manager, talk through how to verify job offers and payment requests, and name the trusted adults they can go to if their money or identity is ever at risk.</w:t>
            </w:r>
          </w:p>
          <w:p>
            <w:pPr>
              <w:spacing w:after="60"/>
            </w:pPr>
            <w:r>
              <w:rPr>
                <w:rFonts w:ascii="Calibri" w:hAnsi="Calibri"/>
                <w:b w:val="0"/>
                <w:i w:val="0"/>
                <w:color w:val="444444"/>
                <w:sz w:val="21"/>
              </w:rPr>
              <w:t>Thank you for partnering with us,</w:t>
            </w:r>
          </w:p>
          <w:p>
            <w:r>
              <w:rPr>
                <w:rFonts w:ascii="Calibri" w:hAnsi="Calibri"/>
                <w:b w:val="0"/>
                <w:i w:val="0"/>
                <w:color w:val="444444"/>
                <w:sz w:val="21"/>
              </w:rPr>
              <w:t>__________________________</w:t>
            </w:r>
          </w:p>
        </w:tc>
      </w:tr>
    </w:tbl>
    <w:p>
      <w:pPr>
        <w:spacing w:after="40"/>
      </w:pPr>
    </w:p>
    <w:p>
      <w:pPr>
        <w:pStyle w:val="Heading2"/>
      </w:pPr>
      <w:r>
        <w:t>Appendix J — Teacher Answer Keys (Quick Reference)</w:t>
      </w:r>
    </w:p>
    <w:p>
      <w:pPr>
        <w:pStyle w:val="Heading3"/>
      </w:pPr>
      <w:r>
        <w:t>Professional Presence (Lesson 1)</w:t>
      </w:r>
    </w:p>
    <w:p>
      <w:pPr>
        <w:pStyle w:val="ListParagraph"/>
        <w:spacing w:after="40"/>
        <w:numPr>
          <w:ilvl w:val="0"/>
          <w:numId w:val="1"/>
        </w:numPr>
      </w:pPr>
      <w:r>
        <w:rPr>
          <w:rFonts w:ascii="Calibri" w:hAnsi="Calibri"/>
          <w:b w:val="0"/>
          <w:i w:val="0"/>
          <w:color w:val="444444"/>
          <w:sz w:val="22"/>
        </w:rPr>
        <w:t>An unprofessional email/handle fails PROFESSIONAL; a mixed feed fails PRIVATE; a thin presence fails PROOF; a name collision is a SEARCHABLE problem. Fixes: clean email/handle, lock personal, add one portfolio piece, and claim/optimize a professional profile.</w:t>
      </w:r>
    </w:p>
    <w:p>
      <w:pPr>
        <w:pStyle w:val="Heading3"/>
      </w:pPr>
      <w:r>
        <w:t>Fraud-Spotting (Lesson 2)</w:t>
      </w:r>
    </w:p>
    <w:p>
      <w:pPr>
        <w:pStyle w:val="ListParagraph"/>
        <w:spacing w:after="40"/>
        <w:numPr>
          <w:ilvl w:val="0"/>
          <w:numId w:val="1"/>
        </w:numPr>
      </w:pPr>
      <w:r>
        <w:rPr>
          <w:rFonts w:ascii="Calibri" w:hAnsi="Calibri"/>
          <w:b w:val="0"/>
          <w:i w:val="0"/>
          <w:color w:val="444444"/>
          <w:sz w:val="22"/>
        </w:rPr>
        <w:t>Pay-first job, overpayment ‘refund,’ ‘verify your PIN,’ payment-app reversal, wire-before-you-see rental, and pay-a-fee prize are all scams. Every safe move: VERIFY through an official channel, NEVER pay to get paid, PROTECT PII, SECURE the channel, and REPORT (CS.DCS.25).</w:t>
      </w:r>
    </w:p>
    <w:p>
      <w:pPr>
        <w:pStyle w:val="Heading3"/>
      </w:pPr>
      <w:r>
        <w:t>Rights, Responsibility &amp; Incident Response (Lesson 3)</w:t>
      </w:r>
    </w:p>
    <w:p>
      <w:pPr>
        <w:pStyle w:val="ListParagraph"/>
        <w:spacing w:after="40"/>
        <w:numPr>
          <w:ilvl w:val="0"/>
          <w:numId w:val="1"/>
        </w:numPr>
      </w:pPr>
      <w:r>
        <w:rPr>
          <w:rFonts w:ascii="Calibri" w:hAnsi="Calibri"/>
          <w:b w:val="0"/>
          <w:i w:val="0"/>
          <w:color w:val="444444"/>
          <w:sz w:val="22"/>
        </w:rPr>
        <w:t>Deleting your data or reading terms = RIGHTS/RESPONSIBILITIES; defamation, harassment, and IP misuse = RESPONSIBILITY with legal consequences; a breach or being targeted = REPORT.</w:t>
      </w:r>
    </w:p>
    <w:p>
      <w:pPr>
        <w:pStyle w:val="ListParagraph"/>
        <w:spacing w:after="40"/>
        <w:numPr>
          <w:ilvl w:val="0"/>
          <w:numId w:val="1"/>
        </w:numPr>
      </w:pPr>
      <w:r>
        <w:rPr>
          <w:rFonts w:ascii="Calibri" w:hAnsi="Calibri"/>
          <w:b w:val="0"/>
          <w:i w:val="0"/>
          <w:color w:val="444444"/>
          <w:sz w:val="22"/>
        </w:rPr>
        <w:t>Incident response = Recognize · Contain · Preserve · Report · Recover. The defender’s goal is protecting Confidentiality, Integrity, and Availability — the work of real cybersecurity careers (CS.DCS.26).</w:t>
      </w:r>
    </w:p>
    <w:p>
      <w:pPr>
        <w:spacing w:after="80" w:before="160"/>
      </w:pPr>
      <w:r>
        <w:rPr>
          <w:rFonts w:ascii="Calibri" w:hAnsi="Calibri"/>
          <w:b/>
          <w:i w:val="0"/>
          <w:color w:val="1C6E7E"/>
          <w:sz w:val="20"/>
        </w:rPr>
        <w:t>End of Unit · CyberSWAT Grade 11 · Digital Identity, Financial Safety &amp; Cyber Readiness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04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6E7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0A6916CC0054428A1B563C9E1D847E" ma:contentTypeVersion="3" ma:contentTypeDescription="Create a new document." ma:contentTypeScope="" ma:versionID="10ea2242063a99e91138254cb92189b8">
  <xsd:schema xmlns:xsd="http://www.w3.org/2001/XMLSchema" xmlns:xs="http://www.w3.org/2001/XMLSchema" xmlns:p="http://schemas.microsoft.com/office/2006/metadata/properties" xmlns:ns2="14615ecc-17b4-4e85-aaf4-441117114b7b" targetNamespace="http://schemas.microsoft.com/office/2006/metadata/properties" ma:root="true" ma:fieldsID="4c0fd4eb01a6732c2ccae24947f0835c" ns2:_="">
    <xsd:import namespace="14615ecc-17b4-4e85-aaf4-441117114b7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15ecc-17b4-4e85-aaf4-441117114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5C1E80B-33E2-42DC-B6A6-AFF040E9099A}"/>
</file>

<file path=customXml/itemProps3.xml><?xml version="1.0" encoding="utf-8"?>
<ds:datastoreItem xmlns:ds="http://schemas.openxmlformats.org/officeDocument/2006/customXml" ds:itemID="{D3A9834A-EECA-4D55-81B2-5EA08361862C}"/>
</file>

<file path=customXml/itemProps4.xml><?xml version="1.0" encoding="utf-8"?>
<ds:datastoreItem xmlns:ds="http://schemas.openxmlformats.org/officeDocument/2006/customXml" ds:itemID="{B1CB14DC-1216-4735-B1AF-1A7BF0FDA07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0x010100840A6916CC0054428A1B563C9E1D847E</vt:lpwstr>
  </property>
</Properties>
</file>