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C6E7E"/>
          <w:sz w:val="22"/>
        </w:rPr>
        <w:t>GRADE 9 · DIGITAL CITIZENSHIP &amp; ONLINE SAFETY</w:t>
      </w:r>
    </w:p>
    <w:p>
      <w:pPr>
        <w:spacing w:after="40" w:before="0"/>
      </w:pPr>
      <w:r>
        <w:rPr>
          <w:rFonts w:ascii="Calibri" w:hAnsi="Calibri"/>
          <w:b/>
          <w:i w:val="0"/>
          <w:color w:val="1E3048"/>
          <w:sz w:val="72"/>
        </w:rPr>
        <w:t>CyberSWAT</w:t>
      </w:r>
    </w:p>
    <w:p>
      <w:pPr>
        <w:spacing w:after="40" w:before="0"/>
      </w:pPr>
      <w:r>
        <w:rPr>
          <w:rFonts w:ascii="Calibri" w:hAnsi="Calibri"/>
          <w:b w:val="0"/>
          <w:i w:val="0"/>
          <w:color w:val="444444"/>
          <w:sz w:val="29"/>
        </w:rPr>
        <w:t>Digital Footprint, Advanced Threats &amp; Personal Security</w:t>
      </w:r>
    </w:p>
    <w:p>
      <w:pPr>
        <w:spacing w:after="80" w:before="0"/>
      </w:pPr>
      <w:r>
        <w:rPr>
          <w:rFonts w:ascii="Calibri" w:hAnsi="Calibri"/>
          <w:b w:val="0"/>
          <w:i w:val="0"/>
          <w:color w:val="B7791F"/>
          <w:sz w:val="23"/>
        </w:rPr>
        <w:t>A Premium Teacher-Ready Unit · High-School Foundations</w:t>
      </w:r>
    </w:p>
    <w:p>
      <w:pPr>
        <w:spacing w:after="120" w:before="0"/>
      </w:pPr>
      <w:r>
        <w:rPr>
          <w:rFonts w:ascii="Calibri" w:hAnsi="Calibri"/>
          <w:b/>
          <w:i w:val="0"/>
          <w:color w:val="1E3048"/>
          <w:sz w:val="20"/>
        </w:rPr>
        <w:t>Aligned to WV Senate Bill 466 (SWAT) · WV CCR Standards for Technology &amp; Computer Science (Policy 2520.14) · WV High School ELA</w:t>
      </w:r>
    </w:p>
    <w:p>
      <w:pPr>
        <w:spacing w:after="40" w:before="0"/>
      </w:pPr>
      <w:r>
        <w:rPr>
          <w:rFonts w:ascii="Calibri" w:hAnsi="Calibri"/>
          <w:b/>
          <w:i w:val="0"/>
          <w:color w:val="1C6E7E"/>
          <w:sz w:val="22"/>
        </w:rPr>
        <w:t>Essential Question</w:t>
      </w:r>
    </w:p>
    <w:p>
      <w:pPr>
        <w:spacing w:after="80" w:before="0"/>
      </w:pPr>
      <w:r>
        <w:rPr>
          <w:rFonts w:ascii="Calibri" w:hAnsi="Calibri"/>
          <w:b w:val="0"/>
          <w:i w:val="0"/>
          <w:color w:val="444444"/>
          <w:sz w:val="22"/>
        </w:rPr>
        <w:t>How do I manage a digital footprint with real-world stakes, recognize and shut down advanced online threats, and respond to serious harm using my rights, resources, and trusted adults?</w:t>
      </w:r>
    </w:p>
    <w:p>
      <w:pPr>
        <w:spacing w:after="40" w:before="0"/>
      </w:pPr>
      <w:r>
        <w:rPr>
          <w:rFonts w:ascii="Calibri" w:hAnsi="Calibri"/>
          <w:b w:val="0"/>
          <w:i w:val="0"/>
          <w:color w:val="444444"/>
          <w:sz w:val="18"/>
        </w:rPr>
        <w:t>Instructional Model: Bandura Social Cognitive Learning — Attention · Retention · Practice · Motivation</w:t>
      </w:r>
    </w:p>
    <w:p>
      <w:pPr>
        <w:spacing w:after="120" w:before="0"/>
      </w:pPr>
      <w:r>
        <w:rPr>
          <w:rFonts w:ascii="Calibri" w:hAnsi="Calibri"/>
          <w:b w:val="0"/>
          <w:i w:val="0"/>
          <w:color w:val="444444"/>
          <w:sz w:val="18"/>
        </w:rPr>
        <w:t>3 Core Lessons · 4 Tabletop Exercises · Full Assessment Toolkit · Ready-to-Print Resources</w:t>
      </w:r>
    </w:p>
    <w:p>
      <w:pPr>
        <w:pStyle w:val="Heading1"/>
      </w:pPr>
      <w:r>
        <w:t>Contents</w:t>
      </w:r>
    </w:p>
    <w:p>
      <w:pPr>
        <w:spacing w:after="20"/>
      </w:pPr>
      <w:r>
        <w:rPr>
          <w:rFonts w:ascii="Calibri" w:hAnsi="Calibri"/>
          <w:b w:val="0"/>
          <w:i w:val="0"/>
          <w:color w:val="444444"/>
          <w:sz w:val="22"/>
        </w:rPr>
        <w:t>•  How to Use This Guide</w:t>
      </w:r>
    </w:p>
    <w:p>
      <w:pPr>
        <w:spacing w:after="20"/>
      </w:pPr>
      <w:r>
        <w:rPr>
          <w:rFonts w:ascii="Calibri" w:hAnsi="Calibri"/>
          <w:b w:val="0"/>
          <w:i w:val="0"/>
          <w:color w:val="444444"/>
          <w:sz w:val="22"/>
        </w:rPr>
        <w:t>•  Unit Overview</w:t>
      </w:r>
    </w:p>
    <w:p>
      <w:pPr>
        <w:spacing w:after="20"/>
      </w:pPr>
      <w:r>
        <w:rPr>
          <w:rFonts w:ascii="Calibri" w:hAnsi="Calibri"/>
          <w:b w:val="0"/>
          <w:i w:val="0"/>
          <w:color w:val="444444"/>
          <w:sz w:val="22"/>
        </w:rPr>
        <w:t>•  Standards at a Glance</w:t>
      </w:r>
    </w:p>
    <w:p>
      <w:pPr>
        <w:spacing w:after="20"/>
      </w:pPr>
      <w:r>
        <w:rPr>
          <w:rFonts w:ascii="Calibri" w:hAnsi="Calibri"/>
          <w:b w:val="0"/>
          <w:i w:val="0"/>
          <w:color w:val="444444"/>
          <w:sz w:val="22"/>
        </w:rPr>
        <w:t>•  Suggested Scope &amp; Sequence</w:t>
      </w:r>
    </w:p>
    <w:p>
      <w:pPr>
        <w:spacing w:after="20"/>
      </w:pPr>
      <w:r>
        <w:rPr>
          <w:rFonts w:ascii="Calibri" w:hAnsi="Calibri"/>
          <w:b w:val="0"/>
          <w:i w:val="0"/>
          <w:color w:val="444444"/>
          <w:sz w:val="22"/>
        </w:rPr>
        <w:t>•  Unit Vocabulary</w:t>
      </w:r>
    </w:p>
    <w:p>
      <w:pPr>
        <w:spacing w:after="20"/>
      </w:pPr>
      <w:r>
        <w:rPr>
          <w:rFonts w:ascii="Calibri" w:hAnsi="Calibri"/>
          <w:b w:val="0"/>
          <w:i w:val="0"/>
          <w:color w:val="444444"/>
          <w:sz w:val="22"/>
        </w:rPr>
        <w:t>•  Lesson 1 — Your Digital Footprint &amp; Real-World Reputation</w:t>
      </w:r>
    </w:p>
    <w:p>
      <w:pPr>
        <w:spacing w:after="20"/>
      </w:pPr>
      <w:r>
        <w:rPr>
          <w:rFonts w:ascii="Calibri" w:hAnsi="Calibri"/>
          <w:b w:val="0"/>
          <w:i w:val="0"/>
          <w:color w:val="444444"/>
          <w:sz w:val="22"/>
        </w:rPr>
        <w:t>•  Lesson 2 — Social Engineering, Scams &amp; AI-Era Threats</w:t>
      </w:r>
    </w:p>
    <w:p>
      <w:pPr>
        <w:spacing w:after="20"/>
      </w:pPr>
      <w:r>
        <w:rPr>
          <w:rFonts w:ascii="Calibri" w:hAnsi="Calibri"/>
          <w:b w:val="0"/>
          <w:i w:val="0"/>
          <w:color w:val="444444"/>
          <w:sz w:val="22"/>
        </w:rPr>
        <w:t>•  Lesson 3 — Digital Rights, Serious Harm &amp; Responsible Response</w:t>
      </w:r>
    </w:p>
    <w:p>
      <w:pPr>
        <w:spacing w:after="20"/>
      </w:pPr>
      <w:r>
        <w:rPr>
          <w:rFonts w:ascii="Calibri" w:hAnsi="Calibri"/>
          <w:b w:val="0"/>
          <w:i w:val="0"/>
          <w:color w:val="444444"/>
          <w:sz w:val="22"/>
        </w:rPr>
        <w:t>•  Tabletop Exercises (4)</w:t>
      </w:r>
    </w:p>
    <w:p>
      <w:pPr>
        <w:spacing w:after="20"/>
      </w:pPr>
      <w:r>
        <w:rPr>
          <w:rFonts w:ascii="Calibri" w:hAnsi="Calibri"/>
          <w:b w:val="0"/>
          <w:i w:val="0"/>
          <w:color w:val="444444"/>
          <w:sz w:val="22"/>
        </w:rPr>
        <w:t>•  Assessment Toolkit</w:t>
      </w:r>
    </w:p>
    <w:p>
      <w:pPr>
        <w:spacing w:after="20"/>
      </w:pPr>
      <w:r>
        <w:rPr>
          <w:rFonts w:ascii="Calibri" w:hAnsi="Calibri"/>
          <w:b w:val="0"/>
          <w:i w:val="0"/>
          <w:color w:val="444444"/>
          <w:sz w:val="22"/>
        </w:rPr>
        <w:t>•  SWAT Instructional Delivery Checklist</w:t>
      </w:r>
    </w:p>
    <w:p>
      <w:pPr>
        <w:spacing w:after="20"/>
      </w:pPr>
      <w:r>
        <w:rPr>
          <w:rFonts w:ascii="Calibri" w:hAnsi="Calibri"/>
          <w:b w:val="0"/>
          <w:i w:val="0"/>
          <w:color w:val="444444"/>
          <w:sz w:val="22"/>
        </w:rPr>
        <w:t>•  Printable Teacher Resources (Appendices A–J)</w:t>
      </w:r>
    </w:p>
    <w:p>
      <w:pPr>
        <w:pStyle w:val="Heading1"/>
      </w:pPr>
      <w:r>
        <w:t>How to Use This Guide</w:t>
      </w:r>
    </w:p>
    <w:p>
      <w:pPr>
        <w:spacing w:after="80" w:before="0"/>
      </w:pPr>
      <w:r>
        <w:rPr>
          <w:rFonts w:ascii="Calibri" w:hAnsi="Calibri"/>
          <w:b w:val="0"/>
          <w:i w:val="0"/>
          <w:color w:val="444444"/>
          <w:sz w:val="22"/>
        </w:rPr>
        <w:t>This unit is designed so any Grade 9 teacher — in technology, computer science, advisory, health, or a freshman-seminar setting — can teach it with confidence. Every lesson is scripted, timed, and paired with the exact printable resources you need. You do not need to be a cybersecurity expert. Your role is to facilitate discussion, model calm and responsible decision-making, and give students room to lead, practice, and reflect.</w:t>
      </w:r>
    </w:p>
    <w:p>
      <w:pPr>
        <w:pStyle w:val="Heading3"/>
      </w:pPr>
      <w:r>
        <w:t>What makes this a SWAT-compliant unit</w:t>
      </w:r>
    </w:p>
    <w:p>
      <w:pPr>
        <w:spacing w:after="80" w:before="0"/>
      </w:pPr>
      <w:r>
        <w:rPr>
          <w:rFonts w:ascii="Calibri" w:hAnsi="Calibri"/>
          <w:b w:val="0"/>
          <w:i w:val="0"/>
          <w:color w:val="444444"/>
          <w:sz w:val="22"/>
        </w:rPr>
        <w:t>WV Senate Bill 466 (SWAT) expects students to learn safe technology behavior the way people actually learn behavior — by observing, discussing, practicing, and reflecting, not by sitting through a slideshow. This unit follows Albert Bandura’s social cognitive model that the SWAT guidance emphasizes: students give attention to a modeled behavior, retain it, practice (produce) it, and are motivated to use it.</w:t>
      </w:r>
    </w:p>
    <w:p>
      <w:pPr>
        <w:pStyle w:val="Heading3"/>
      </w:pPr>
      <w:r>
        <w:t>How Grade 9 goes further</w:t>
      </w:r>
    </w:p>
    <w:p>
      <w:pPr>
        <w:spacing w:after="80" w:before="0"/>
      </w:pPr>
      <w:r>
        <w:rPr>
          <w:rFonts w:ascii="Calibri" w:hAnsi="Calibri"/>
          <w:b w:val="0"/>
          <w:i w:val="0"/>
          <w:color w:val="444444"/>
          <w:sz w:val="22"/>
        </w:rPr>
        <w:t>Grade 8 built digital leadership, data security, and reporting for high-school readiness. Grade 9 students are now in high school, where the stakes are real. A digital footprint that colleges, scholarship committees, employers, and coaches can search. Scams and social engineering built to fool adults. AI-generated fakes, deepfakes, and impersonation. And situations serious enough to involve platforms and the law. Grade 9 moves students from readiness to real-world responsibility: managing a footprint on purpose, recognizing and shutting down advanced threats, and knowing their rights and the layered routes to report serious harm.</w:t>
      </w:r>
    </w:p>
    <w:p>
      <w:pPr>
        <w:pStyle w:val="Heading3"/>
      </w:pPr>
      <w:r>
        <w:t>A note on high-school standards</w:t>
      </w:r>
    </w:p>
    <w:p>
      <w:pPr>
        <w:spacing w:after="80" w:before="0"/>
      </w:pPr>
      <w:r>
        <w:rPr>
          <w:rFonts w:ascii="Calibri" w:hAnsi="Calibri"/>
          <w:b w:val="0"/>
          <w:i w:val="0"/>
          <w:color w:val="444444"/>
          <w:sz w:val="22"/>
        </w:rPr>
        <w:t>Grade 9 anchors to the WV College- and Career-Readiness Standards for Technology and Computer Science (Policy 2520.14). The specific codes below are drawn from West Virginia Discovering Computer Science (CS.DCS), a recognized WV high-school course. If your building delivers this unit inside a different WV high-school computer science course (for example, Computer Science in the Modern World or Fundamentals of Cybersecurity), map these same skills to that course’s standards — the digital-citizenship and personal-security focus transfers directly.</w:t>
      </w:r>
    </w:p>
    <w:p>
      <w:pPr>
        <w:pStyle w:val="Heading3"/>
      </w:pPr>
      <w:r>
        <w:t>Legend — icons used throughout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20"/>
            </w:pPr>
            <w:r>
              <w:rPr>
                <w:rFonts w:ascii="Calibri" w:hAnsi="Calibri"/>
                <w:b/>
                <w:i w:val="0"/>
                <w:color w:val="1E3048"/>
                <w:sz w:val="21"/>
              </w:rPr>
              <w:t xml:space="preserve">PREP  </w:t>
            </w:r>
            <w:r>
              <w:rPr>
                <w:rFonts w:ascii="Calibri" w:hAnsi="Calibri"/>
                <w:b w:val="0"/>
                <w:i w:val="0"/>
                <w:color w:val="444444"/>
                <w:sz w:val="21"/>
              </w:rPr>
              <w:t>What to gather or copy before class.</w:t>
            </w:r>
          </w:p>
          <w:p>
            <w:pPr>
              <w:spacing w:after="20"/>
            </w:pPr>
            <w:r>
              <w:rPr>
                <w:rFonts w:ascii="Calibri" w:hAnsi="Calibri"/>
                <w:b/>
                <w:i w:val="0"/>
                <w:color w:val="1E3048"/>
                <w:sz w:val="21"/>
              </w:rPr>
              <w:t xml:space="preserve">SAY:  </w:t>
            </w:r>
            <w:r>
              <w:rPr>
                <w:rFonts w:ascii="Calibri" w:hAnsi="Calibri"/>
                <w:b w:val="0"/>
                <w:i w:val="0"/>
                <w:color w:val="444444"/>
                <w:sz w:val="21"/>
              </w:rPr>
              <w:t>Suggested teacher language you can read aloud or adapt.</w:t>
            </w:r>
          </w:p>
          <w:p>
            <w:pPr>
              <w:spacing w:after="20"/>
            </w:pPr>
            <w:r>
              <w:rPr>
                <w:rFonts w:ascii="Calibri" w:hAnsi="Calibri"/>
                <w:b/>
                <w:i w:val="0"/>
                <w:color w:val="1E3048"/>
                <w:sz w:val="21"/>
              </w:rPr>
              <w:t xml:space="preserve">DO:  </w:t>
            </w:r>
            <w:r>
              <w:rPr>
                <w:rFonts w:ascii="Calibri" w:hAnsi="Calibri"/>
                <w:b w:val="0"/>
                <w:i w:val="0"/>
                <w:color w:val="444444"/>
                <w:sz w:val="21"/>
              </w:rPr>
              <w:t>A teacher move or action.</w:t>
            </w:r>
          </w:p>
          <w:p>
            <w:pPr>
              <w:spacing w:after="20"/>
            </w:pPr>
            <w:r>
              <w:rPr>
                <w:rFonts w:ascii="Calibri" w:hAnsi="Calibri"/>
                <w:b/>
                <w:i w:val="0"/>
                <w:color w:val="1E3048"/>
                <w:sz w:val="21"/>
              </w:rPr>
              <w:t xml:space="preserve">ASK:  </w:t>
            </w:r>
            <w:r>
              <w:rPr>
                <w:rFonts w:ascii="Calibri" w:hAnsi="Calibri"/>
                <w:b w:val="0"/>
                <w:i w:val="0"/>
                <w:color w:val="444444"/>
                <w:sz w:val="21"/>
              </w:rPr>
              <w:t>A discussion question to pose to students.</w:t>
            </w:r>
          </w:p>
          <w:p>
            <w:pPr>
              <w:spacing w:after="20"/>
            </w:pPr>
            <w:r>
              <w:rPr>
                <w:rFonts w:ascii="Calibri" w:hAnsi="Calibri"/>
                <w:b/>
                <w:i w:val="0"/>
                <w:color w:val="1E3048"/>
                <w:sz w:val="21"/>
              </w:rPr>
              <w:t xml:space="preserve">MODEL  </w:t>
            </w:r>
            <w:r>
              <w:rPr>
                <w:rFonts w:ascii="Calibri" w:hAnsi="Calibri"/>
                <w:b w:val="0"/>
                <w:i w:val="0"/>
                <w:color w:val="444444"/>
                <w:sz w:val="21"/>
              </w:rPr>
              <w:t>The safe/leadership response you demonstrate before students practice it.</w:t>
            </w:r>
          </w:p>
          <w:p>
            <w:pPr>
              <w:spacing w:after="20"/>
            </w:pPr>
            <w:r>
              <w:rPr>
                <w:rFonts w:ascii="Calibri" w:hAnsi="Calibri"/>
                <w:b/>
                <w:i w:val="0"/>
                <w:color w:val="1E3048"/>
                <w:sz w:val="21"/>
              </w:rPr>
              <w:t xml:space="preserve">DIFFERENTIATE  </w:t>
            </w:r>
            <w:r>
              <w:rPr>
                <w:rFonts w:ascii="Calibri" w:hAnsi="Calibri"/>
                <w:b w:val="0"/>
                <w:i w:val="0"/>
                <w:color w:val="444444"/>
                <w:sz w:val="21"/>
              </w:rPr>
              <w:t>Supports for below-level, above-level, and multilingual learners.</w:t>
            </w:r>
          </w:p>
          <w:p>
            <w:pPr>
              <w:spacing w:after="20"/>
            </w:pPr>
            <w:r>
              <w:rPr>
                <w:rFonts w:ascii="Calibri" w:hAnsi="Calibri"/>
                <w:b/>
                <w:i w:val="0"/>
                <w:color w:val="1E3048"/>
                <w:sz w:val="21"/>
              </w:rPr>
              <w:t xml:space="preserve">SAFETY NOTE  </w:t>
            </w:r>
            <w:r>
              <w:rPr>
                <w:rFonts w:ascii="Calibri" w:hAnsi="Calibri"/>
                <w:b w:val="0"/>
                <w:i w:val="0"/>
                <w:color w:val="444444"/>
                <w:sz w:val="21"/>
              </w:rPr>
              <w:t>Guidance for handling sensitive content and disclosures.</w:t>
            </w:r>
          </w:p>
        </w:tc>
      </w:tr>
    </w:tbl>
    <w:p>
      <w:pPr>
        <w:spacing w:after="40"/>
      </w:pPr>
    </w:p>
    <w:p>
      <w:pPr>
        <w:pStyle w:val="Heading1"/>
      </w:pPr>
      <w:r>
        <w:t>Unit Overview</w:t>
      </w:r>
    </w:p>
    <w:p>
      <w:pPr>
        <w:spacing w:after="40"/>
      </w:pPr>
      <w:r>
        <w:rPr>
          <w:rFonts w:ascii="Calibri" w:hAnsi="Calibri"/>
          <w:b/>
          <w:i w:val="0"/>
          <w:color w:val="1E3048"/>
          <w:sz w:val="22"/>
        </w:rPr>
        <w:t xml:space="preserve">Grade level:  </w:t>
      </w:r>
      <w:r>
        <w:rPr>
          <w:rFonts w:ascii="Calibri" w:hAnsi="Calibri"/>
          <w:b w:val="0"/>
          <w:i w:val="0"/>
          <w:color w:val="444444"/>
          <w:sz w:val="22"/>
        </w:rPr>
        <w:t>Grade 9 (high-school foundations focus)</w:t>
      </w:r>
    </w:p>
    <w:p>
      <w:pPr>
        <w:spacing w:after="40"/>
      </w:pPr>
      <w:r>
        <w:rPr>
          <w:rFonts w:ascii="Calibri" w:hAnsi="Calibri"/>
          <w:b/>
          <w:i w:val="0"/>
          <w:color w:val="1E3048"/>
          <w:sz w:val="22"/>
        </w:rPr>
        <w:t xml:space="preserve">Recommended delivery:  </w:t>
      </w:r>
      <w:r>
        <w:rPr>
          <w:rFonts w:ascii="Calibri" w:hAnsi="Calibri"/>
          <w:b w:val="0"/>
          <w:i w:val="0"/>
          <w:color w:val="444444"/>
          <w:sz w:val="22"/>
        </w:rPr>
        <w:t>Technology / computer science, freshman seminar, advisory, or health.</w:t>
      </w:r>
    </w:p>
    <w:p>
      <w:pPr>
        <w:spacing w:after="40"/>
      </w:pPr>
      <w:r>
        <w:rPr>
          <w:rFonts w:ascii="Calibri" w:hAnsi="Calibri"/>
          <w:b/>
          <w:i w:val="0"/>
          <w:color w:val="1E3048"/>
          <w:sz w:val="22"/>
        </w:rPr>
        <w:t xml:space="preserve">Total unit length:  </w:t>
      </w:r>
      <w:r>
        <w:rPr>
          <w:rFonts w:ascii="Calibri" w:hAnsi="Calibri"/>
          <w:b w:val="0"/>
          <w:i w:val="0"/>
          <w:color w:val="444444"/>
          <w:sz w:val="22"/>
        </w:rPr>
        <w:t>3 core lessons (45–50 min each) + 4 tabletop exercises (15–25 min each). Delivers in 4–6 periods; tabletops also work as advisory sessions or review stations.</w:t>
      </w:r>
    </w:p>
    <w:p>
      <w:pPr>
        <w:spacing w:after="40"/>
      </w:pPr>
      <w:r>
        <w:rPr>
          <w:rFonts w:ascii="Calibri" w:hAnsi="Calibri"/>
          <w:b/>
          <w:i w:val="0"/>
          <w:color w:val="1E3048"/>
          <w:sz w:val="22"/>
        </w:rPr>
        <w:t xml:space="preserve">Compliance anchor:  </w:t>
      </w:r>
      <w:r>
        <w:rPr>
          <w:rFonts w:ascii="Calibri" w:hAnsi="Calibri"/>
          <w:b w:val="0"/>
          <w:i w:val="0"/>
          <w:color w:val="444444"/>
          <w:sz w:val="22"/>
        </w:rPr>
        <w:t>WV SB 466 (SWAT) — safe web and technology instruction using observational / peer-modeling delivery.</w:t>
      </w:r>
    </w:p>
    <w:p>
      <w:pPr>
        <w:pStyle w:val="Heading3"/>
      </w:pPr>
      <w:r>
        <w:t>What students will be able to do by the end of the unit</w:t>
      </w:r>
    </w:p>
    <w:p>
      <w:pPr>
        <w:pStyle w:val="ListParagraph"/>
        <w:spacing w:after="40"/>
        <w:numPr>
          <w:ilvl w:val="0"/>
          <w:numId w:val="1"/>
        </w:numPr>
      </w:pPr>
      <w:r>
        <w:rPr>
          <w:rFonts w:ascii="Calibri" w:hAnsi="Calibri"/>
          <w:b w:val="0"/>
          <w:i w:val="0"/>
          <w:color w:val="444444"/>
          <w:sz w:val="22"/>
        </w:rPr>
        <w:t>Map their own digital footprint and manage it on purpose for real-world opportunities.</w:t>
      </w:r>
    </w:p>
    <w:p>
      <w:pPr>
        <w:pStyle w:val="ListParagraph"/>
        <w:spacing w:after="40"/>
        <w:numPr>
          <w:ilvl w:val="0"/>
          <w:numId w:val="1"/>
        </w:numPr>
      </w:pPr>
      <w:r>
        <w:rPr>
          <w:rFonts w:ascii="Calibri" w:hAnsi="Calibri"/>
          <w:b w:val="0"/>
          <w:i w:val="0"/>
          <w:color w:val="444444"/>
          <w:sz w:val="22"/>
        </w:rPr>
        <w:t>Run a Footprint Impact Analysis before posting, tagging, or sharing.</w:t>
      </w:r>
    </w:p>
    <w:p>
      <w:pPr>
        <w:pStyle w:val="ListParagraph"/>
        <w:spacing w:after="40"/>
        <w:numPr>
          <w:ilvl w:val="0"/>
          <w:numId w:val="1"/>
        </w:numPr>
      </w:pPr>
      <w:r>
        <w:rPr>
          <w:rFonts w:ascii="Calibri" w:hAnsi="Calibri"/>
          <w:b w:val="0"/>
          <w:i w:val="0"/>
          <w:color w:val="444444"/>
          <w:sz w:val="22"/>
        </w:rPr>
        <w:t>Recognize social engineering, phishing, account-takeover attempts, and AI-generated fakes — and shut them down.</w:t>
      </w:r>
    </w:p>
    <w:p>
      <w:pPr>
        <w:pStyle w:val="ListParagraph"/>
        <w:spacing w:after="40"/>
        <w:numPr>
          <w:ilvl w:val="0"/>
          <w:numId w:val="1"/>
        </w:numPr>
      </w:pPr>
      <w:r>
        <w:rPr>
          <w:rFonts w:ascii="Calibri" w:hAnsi="Calibri"/>
          <w:b w:val="0"/>
          <w:i w:val="0"/>
          <w:color w:val="444444"/>
          <w:sz w:val="22"/>
        </w:rPr>
        <w:t>Apply strong personal-security habits: unique passwords, MFA, verify-before-you-act, and secure transactions.</w:t>
      </w:r>
    </w:p>
    <w:p>
      <w:pPr>
        <w:pStyle w:val="ListParagraph"/>
        <w:spacing w:after="40"/>
        <w:numPr>
          <w:ilvl w:val="0"/>
          <w:numId w:val="1"/>
        </w:numPr>
      </w:pPr>
      <w:r>
        <w:rPr>
          <w:rFonts w:ascii="Calibri" w:hAnsi="Calibri"/>
          <w:b w:val="0"/>
          <w:i w:val="0"/>
          <w:color w:val="444444"/>
          <w:sz w:val="22"/>
        </w:rPr>
        <w:t>Use a layered reporting pathway — trusted adult, school, platform tools, and national resources — for serious harm.</w:t>
      </w:r>
    </w:p>
    <w:p>
      <w:pPr>
        <w:pStyle w:val="ListParagraph"/>
        <w:spacing w:after="40"/>
        <w:numPr>
          <w:ilvl w:val="0"/>
          <w:numId w:val="1"/>
        </w:numPr>
      </w:pPr>
      <w:r>
        <w:rPr>
          <w:rFonts w:ascii="Calibri" w:hAnsi="Calibri"/>
          <w:b w:val="0"/>
          <w:i w:val="0"/>
          <w:color w:val="444444"/>
          <w:sz w:val="22"/>
        </w:rPr>
        <w:t>Support a peer safely and connect them to help without investigating or retaliating.</w:t>
      </w:r>
    </w:p>
    <w:p>
      <w:pPr>
        <w:pStyle w:val="Heading3"/>
      </w:pPr>
      <w:r>
        <w:t>Enduring understandings</w:t>
      </w:r>
    </w:p>
    <w:p>
      <w:pPr>
        <w:pStyle w:val="ListParagraph"/>
        <w:spacing w:after="40"/>
        <w:numPr>
          <w:ilvl w:val="0"/>
          <w:numId w:val="1"/>
        </w:numPr>
      </w:pPr>
      <w:r>
        <w:rPr>
          <w:rFonts w:ascii="Calibri" w:hAnsi="Calibri"/>
          <w:b w:val="0"/>
          <w:i w:val="0"/>
          <w:color w:val="444444"/>
          <w:sz w:val="22"/>
        </w:rPr>
        <w:t>Your digital footprint is an asset you build on purpose — it opens or closes real doors.</w:t>
      </w:r>
    </w:p>
    <w:p>
      <w:pPr>
        <w:pStyle w:val="ListParagraph"/>
        <w:spacing w:after="40"/>
        <w:numPr>
          <w:ilvl w:val="0"/>
          <w:numId w:val="1"/>
        </w:numPr>
      </w:pPr>
      <w:r>
        <w:rPr>
          <w:rFonts w:ascii="Calibri" w:hAnsi="Calibri"/>
          <w:b w:val="0"/>
          <w:i w:val="0"/>
          <w:color w:val="444444"/>
          <w:sz w:val="22"/>
        </w:rPr>
        <w:t>Most attacks target people, not machines: recognizing manipulation is your strongest defense.</w:t>
      </w:r>
    </w:p>
    <w:p>
      <w:pPr>
        <w:pStyle w:val="ListParagraph"/>
        <w:spacing w:after="40"/>
        <w:numPr>
          <w:ilvl w:val="0"/>
          <w:numId w:val="1"/>
        </w:numPr>
      </w:pPr>
      <w:r>
        <w:rPr>
          <w:rFonts w:ascii="Calibri" w:hAnsi="Calibri"/>
          <w:b w:val="0"/>
          <w:i w:val="0"/>
          <w:color w:val="444444"/>
          <w:sz w:val="22"/>
        </w:rPr>
        <w:t>Serious online harm is never handled alone — stop, preserve evidence, protect safety, and tell a trusted adult who can involve the right resources.</w:t>
      </w:r>
    </w:p>
    <w:p>
      <w:pPr>
        <w:pStyle w:val="Heading1"/>
      </w:pPr>
      <w:r>
        <w:t>Standards at a Glance</w:t>
      </w:r>
    </w:p>
    <w:p>
      <w:pPr>
        <w:spacing w:after="80" w:before="0"/>
      </w:pPr>
      <w:r>
        <w:rPr>
          <w:rFonts w:ascii="Calibri" w:hAnsi="Calibri"/>
          <w:b w:val="0"/>
          <w:i w:val="0"/>
          <w:color w:val="444444"/>
          <w:sz w:val="22"/>
        </w:rPr>
        <w:t>This map shows where each WV Technology &amp; Computer Science standard (Policy 2520.14, CS.DCS course codes) and ELA strand is addressed. Full standard language appears within each lesson.</w:t>
      </w:r>
    </w:p>
    <w:p>
      <w:pPr>
        <w:pStyle w:val="Heading3"/>
      </w:pPr>
      <w:r>
        <w:t>WV Technology &amp; Computer Science (CS.DCS — high school)</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1E3048"/>
            <w:vAlign w:val="center"/>
          </w:tcPr>
          <w:p>
            <w:pPr>
              <w:spacing w:after="20" w:before="20"/>
            </w:pPr>
            <w:r>
              <w:rPr>
                <w:rFonts w:ascii="Calibri" w:hAnsi="Calibri"/>
                <w:b/>
                <w:i w:val="0"/>
                <w:color w:val="FFFFFF"/>
                <w:sz w:val="21"/>
              </w:rPr>
              <w:t>Standard</w:t>
            </w:r>
          </w:p>
        </w:tc>
        <w:tc>
          <w:tcPr>
            <w:tcW w:type="dxa" w:w="4752"/>
            <w:shd w:val="clear" w:color="auto" w:fill="1E3048"/>
            <w:vAlign w:val="center"/>
          </w:tcPr>
          <w:p>
            <w:pPr>
              <w:spacing w:after="20" w:before="20"/>
            </w:pPr>
            <w:r>
              <w:rPr>
                <w:rFonts w:ascii="Calibri" w:hAnsi="Calibri"/>
                <w:b/>
                <w:i w:val="0"/>
                <w:color w:val="FFFFFF"/>
                <w:sz w:val="21"/>
              </w:rPr>
              <w:t>Focus</w:t>
            </w:r>
          </w:p>
        </w:tc>
        <w:tc>
          <w:tcPr>
            <w:tcW w:type="dxa" w:w="2880"/>
            <w:shd w:val="clear" w:color="auto" w:fill="1E3048"/>
            <w:vAlign w:val="center"/>
          </w:tcPr>
          <w:p>
            <w:pPr>
              <w:spacing w:after="20" w:before="20"/>
            </w:pPr>
            <w:r>
              <w:rPr>
                <w:rFonts w:ascii="Calibri" w:hAnsi="Calibri"/>
                <w:b/>
                <w:i w:val="0"/>
                <w:color w:val="FFFFFF"/>
                <w:sz w:val="21"/>
              </w:rPr>
              <w:t>Where addressed</w:t>
            </w:r>
          </w:p>
        </w:tc>
      </w:tr>
      <w:tr>
        <w:tc>
          <w:tcPr>
            <w:tcW w:type="dxa" w:w="1584"/>
            <w:vAlign w:val="center"/>
          </w:tcPr>
          <w:p>
            <w:pPr>
              <w:spacing w:after="20" w:before="20"/>
            </w:pPr>
            <w:r>
              <w:rPr>
                <w:rFonts w:ascii="Calibri" w:hAnsi="Calibri"/>
                <w:b w:val="0"/>
                <w:i w:val="0"/>
                <w:color w:val="444444"/>
                <w:sz w:val="20"/>
              </w:rPr>
              <w:t>CS.DCS.25</w:t>
            </w:r>
          </w:p>
        </w:tc>
        <w:tc>
          <w:tcPr>
            <w:tcW w:type="dxa" w:w="4752"/>
            <w:vAlign w:val="center"/>
          </w:tcPr>
          <w:p>
            <w:pPr>
              <w:spacing w:after="20" w:before="20"/>
            </w:pPr>
            <w:r>
              <w:rPr>
                <w:rFonts w:ascii="Calibri" w:hAnsi="Calibri"/>
                <w:b w:val="0"/>
                <w:i w:val="0"/>
                <w:color w:val="444444"/>
                <w:sz w:val="20"/>
              </w:rPr>
              <w:t>Personal information security — passwords, encryption, secure transactions</w:t>
            </w:r>
          </w:p>
        </w:tc>
        <w:tc>
          <w:tcPr>
            <w:tcW w:type="dxa" w:w="2880"/>
            <w:vAlign w:val="center"/>
          </w:tcPr>
          <w:p>
            <w:pPr>
              <w:spacing w:after="20" w:before="20"/>
            </w:pPr>
            <w:r>
              <w:rPr>
                <w:rFonts w:ascii="Calibri" w:hAnsi="Calibri"/>
                <w:b w:val="0"/>
                <w:i w:val="0"/>
                <w:color w:val="444444"/>
                <w:sz w:val="20"/>
              </w:rPr>
              <w:t>Lesson 2 · Tabletop 2</w:t>
            </w:r>
          </w:p>
        </w:tc>
      </w:tr>
      <w:tr>
        <w:tc>
          <w:tcPr>
            <w:tcW w:type="dxa" w:w="1584"/>
            <w:vAlign w:val="center"/>
          </w:tcPr>
          <w:p>
            <w:pPr>
              <w:spacing w:after="20" w:before="20"/>
            </w:pPr>
            <w:r>
              <w:rPr>
                <w:rFonts w:ascii="Calibri" w:hAnsi="Calibri"/>
                <w:b w:val="0"/>
                <w:i w:val="0"/>
                <w:color w:val="444444"/>
                <w:sz w:val="20"/>
              </w:rPr>
              <w:t>CS.DCS.37</w:t>
            </w:r>
          </w:p>
        </w:tc>
        <w:tc>
          <w:tcPr>
            <w:tcW w:type="dxa" w:w="4752"/>
            <w:vAlign w:val="center"/>
          </w:tcPr>
          <w:p>
            <w:pPr>
              <w:spacing w:after="20" w:before="20"/>
            </w:pPr>
            <w:r>
              <w:rPr>
                <w:rFonts w:ascii="Calibri" w:hAnsi="Calibri"/>
                <w:b w:val="0"/>
                <w:i w:val="0"/>
                <w:color w:val="444444"/>
                <w:sz w:val="20"/>
              </w:rPr>
              <w:t>Legal &amp; ethical technology behavior; consequences of misuse</w:t>
            </w:r>
          </w:p>
        </w:tc>
        <w:tc>
          <w:tcPr>
            <w:tcW w:type="dxa" w:w="2880"/>
            <w:vAlign w:val="center"/>
          </w:tcPr>
          <w:p>
            <w:pPr>
              <w:spacing w:after="20" w:before="20"/>
            </w:pPr>
            <w:r>
              <w:rPr>
                <w:rFonts w:ascii="Calibri" w:hAnsi="Calibri"/>
                <w:b w:val="0"/>
                <w:i w:val="0"/>
                <w:color w:val="444444"/>
                <w:sz w:val="20"/>
              </w:rPr>
              <w:t>Lessons 1 &amp; 3 · all tabletops</w:t>
            </w:r>
          </w:p>
        </w:tc>
      </w:tr>
      <w:tr>
        <w:tc>
          <w:tcPr>
            <w:tcW w:type="dxa" w:w="1584"/>
            <w:vAlign w:val="center"/>
          </w:tcPr>
          <w:p>
            <w:pPr>
              <w:spacing w:after="20" w:before="20"/>
            </w:pPr>
            <w:r>
              <w:rPr>
                <w:rFonts w:ascii="Calibri" w:hAnsi="Calibri"/>
                <w:b w:val="0"/>
                <w:i w:val="0"/>
                <w:color w:val="444444"/>
                <w:sz w:val="20"/>
              </w:rPr>
              <w:t>CS.DCS.39</w:t>
            </w:r>
          </w:p>
        </w:tc>
        <w:tc>
          <w:tcPr>
            <w:tcW w:type="dxa" w:w="4752"/>
            <w:vAlign w:val="center"/>
          </w:tcPr>
          <w:p>
            <w:pPr>
              <w:spacing w:after="20" w:before="20"/>
            </w:pPr>
            <w:r>
              <w:rPr>
                <w:rFonts w:ascii="Calibri" w:hAnsi="Calibri"/>
                <w:b w:val="0"/>
                <w:i w:val="0"/>
                <w:color w:val="444444"/>
                <w:sz w:val="20"/>
              </w:rPr>
              <w:t>Analyze positive &amp; negative impacts of computing on culture</w:t>
            </w:r>
          </w:p>
        </w:tc>
        <w:tc>
          <w:tcPr>
            <w:tcW w:type="dxa" w:w="2880"/>
            <w:vAlign w:val="center"/>
          </w:tcPr>
          <w:p>
            <w:pPr>
              <w:spacing w:after="20" w:before="20"/>
            </w:pPr>
            <w:r>
              <w:rPr>
                <w:rFonts w:ascii="Calibri" w:hAnsi="Calibri"/>
                <w:b w:val="0"/>
                <w:i w:val="0"/>
                <w:color w:val="444444"/>
                <w:sz w:val="20"/>
              </w:rPr>
              <w:t>Lessons 1 &amp; 3 · Tabletops 1, 3, 4</w:t>
            </w:r>
          </w:p>
        </w:tc>
      </w:tr>
      <w:tr>
        <w:tc>
          <w:tcPr>
            <w:tcW w:type="dxa" w:w="1584"/>
            <w:vAlign w:val="center"/>
          </w:tcPr>
          <w:p>
            <w:pPr>
              <w:spacing w:after="20" w:before="20"/>
            </w:pPr>
            <w:r>
              <w:rPr>
                <w:rFonts w:ascii="Calibri" w:hAnsi="Calibri"/>
                <w:b w:val="0"/>
                <w:i w:val="0"/>
                <w:color w:val="444444"/>
                <w:sz w:val="20"/>
              </w:rPr>
              <w:t>CS.DCS.40</w:t>
            </w:r>
          </w:p>
        </w:tc>
        <w:tc>
          <w:tcPr>
            <w:tcW w:type="dxa" w:w="4752"/>
            <w:vAlign w:val="center"/>
          </w:tcPr>
          <w:p>
            <w:pPr>
              <w:spacing w:after="20" w:before="20"/>
            </w:pPr>
            <w:r>
              <w:rPr>
                <w:rFonts w:ascii="Calibri" w:hAnsi="Calibri"/>
                <w:b w:val="0"/>
                <w:i w:val="0"/>
                <w:color w:val="444444"/>
                <w:sz w:val="20"/>
              </w:rPr>
              <w:t>Evaluate accuracy, relevance, and bias of electronic information</w:t>
            </w:r>
          </w:p>
        </w:tc>
        <w:tc>
          <w:tcPr>
            <w:tcW w:type="dxa" w:w="2880"/>
            <w:vAlign w:val="center"/>
          </w:tcPr>
          <w:p>
            <w:pPr>
              <w:spacing w:after="20" w:before="20"/>
            </w:pPr>
            <w:r>
              <w:rPr>
                <w:rFonts w:ascii="Calibri" w:hAnsi="Calibri"/>
                <w:b w:val="0"/>
                <w:i w:val="0"/>
                <w:color w:val="444444"/>
                <w:sz w:val="20"/>
              </w:rPr>
              <w:t>Lesson 2 · Tabletop 3</w:t>
            </w:r>
          </w:p>
        </w:tc>
      </w:tr>
      <w:tr>
        <w:tc>
          <w:tcPr>
            <w:tcW w:type="dxa" w:w="1584"/>
            <w:vAlign w:val="center"/>
          </w:tcPr>
          <w:p>
            <w:pPr>
              <w:spacing w:after="20" w:before="20"/>
            </w:pPr>
            <w:r>
              <w:rPr>
                <w:rFonts w:ascii="Calibri" w:hAnsi="Calibri"/>
                <w:b w:val="0"/>
                <w:i w:val="0"/>
                <w:color w:val="444444"/>
                <w:sz w:val="20"/>
              </w:rPr>
              <w:t>CS.DCS.38</w:t>
            </w:r>
          </w:p>
        </w:tc>
        <w:tc>
          <w:tcPr>
            <w:tcW w:type="dxa" w:w="4752"/>
            <w:vAlign w:val="center"/>
          </w:tcPr>
          <w:p>
            <w:pPr>
              <w:spacing w:after="20" w:before="20"/>
            </w:pPr>
            <w:r>
              <w:rPr>
                <w:rFonts w:ascii="Calibri" w:hAnsi="Calibri"/>
                <w:b w:val="0"/>
                <w:i w:val="0"/>
                <w:color w:val="444444"/>
                <w:sz w:val="20"/>
              </w:rPr>
              <w:t>Changes in information technology over time and their effects on society</w:t>
            </w:r>
          </w:p>
        </w:tc>
        <w:tc>
          <w:tcPr>
            <w:tcW w:type="dxa" w:w="2880"/>
            <w:vAlign w:val="center"/>
          </w:tcPr>
          <w:p>
            <w:pPr>
              <w:spacing w:after="20" w:before="20"/>
            </w:pPr>
            <w:r>
              <w:rPr>
                <w:rFonts w:ascii="Calibri" w:hAnsi="Calibri"/>
                <w:b w:val="0"/>
                <w:i w:val="0"/>
                <w:color w:val="444444"/>
                <w:sz w:val="20"/>
              </w:rPr>
              <w:t>Lessons 1 &amp; 2 · Tabletop 3</w:t>
            </w:r>
          </w:p>
        </w:tc>
      </w:tr>
      <w:tr>
        <w:tc>
          <w:tcPr>
            <w:tcW w:type="dxa" w:w="1584"/>
            <w:vAlign w:val="center"/>
          </w:tcPr>
          <w:p>
            <w:pPr>
              <w:spacing w:after="20" w:before="20"/>
            </w:pPr>
            <w:r>
              <w:rPr>
                <w:rFonts w:ascii="Calibri" w:hAnsi="Calibri"/>
                <w:b w:val="0"/>
                <w:i w:val="0"/>
                <w:color w:val="444444"/>
                <w:sz w:val="20"/>
              </w:rPr>
              <w:t>CS.DCS.19</w:t>
            </w:r>
          </w:p>
        </w:tc>
        <w:tc>
          <w:tcPr>
            <w:tcW w:type="dxa" w:w="4752"/>
            <w:vAlign w:val="center"/>
          </w:tcPr>
          <w:p>
            <w:pPr>
              <w:spacing w:after="20" w:before="20"/>
            </w:pPr>
            <w:r>
              <w:rPr>
                <w:rFonts w:ascii="Calibri" w:hAnsi="Calibri"/>
                <w:b w:val="0"/>
                <w:i w:val="0"/>
                <w:color w:val="444444"/>
                <w:sz w:val="20"/>
              </w:rPr>
              <w:t>Collaboration — feedback, multiple perspectives, discussion</w:t>
            </w:r>
          </w:p>
        </w:tc>
        <w:tc>
          <w:tcPr>
            <w:tcW w:type="dxa" w:w="2880"/>
            <w:vAlign w:val="center"/>
          </w:tcPr>
          <w:p>
            <w:pPr>
              <w:spacing w:after="20" w:before="20"/>
            </w:pPr>
            <w:r>
              <w:rPr>
                <w:rFonts w:ascii="Calibri" w:hAnsi="Calibri"/>
                <w:b w:val="0"/>
                <w:i w:val="0"/>
                <w:color w:val="444444"/>
                <w:sz w:val="20"/>
              </w:rPr>
              <w:t>Lessons 1–3 · all tabletops</w:t>
            </w:r>
          </w:p>
        </w:tc>
      </w:tr>
      <w:tr>
        <w:tc>
          <w:tcPr>
            <w:tcW w:type="dxa" w:w="1584"/>
            <w:vAlign w:val="center"/>
          </w:tcPr>
          <w:p>
            <w:pPr>
              <w:spacing w:after="20" w:before="20"/>
            </w:pPr>
            <w:r>
              <w:rPr>
                <w:rFonts w:ascii="Calibri" w:hAnsi="Calibri"/>
                <w:b w:val="0"/>
                <w:i w:val="0"/>
                <w:color w:val="444444"/>
                <w:sz w:val="20"/>
              </w:rPr>
              <w:t>CS.DCS.32</w:t>
            </w:r>
          </w:p>
        </w:tc>
        <w:tc>
          <w:tcPr>
            <w:tcW w:type="dxa" w:w="4752"/>
            <w:vAlign w:val="center"/>
          </w:tcPr>
          <w:p>
            <w:pPr>
              <w:spacing w:after="20" w:before="20"/>
            </w:pPr>
            <w:r>
              <w:rPr>
                <w:rFonts w:ascii="Calibri" w:hAnsi="Calibri"/>
                <w:b w:val="0"/>
                <w:i w:val="0"/>
                <w:color w:val="444444"/>
                <w:sz w:val="20"/>
              </w:rPr>
              <w:t>Use accurate, developmentally appropriate technology terminology</w:t>
            </w:r>
          </w:p>
        </w:tc>
        <w:tc>
          <w:tcPr>
            <w:tcW w:type="dxa" w:w="2880"/>
            <w:vAlign w:val="center"/>
          </w:tcPr>
          <w:p>
            <w:pPr>
              <w:spacing w:after="20" w:before="20"/>
            </w:pPr>
            <w:r>
              <w:rPr>
                <w:rFonts w:ascii="Calibri" w:hAnsi="Calibri"/>
                <w:b w:val="0"/>
                <w:i w:val="0"/>
                <w:color w:val="444444"/>
                <w:sz w:val="20"/>
              </w:rPr>
              <w:t>Lessons 1–3 (vocabulary)</w:t>
            </w:r>
          </w:p>
        </w:tc>
      </w:tr>
    </w:tbl>
    <w:p>
      <w:pPr>
        <w:spacing w:after="40"/>
      </w:pPr>
    </w:p>
    <w:p>
      <w:pPr>
        <w:pStyle w:val="Heading3"/>
      </w:pPr>
      <w:r>
        <w:t>WV High School ELA</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E3048"/>
            <w:vAlign w:val="center"/>
          </w:tcPr>
          <w:p>
            <w:pPr>
              <w:spacing w:after="20" w:before="20"/>
            </w:pPr>
            <w:r>
              <w:rPr>
                <w:rFonts w:ascii="Calibri" w:hAnsi="Calibri"/>
                <w:b/>
                <w:i w:val="0"/>
                <w:color w:val="FFFFFF"/>
                <w:sz w:val="21"/>
              </w:rPr>
              <w:t>Strand</w:t>
            </w:r>
          </w:p>
        </w:tc>
        <w:tc>
          <w:tcPr>
            <w:tcW w:type="dxa" w:w="6768"/>
            <w:shd w:val="clear" w:color="auto" w:fill="1E3048"/>
            <w:vAlign w:val="center"/>
          </w:tcPr>
          <w:p>
            <w:pPr>
              <w:spacing w:after="20" w:before="20"/>
            </w:pPr>
            <w:r>
              <w:rPr>
                <w:rFonts w:ascii="Calibri" w:hAnsi="Calibri"/>
                <w:b/>
                <w:i w:val="0"/>
                <w:color w:val="FFFFFF"/>
                <w:sz w:val="21"/>
              </w:rPr>
              <w:t>Application in this unit</w:t>
            </w:r>
          </w:p>
        </w:tc>
      </w:tr>
      <w:tr>
        <w:tc>
          <w:tcPr>
            <w:tcW w:type="dxa" w:w="2448"/>
            <w:vAlign w:val="center"/>
          </w:tcPr>
          <w:p>
            <w:pPr>
              <w:spacing w:after="20" w:before="20"/>
            </w:pPr>
            <w:r>
              <w:rPr>
                <w:rFonts w:ascii="Calibri" w:hAnsi="Calibri"/>
                <w:b w:val="0"/>
                <w:i w:val="0"/>
                <w:color w:val="444444"/>
                <w:sz w:val="20"/>
              </w:rPr>
              <w:t>Reading Informational Text</w:t>
            </w:r>
          </w:p>
        </w:tc>
        <w:tc>
          <w:tcPr>
            <w:tcW w:type="dxa" w:w="6768"/>
            <w:vAlign w:val="center"/>
          </w:tcPr>
          <w:p>
            <w:pPr>
              <w:spacing w:after="20" w:before="20"/>
            </w:pPr>
            <w:r>
              <w:rPr>
                <w:rFonts w:ascii="Calibri" w:hAnsi="Calibri"/>
                <w:b w:val="0"/>
                <w:i w:val="0"/>
                <w:color w:val="444444"/>
                <w:sz w:val="20"/>
              </w:rPr>
              <w:t>Analyzing claims, evidence, and authenticity in realistic scenarios and messages.</w:t>
            </w:r>
          </w:p>
        </w:tc>
      </w:tr>
      <w:tr>
        <w:tc>
          <w:tcPr>
            <w:tcW w:type="dxa" w:w="2448"/>
            <w:vAlign w:val="center"/>
          </w:tcPr>
          <w:p>
            <w:pPr>
              <w:spacing w:after="20" w:before="20"/>
            </w:pPr>
            <w:r>
              <w:rPr>
                <w:rFonts w:ascii="Calibri" w:hAnsi="Calibri"/>
                <w:b w:val="0"/>
                <w:i w:val="0"/>
                <w:color w:val="444444"/>
                <w:sz w:val="20"/>
              </w:rPr>
              <w:t>Speaking &amp; Listening</w:t>
            </w:r>
          </w:p>
        </w:tc>
        <w:tc>
          <w:tcPr>
            <w:tcW w:type="dxa" w:w="6768"/>
            <w:vAlign w:val="center"/>
          </w:tcPr>
          <w:p>
            <w:pPr>
              <w:spacing w:after="20" w:before="20"/>
            </w:pPr>
            <w:r>
              <w:rPr>
                <w:rFonts w:ascii="Calibri" w:hAnsi="Calibri"/>
                <w:b w:val="0"/>
                <w:i w:val="0"/>
                <w:color w:val="444444"/>
                <w:sz w:val="20"/>
              </w:rPr>
              <w:t>Collaborative discussion, building on ideas, presenting protocols and pathways.</w:t>
            </w:r>
          </w:p>
        </w:tc>
      </w:tr>
      <w:tr>
        <w:tc>
          <w:tcPr>
            <w:tcW w:type="dxa" w:w="2448"/>
            <w:vAlign w:val="center"/>
          </w:tcPr>
          <w:p>
            <w:pPr>
              <w:spacing w:after="20" w:before="20"/>
            </w:pPr>
            <w:r>
              <w:rPr>
                <w:rFonts w:ascii="Calibri" w:hAnsi="Calibri"/>
                <w:b w:val="0"/>
                <w:i w:val="0"/>
                <w:color w:val="444444"/>
                <w:sz w:val="20"/>
              </w:rPr>
              <w:t>Writing</w:t>
            </w:r>
          </w:p>
        </w:tc>
        <w:tc>
          <w:tcPr>
            <w:tcW w:type="dxa" w:w="6768"/>
            <w:vAlign w:val="center"/>
          </w:tcPr>
          <w:p>
            <w:pPr>
              <w:spacing w:after="20" w:before="20"/>
            </w:pPr>
            <w:r>
              <w:rPr>
                <w:rFonts w:ascii="Calibri" w:hAnsi="Calibri"/>
                <w:b w:val="0"/>
                <w:i w:val="0"/>
                <w:color w:val="444444"/>
                <w:sz w:val="20"/>
              </w:rPr>
              <w:t>Argument &amp; explanatory writing: footprint plans, security playbooks, pathway maps, reflections.</w:t>
            </w:r>
          </w:p>
        </w:tc>
      </w:tr>
    </w:tbl>
    <w:p>
      <w:pPr>
        <w:spacing w:after="40"/>
      </w:pPr>
    </w:p>
    <w:p>
      <w:pPr>
        <w:pStyle w:val="Heading1"/>
      </w:pPr>
      <w:r>
        <w:t>Suggested Scope &amp; Sequence</w:t>
      </w:r>
    </w:p>
    <w:p>
      <w:pPr>
        <w:spacing w:after="80" w:before="0"/>
      </w:pPr>
      <w:r>
        <w:rPr>
          <w:rFonts w:ascii="Calibri" w:hAnsi="Calibri"/>
          <w:b w:val="0"/>
          <w:i w:val="0"/>
          <w:color w:val="444444"/>
          <w:sz w:val="22"/>
        </w:rPr>
        <w:t>A recommended path is below. Tabletops are modular and also work as advisory sessions or review stations.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color="auto" w:fill="1E3048"/>
            <w:vAlign w:val="center"/>
          </w:tcPr>
          <w:p>
            <w:pPr>
              <w:spacing w:after="20" w:before="20"/>
            </w:pPr>
            <w:r>
              <w:rPr>
                <w:rFonts w:ascii="Calibri" w:hAnsi="Calibri"/>
                <w:b/>
                <w:i w:val="0"/>
                <w:color w:val="FFFFFF"/>
                <w:sz w:val="21"/>
              </w:rPr>
              <w:t>Day</w:t>
            </w:r>
          </w:p>
        </w:tc>
        <w:tc>
          <w:tcPr>
            <w:tcW w:type="dxa" w:w="2160"/>
            <w:shd w:val="clear" w:color="auto" w:fill="1E3048"/>
            <w:vAlign w:val="center"/>
          </w:tcPr>
          <w:p>
            <w:pPr>
              <w:spacing w:after="20" w:before="20"/>
            </w:pPr>
            <w:r>
              <w:rPr>
                <w:rFonts w:ascii="Calibri" w:hAnsi="Calibri"/>
                <w:b/>
                <w:i w:val="0"/>
                <w:color w:val="FFFFFF"/>
                <w:sz w:val="21"/>
              </w:rPr>
              <w:t>Component</w:t>
            </w:r>
          </w:p>
        </w:tc>
        <w:tc>
          <w:tcPr>
            <w:tcW w:type="dxa" w:w="4464"/>
            <w:shd w:val="clear" w:color="auto" w:fill="1E3048"/>
            <w:vAlign w:val="center"/>
          </w:tcPr>
          <w:p>
            <w:pPr>
              <w:spacing w:after="20" w:before="20"/>
            </w:pPr>
            <w:r>
              <w:rPr>
                <w:rFonts w:ascii="Calibri" w:hAnsi="Calibri"/>
                <w:b/>
                <w:i w:val="0"/>
                <w:color w:val="FFFFFF"/>
                <w:sz w:val="21"/>
              </w:rPr>
              <w:t>Focus</w:t>
            </w:r>
          </w:p>
        </w:tc>
        <w:tc>
          <w:tcPr>
            <w:tcW w:type="dxa" w:w="1440"/>
            <w:shd w:val="clear" w:color="auto" w:fill="1E3048"/>
            <w:vAlign w:val="center"/>
          </w:tcPr>
          <w:p>
            <w:pPr>
              <w:spacing w:after="20" w:before="20"/>
            </w:pPr>
            <w:r>
              <w:rPr>
                <w:rFonts w:ascii="Calibri" w:hAnsi="Calibri"/>
                <w:b/>
                <w:i w:val="0"/>
                <w:color w:val="FFFFFF"/>
                <w:sz w:val="21"/>
              </w:rPr>
              <w:t>Approx. time</w:t>
            </w:r>
          </w:p>
        </w:tc>
      </w:tr>
      <w:tr>
        <w:tc>
          <w:tcPr>
            <w:tcW w:type="dxa" w:w="1152"/>
            <w:vAlign w:val="center"/>
          </w:tcPr>
          <w:p>
            <w:pPr>
              <w:spacing w:after="20" w:before="20"/>
            </w:pPr>
            <w:r>
              <w:rPr>
                <w:rFonts w:ascii="Calibri" w:hAnsi="Calibri"/>
                <w:b w:val="0"/>
                <w:i w:val="0"/>
                <w:color w:val="444444"/>
                <w:sz w:val="20"/>
              </w:rPr>
              <w:t>Day 1</w:t>
            </w:r>
          </w:p>
        </w:tc>
        <w:tc>
          <w:tcPr>
            <w:tcW w:type="dxa" w:w="2160"/>
            <w:vAlign w:val="center"/>
          </w:tcPr>
          <w:p>
            <w:pPr>
              <w:spacing w:after="20" w:before="20"/>
            </w:pPr>
            <w:r>
              <w:rPr>
                <w:rFonts w:ascii="Calibri" w:hAnsi="Calibri"/>
                <w:b w:val="0"/>
                <w:i w:val="0"/>
                <w:color w:val="444444"/>
                <w:sz w:val="20"/>
              </w:rPr>
              <w:t>Lesson 1</w:t>
            </w:r>
          </w:p>
        </w:tc>
        <w:tc>
          <w:tcPr>
            <w:tcW w:type="dxa" w:w="4464"/>
            <w:vAlign w:val="center"/>
          </w:tcPr>
          <w:p>
            <w:pPr>
              <w:spacing w:after="20" w:before="20"/>
            </w:pPr>
            <w:r>
              <w:rPr>
                <w:rFonts w:ascii="Calibri" w:hAnsi="Calibri"/>
                <w:b w:val="0"/>
                <w:i w:val="0"/>
                <w:color w:val="444444"/>
                <w:sz w:val="20"/>
              </w:rPr>
              <w:t>Digital footprint &amp; real-world reputation</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Day 2</w:t>
            </w:r>
          </w:p>
        </w:tc>
        <w:tc>
          <w:tcPr>
            <w:tcW w:type="dxa" w:w="2160"/>
            <w:vAlign w:val="center"/>
          </w:tcPr>
          <w:p>
            <w:pPr>
              <w:spacing w:after="20" w:before="20"/>
            </w:pPr>
            <w:r>
              <w:rPr>
                <w:rFonts w:ascii="Calibri" w:hAnsi="Calibri"/>
                <w:b w:val="0"/>
                <w:i w:val="0"/>
                <w:color w:val="444444"/>
                <w:sz w:val="20"/>
              </w:rPr>
              <w:t>Tabletops 1 &amp; 2</w:t>
            </w:r>
          </w:p>
        </w:tc>
        <w:tc>
          <w:tcPr>
            <w:tcW w:type="dxa" w:w="4464"/>
            <w:vAlign w:val="center"/>
          </w:tcPr>
          <w:p>
            <w:pPr>
              <w:spacing w:after="20" w:before="20"/>
            </w:pPr>
            <w:r>
              <w:rPr>
                <w:rFonts w:ascii="Calibri" w:hAnsi="Calibri"/>
                <w:b w:val="0"/>
                <w:i w:val="0"/>
                <w:color w:val="444444"/>
                <w:sz w:val="20"/>
              </w:rPr>
              <w:t>Scholarship surprise + sophisticated phishing</w:t>
            </w:r>
          </w:p>
        </w:tc>
        <w:tc>
          <w:tcPr>
            <w:tcW w:type="dxa" w:w="1440"/>
            <w:vAlign w:val="center"/>
          </w:tcPr>
          <w:p>
            <w:pPr>
              <w:spacing w:after="20" w:before="20"/>
            </w:pPr>
            <w:r>
              <w:rPr>
                <w:rFonts w:ascii="Calibri" w:hAnsi="Calibri"/>
                <w:b w:val="0"/>
                <w:i w:val="0"/>
                <w:color w:val="444444"/>
                <w:sz w:val="20"/>
              </w:rPr>
              <w:t>40–50 min</w:t>
            </w:r>
          </w:p>
        </w:tc>
      </w:tr>
      <w:tr>
        <w:tc>
          <w:tcPr>
            <w:tcW w:type="dxa" w:w="1152"/>
            <w:vAlign w:val="center"/>
          </w:tcPr>
          <w:p>
            <w:pPr>
              <w:spacing w:after="20" w:before="20"/>
            </w:pPr>
            <w:r>
              <w:rPr>
                <w:rFonts w:ascii="Calibri" w:hAnsi="Calibri"/>
                <w:b w:val="0"/>
                <w:i w:val="0"/>
                <w:color w:val="444444"/>
                <w:sz w:val="20"/>
              </w:rPr>
              <w:t>Day 3</w:t>
            </w:r>
          </w:p>
        </w:tc>
        <w:tc>
          <w:tcPr>
            <w:tcW w:type="dxa" w:w="2160"/>
            <w:vAlign w:val="center"/>
          </w:tcPr>
          <w:p>
            <w:pPr>
              <w:spacing w:after="20" w:before="20"/>
            </w:pPr>
            <w:r>
              <w:rPr>
                <w:rFonts w:ascii="Calibri" w:hAnsi="Calibri"/>
                <w:b w:val="0"/>
                <w:i w:val="0"/>
                <w:color w:val="444444"/>
                <w:sz w:val="20"/>
              </w:rPr>
              <w:t>Lesson 2</w:t>
            </w:r>
          </w:p>
        </w:tc>
        <w:tc>
          <w:tcPr>
            <w:tcW w:type="dxa" w:w="4464"/>
            <w:vAlign w:val="center"/>
          </w:tcPr>
          <w:p>
            <w:pPr>
              <w:spacing w:after="20" w:before="20"/>
            </w:pPr>
            <w:r>
              <w:rPr>
                <w:rFonts w:ascii="Calibri" w:hAnsi="Calibri"/>
                <w:b w:val="0"/>
                <w:i w:val="0"/>
                <w:color w:val="444444"/>
                <w:sz w:val="20"/>
              </w:rPr>
              <w:t>Social engineering, scams &amp; AI-era threats</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Day 4</w:t>
            </w:r>
          </w:p>
        </w:tc>
        <w:tc>
          <w:tcPr>
            <w:tcW w:type="dxa" w:w="2160"/>
            <w:vAlign w:val="center"/>
          </w:tcPr>
          <w:p>
            <w:pPr>
              <w:spacing w:after="20" w:before="20"/>
            </w:pPr>
            <w:r>
              <w:rPr>
                <w:rFonts w:ascii="Calibri" w:hAnsi="Calibri"/>
                <w:b w:val="0"/>
                <w:i w:val="0"/>
                <w:color w:val="444444"/>
                <w:sz w:val="20"/>
              </w:rPr>
              <w:t>Lesson 3</w:t>
            </w:r>
          </w:p>
        </w:tc>
        <w:tc>
          <w:tcPr>
            <w:tcW w:type="dxa" w:w="4464"/>
            <w:vAlign w:val="center"/>
          </w:tcPr>
          <w:p>
            <w:pPr>
              <w:spacing w:after="20" w:before="20"/>
            </w:pPr>
            <w:r>
              <w:rPr>
                <w:rFonts w:ascii="Calibri" w:hAnsi="Calibri"/>
                <w:b w:val="0"/>
                <w:i w:val="0"/>
                <w:color w:val="444444"/>
                <w:sz w:val="20"/>
              </w:rPr>
              <w:t>Digital rights, serious harm &amp; responsible response</w:t>
            </w:r>
          </w:p>
        </w:tc>
        <w:tc>
          <w:tcPr>
            <w:tcW w:type="dxa" w:w="1440"/>
            <w:vAlign w:val="center"/>
          </w:tcPr>
          <w:p>
            <w:pPr>
              <w:spacing w:after="20" w:before="20"/>
            </w:pPr>
            <w:r>
              <w:rPr>
                <w:rFonts w:ascii="Calibri" w:hAnsi="Calibri"/>
                <w:b w:val="0"/>
                <w:i w:val="0"/>
                <w:color w:val="444444"/>
                <w:sz w:val="20"/>
              </w:rPr>
              <w:t>45–50 min</w:t>
            </w:r>
          </w:p>
        </w:tc>
      </w:tr>
      <w:tr>
        <w:tc>
          <w:tcPr>
            <w:tcW w:type="dxa" w:w="1152"/>
            <w:vAlign w:val="center"/>
          </w:tcPr>
          <w:p>
            <w:pPr>
              <w:spacing w:after="20" w:before="20"/>
            </w:pPr>
            <w:r>
              <w:rPr>
                <w:rFonts w:ascii="Calibri" w:hAnsi="Calibri"/>
                <w:b w:val="0"/>
                <w:i w:val="0"/>
                <w:color w:val="444444"/>
                <w:sz w:val="20"/>
              </w:rPr>
              <w:t>Optional</w:t>
            </w:r>
          </w:p>
        </w:tc>
        <w:tc>
          <w:tcPr>
            <w:tcW w:type="dxa" w:w="2160"/>
            <w:vAlign w:val="center"/>
          </w:tcPr>
          <w:p>
            <w:pPr>
              <w:spacing w:after="20" w:before="20"/>
            </w:pPr>
            <w:r>
              <w:rPr>
                <w:rFonts w:ascii="Calibri" w:hAnsi="Calibri"/>
                <w:b w:val="0"/>
                <w:i w:val="0"/>
                <w:color w:val="444444"/>
                <w:sz w:val="20"/>
              </w:rPr>
              <w:t>Tabletops 3 &amp; 4</w:t>
            </w:r>
          </w:p>
        </w:tc>
        <w:tc>
          <w:tcPr>
            <w:tcW w:type="dxa" w:w="4464"/>
            <w:vAlign w:val="center"/>
          </w:tcPr>
          <w:p>
            <w:pPr>
              <w:spacing w:after="20" w:before="20"/>
            </w:pPr>
            <w:r>
              <w:rPr>
                <w:rFonts w:ascii="Calibri" w:hAnsi="Calibri"/>
                <w:b w:val="0"/>
                <w:i w:val="0"/>
                <w:color w:val="444444"/>
                <w:sz w:val="20"/>
              </w:rPr>
              <w:t>Deepfake impersonation + serious coercion threat</w:t>
            </w:r>
          </w:p>
        </w:tc>
        <w:tc>
          <w:tcPr>
            <w:tcW w:type="dxa" w:w="1440"/>
            <w:vAlign w:val="center"/>
          </w:tcPr>
          <w:p>
            <w:pPr>
              <w:spacing w:after="20" w:before="20"/>
            </w:pPr>
            <w:r>
              <w:rPr>
                <w:rFonts w:ascii="Calibri" w:hAnsi="Calibri"/>
                <w:b w:val="0"/>
                <w:i w:val="0"/>
                <w:color w:val="444444"/>
                <w:sz w:val="20"/>
              </w:rPr>
              <w:t>40–50 min</w:t>
            </w:r>
          </w:p>
        </w:tc>
      </w:tr>
      <w:tr>
        <w:tc>
          <w:tcPr>
            <w:tcW w:type="dxa" w:w="1152"/>
            <w:vAlign w:val="center"/>
          </w:tcPr>
          <w:p>
            <w:pPr>
              <w:spacing w:after="20" w:before="20"/>
            </w:pPr>
            <w:r>
              <w:rPr>
                <w:rFonts w:ascii="Calibri" w:hAnsi="Calibri"/>
                <w:b w:val="0"/>
                <w:i w:val="0"/>
                <w:color w:val="444444"/>
                <w:sz w:val="20"/>
              </w:rPr>
              <w:t>Optional</w:t>
            </w:r>
          </w:p>
        </w:tc>
        <w:tc>
          <w:tcPr>
            <w:tcW w:type="dxa" w:w="2160"/>
            <w:vAlign w:val="center"/>
          </w:tcPr>
          <w:p>
            <w:pPr>
              <w:spacing w:after="20" w:before="20"/>
            </w:pPr>
            <w:r>
              <w:rPr>
                <w:rFonts w:ascii="Calibri" w:hAnsi="Calibri"/>
                <w:b w:val="0"/>
                <w:i w:val="0"/>
                <w:color w:val="444444"/>
                <w:sz w:val="20"/>
              </w:rPr>
              <w:t>Extension</w:t>
            </w:r>
          </w:p>
        </w:tc>
        <w:tc>
          <w:tcPr>
            <w:tcW w:type="dxa" w:w="4464"/>
            <w:vAlign w:val="center"/>
          </w:tcPr>
          <w:p>
            <w:pPr>
              <w:spacing w:after="20" w:before="20"/>
            </w:pPr>
            <w:r>
              <w:rPr>
                <w:rFonts w:ascii="Calibri" w:hAnsi="Calibri"/>
                <w:b w:val="0"/>
                <w:i w:val="0"/>
                <w:color w:val="444444"/>
                <w:sz w:val="20"/>
              </w:rPr>
              <w:t>Publish a class “Protect Your Footprint” or reporting-pathway poster</w:t>
            </w:r>
          </w:p>
        </w:tc>
        <w:tc>
          <w:tcPr>
            <w:tcW w:type="dxa" w:w="1440"/>
            <w:vAlign w:val="center"/>
          </w:tcPr>
          <w:p>
            <w:pPr>
              <w:spacing w:after="20" w:before="20"/>
            </w:pPr>
            <w:r>
              <w:rPr>
                <w:rFonts w:ascii="Calibri" w:hAnsi="Calibri"/>
                <w:b w:val="0"/>
                <w:i w:val="0"/>
                <w:color w:val="444444"/>
                <w:sz w:val="20"/>
              </w:rPr>
              <w:t>30–45 min</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One-time prep for the whole unit</w:t>
            </w:r>
          </w:p>
          <w:p>
            <w:pPr>
              <w:spacing w:after="20"/>
            </w:pPr>
            <w:r>
              <w:rPr>
                <w:rFonts w:ascii="Calibri" w:hAnsi="Calibri"/>
                <w:b w:val="0"/>
                <w:i w:val="0"/>
                <w:color w:val="444444"/>
                <w:sz w:val="21"/>
              </w:rPr>
              <w:t>Print the resource appendix once; store card sets in labeled envelopes or bags by lesson (reusable across sections and advisory groups).</w:t>
            </w:r>
          </w:p>
          <w:p>
            <w:pPr>
              <w:spacing w:after="20"/>
            </w:pPr>
            <w:r>
              <w:rPr>
                <w:rFonts w:ascii="Calibri" w:hAnsi="Calibri"/>
                <w:b w:val="0"/>
                <w:i w:val="0"/>
                <w:color w:val="444444"/>
                <w:sz w:val="21"/>
              </w:rPr>
              <w:t>Post two anchor tools you will build with students: the Footprint Impact Analysis (Lesson 1) and the Layered Reporting Pathway Map (Lesson 3).</w:t>
            </w:r>
          </w:p>
          <w:p>
            <w:pPr>
              <w:spacing w:after="20"/>
            </w:pPr>
            <w:r>
              <w:rPr>
                <w:rFonts w:ascii="Calibri" w:hAnsi="Calibri"/>
                <w:b w:val="0"/>
                <w:i w:val="0"/>
                <w:color w:val="444444"/>
                <w:sz w:val="21"/>
              </w:rPr>
              <w:t>Fill in your school’s reporting pathway before Lesson 3 — counselor, administrator, technology/IT contact, and any reporting form. Confirm building guidance on platform reporting, CyberTipline, and Take It Down.</w:t>
            </w:r>
          </w:p>
          <w:p>
            <w:pPr>
              <w:spacing w:after="20"/>
            </w:pPr>
            <w:r>
              <w:rPr>
                <w:rFonts w:ascii="Calibri" w:hAnsi="Calibri"/>
                <w:b w:val="0"/>
                <w:i w:val="0"/>
                <w:color w:val="444444"/>
                <w:sz w:val="21"/>
              </w:rPr>
              <w:t>Use groups of 3–4 — the size that makes peer modeling and practice work.</w:t>
            </w:r>
          </w:p>
        </w:tc>
      </w:tr>
    </w:tbl>
    <w:p>
      <w:pPr>
        <w:spacing w:after="40"/>
      </w:pPr>
    </w:p>
    <w:p>
      <w:pPr>
        <w:pStyle w:val="Heading1"/>
      </w:pPr>
      <w:r>
        <w:t>Unit Vocabulary</w:t>
      </w:r>
    </w:p>
    <w:p>
      <w:pPr>
        <w:spacing w:after="80" w:before="0"/>
      </w:pPr>
      <w:r>
        <w:rPr>
          <w:rFonts w:ascii="Calibri" w:hAnsi="Calibri"/>
          <w:b w:val="0"/>
          <w:i w:val="0"/>
          <w:color w:val="444444"/>
          <w:sz w:val="22"/>
        </w:rPr>
        <w:t>Terms are introduced in context within each lesson. This master list supports a word wall or student glossary.</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E3048"/>
            <w:vAlign w:val="center"/>
          </w:tcPr>
          <w:p>
            <w:pPr>
              <w:spacing w:after="20" w:before="20"/>
            </w:pPr>
            <w:r>
              <w:rPr>
                <w:rFonts w:ascii="Calibri" w:hAnsi="Calibri"/>
                <w:b/>
                <w:i w:val="0"/>
                <w:color w:val="FFFFFF"/>
                <w:sz w:val="21"/>
              </w:rPr>
              <w:t>Term</w:t>
            </w:r>
          </w:p>
        </w:tc>
        <w:tc>
          <w:tcPr>
            <w:tcW w:type="dxa" w:w="6480"/>
            <w:shd w:val="clear" w:color="auto" w:fill="1E3048"/>
            <w:vAlign w:val="center"/>
          </w:tcPr>
          <w:p>
            <w:pPr>
              <w:spacing w:after="20" w:before="20"/>
            </w:pPr>
            <w:r>
              <w:rPr>
                <w:rFonts w:ascii="Calibri" w:hAnsi="Calibri"/>
                <w:b/>
                <w:i w:val="0"/>
                <w:color w:val="FFFFFF"/>
                <w:sz w:val="21"/>
              </w:rPr>
              <w:t>Student-friendly meaning</w:t>
            </w:r>
          </w:p>
        </w:tc>
      </w:tr>
      <w:tr>
        <w:tc>
          <w:tcPr>
            <w:tcW w:type="dxa" w:w="2736"/>
            <w:vAlign w:val="center"/>
          </w:tcPr>
          <w:p>
            <w:pPr>
              <w:spacing w:after="20" w:before="20"/>
            </w:pPr>
            <w:r>
              <w:rPr>
                <w:rFonts w:ascii="Calibri" w:hAnsi="Calibri"/>
                <w:b w:val="0"/>
                <w:i w:val="0"/>
                <w:color w:val="444444"/>
                <w:sz w:val="20"/>
              </w:rPr>
              <w:t>Digital footprint</w:t>
            </w:r>
          </w:p>
        </w:tc>
        <w:tc>
          <w:tcPr>
            <w:tcW w:type="dxa" w:w="6480"/>
            <w:vAlign w:val="center"/>
          </w:tcPr>
          <w:p>
            <w:pPr>
              <w:spacing w:after="20" w:before="20"/>
            </w:pPr>
            <w:r>
              <w:rPr>
                <w:rFonts w:ascii="Calibri" w:hAnsi="Calibri"/>
                <w:b w:val="0"/>
                <w:i w:val="0"/>
                <w:color w:val="444444"/>
                <w:sz w:val="20"/>
              </w:rPr>
              <w:t>The searchable trail of everything you post, are tagged in, or leave behind online.</w:t>
            </w:r>
          </w:p>
        </w:tc>
      </w:tr>
      <w:tr>
        <w:tc>
          <w:tcPr>
            <w:tcW w:type="dxa" w:w="2736"/>
            <w:vAlign w:val="center"/>
          </w:tcPr>
          <w:p>
            <w:pPr>
              <w:spacing w:after="20" w:before="20"/>
            </w:pPr>
            <w:r>
              <w:rPr>
                <w:rFonts w:ascii="Calibri" w:hAnsi="Calibri"/>
                <w:b w:val="0"/>
                <w:i w:val="0"/>
                <w:color w:val="444444"/>
                <w:sz w:val="20"/>
              </w:rPr>
              <w:t>Permanence</w:t>
            </w:r>
          </w:p>
        </w:tc>
        <w:tc>
          <w:tcPr>
            <w:tcW w:type="dxa" w:w="6480"/>
            <w:vAlign w:val="center"/>
          </w:tcPr>
          <w:p>
            <w:pPr>
              <w:spacing w:after="20" w:before="20"/>
            </w:pPr>
            <w:r>
              <w:rPr>
                <w:rFonts w:ascii="Calibri" w:hAnsi="Calibri"/>
                <w:b w:val="0"/>
                <w:i w:val="0"/>
                <w:color w:val="444444"/>
                <w:sz w:val="20"/>
              </w:rPr>
              <w:t>Once content is out, copies, screenshots, and archives can outlast the original.</w:t>
            </w:r>
          </w:p>
        </w:tc>
      </w:tr>
      <w:tr>
        <w:tc>
          <w:tcPr>
            <w:tcW w:type="dxa" w:w="2736"/>
            <w:vAlign w:val="center"/>
          </w:tcPr>
          <w:p>
            <w:pPr>
              <w:spacing w:after="20" w:before="20"/>
            </w:pPr>
            <w:r>
              <w:rPr>
                <w:rFonts w:ascii="Calibri" w:hAnsi="Calibri"/>
                <w:b w:val="0"/>
                <w:i w:val="0"/>
                <w:color w:val="444444"/>
                <w:sz w:val="20"/>
              </w:rPr>
              <w:t>Searchable / indexed</w:t>
            </w:r>
          </w:p>
        </w:tc>
        <w:tc>
          <w:tcPr>
            <w:tcW w:type="dxa" w:w="6480"/>
            <w:vAlign w:val="center"/>
          </w:tcPr>
          <w:p>
            <w:pPr>
              <w:spacing w:after="20" w:before="20"/>
            </w:pPr>
            <w:r>
              <w:rPr>
                <w:rFonts w:ascii="Calibri" w:hAnsi="Calibri"/>
                <w:b w:val="0"/>
                <w:i w:val="0"/>
                <w:color w:val="444444"/>
                <w:sz w:val="20"/>
              </w:rPr>
              <w:t>Content a search engine or person can find and connect back to you.</w:t>
            </w:r>
          </w:p>
        </w:tc>
      </w:tr>
      <w:tr>
        <w:tc>
          <w:tcPr>
            <w:tcW w:type="dxa" w:w="2736"/>
            <w:vAlign w:val="center"/>
          </w:tcPr>
          <w:p>
            <w:pPr>
              <w:spacing w:after="20" w:before="20"/>
            </w:pPr>
            <w:r>
              <w:rPr>
                <w:rFonts w:ascii="Calibri" w:hAnsi="Calibri"/>
                <w:b w:val="0"/>
                <w:i w:val="0"/>
                <w:color w:val="444444"/>
                <w:sz w:val="20"/>
              </w:rPr>
              <w:t>Future audience</w:t>
            </w:r>
          </w:p>
        </w:tc>
        <w:tc>
          <w:tcPr>
            <w:tcW w:type="dxa" w:w="6480"/>
            <w:vAlign w:val="center"/>
          </w:tcPr>
          <w:p>
            <w:pPr>
              <w:spacing w:after="20" w:before="20"/>
            </w:pPr>
            <w:r>
              <w:rPr>
                <w:rFonts w:ascii="Calibri" w:hAnsi="Calibri"/>
                <w:b w:val="0"/>
                <w:i w:val="0"/>
                <w:color w:val="444444"/>
                <w:sz w:val="20"/>
              </w:rPr>
              <w:t>People who will see your footprint later — colleges, scholarships, employers, coaches.</w:t>
            </w:r>
          </w:p>
        </w:tc>
      </w:tr>
      <w:tr>
        <w:tc>
          <w:tcPr>
            <w:tcW w:type="dxa" w:w="2736"/>
            <w:vAlign w:val="center"/>
          </w:tcPr>
          <w:p>
            <w:pPr>
              <w:spacing w:after="20" w:before="20"/>
            </w:pPr>
            <w:r>
              <w:rPr>
                <w:rFonts w:ascii="Calibri" w:hAnsi="Calibri"/>
                <w:b w:val="0"/>
                <w:i w:val="0"/>
                <w:color w:val="444444"/>
                <w:sz w:val="20"/>
              </w:rPr>
              <w:t>Social engineering</w:t>
            </w:r>
          </w:p>
        </w:tc>
        <w:tc>
          <w:tcPr>
            <w:tcW w:type="dxa" w:w="6480"/>
            <w:vAlign w:val="center"/>
          </w:tcPr>
          <w:p>
            <w:pPr>
              <w:spacing w:after="20" w:before="20"/>
            </w:pPr>
            <w:r>
              <w:rPr>
                <w:rFonts w:ascii="Calibri" w:hAnsi="Calibri"/>
                <w:b w:val="0"/>
                <w:i w:val="0"/>
                <w:color w:val="444444"/>
                <w:sz w:val="20"/>
              </w:rPr>
              <w:t>Manipulating a person (not a machine) into giving up access, money, or information.</w:t>
            </w:r>
          </w:p>
        </w:tc>
      </w:tr>
      <w:tr>
        <w:tc>
          <w:tcPr>
            <w:tcW w:type="dxa" w:w="2736"/>
            <w:vAlign w:val="center"/>
          </w:tcPr>
          <w:p>
            <w:pPr>
              <w:spacing w:after="20" w:before="20"/>
            </w:pPr>
            <w:r>
              <w:rPr>
                <w:rFonts w:ascii="Calibri" w:hAnsi="Calibri"/>
                <w:b w:val="0"/>
                <w:i w:val="0"/>
                <w:color w:val="444444"/>
                <w:sz w:val="20"/>
              </w:rPr>
              <w:t>Phishing / smishing</w:t>
            </w:r>
          </w:p>
        </w:tc>
        <w:tc>
          <w:tcPr>
            <w:tcW w:type="dxa" w:w="6480"/>
            <w:vAlign w:val="center"/>
          </w:tcPr>
          <w:p>
            <w:pPr>
              <w:spacing w:after="20" w:before="20"/>
            </w:pPr>
            <w:r>
              <w:rPr>
                <w:rFonts w:ascii="Calibri" w:hAnsi="Calibri"/>
                <w:b w:val="0"/>
                <w:i w:val="0"/>
                <w:color w:val="444444"/>
                <w:sz w:val="20"/>
              </w:rPr>
              <w:t>Fake messages by email (phishing) or text (smishing) that try to trick you into acting.</w:t>
            </w:r>
          </w:p>
        </w:tc>
      </w:tr>
      <w:tr>
        <w:tc>
          <w:tcPr>
            <w:tcW w:type="dxa" w:w="2736"/>
            <w:vAlign w:val="center"/>
          </w:tcPr>
          <w:p>
            <w:pPr>
              <w:spacing w:after="20" w:before="20"/>
            </w:pPr>
            <w:r>
              <w:rPr>
                <w:rFonts w:ascii="Calibri" w:hAnsi="Calibri"/>
                <w:b w:val="0"/>
                <w:i w:val="0"/>
                <w:color w:val="444444"/>
                <w:sz w:val="20"/>
              </w:rPr>
              <w:t>Pretexting</w:t>
            </w:r>
          </w:p>
        </w:tc>
        <w:tc>
          <w:tcPr>
            <w:tcW w:type="dxa" w:w="6480"/>
            <w:vAlign w:val="center"/>
          </w:tcPr>
          <w:p>
            <w:pPr>
              <w:spacing w:after="20" w:before="20"/>
            </w:pPr>
            <w:r>
              <w:rPr>
                <w:rFonts w:ascii="Calibri" w:hAnsi="Calibri"/>
                <w:b w:val="0"/>
                <w:i w:val="0"/>
                <w:color w:val="444444"/>
                <w:sz w:val="20"/>
              </w:rPr>
              <w:t>A believable cover story an attacker uses to seem legitimate.</w:t>
            </w:r>
          </w:p>
        </w:tc>
      </w:tr>
      <w:tr>
        <w:tc>
          <w:tcPr>
            <w:tcW w:type="dxa" w:w="2736"/>
            <w:vAlign w:val="center"/>
          </w:tcPr>
          <w:p>
            <w:pPr>
              <w:spacing w:after="20" w:before="20"/>
            </w:pPr>
            <w:r>
              <w:rPr>
                <w:rFonts w:ascii="Calibri" w:hAnsi="Calibri"/>
                <w:b w:val="0"/>
                <w:i w:val="0"/>
                <w:color w:val="444444"/>
                <w:sz w:val="20"/>
              </w:rPr>
              <w:t>MFA fatigue</w:t>
            </w:r>
          </w:p>
        </w:tc>
        <w:tc>
          <w:tcPr>
            <w:tcW w:type="dxa" w:w="6480"/>
            <w:vAlign w:val="center"/>
          </w:tcPr>
          <w:p>
            <w:pPr>
              <w:spacing w:after="20" w:before="20"/>
            </w:pPr>
            <w:r>
              <w:rPr>
                <w:rFonts w:ascii="Calibri" w:hAnsi="Calibri"/>
                <w:b w:val="0"/>
                <w:i w:val="0"/>
                <w:color w:val="444444"/>
                <w:sz w:val="20"/>
              </w:rPr>
              <w:t>Flooding someone with login-approval requests hoping they tap “approve” to make it stop.</w:t>
            </w:r>
          </w:p>
        </w:tc>
      </w:tr>
      <w:tr>
        <w:tc>
          <w:tcPr>
            <w:tcW w:type="dxa" w:w="2736"/>
            <w:vAlign w:val="center"/>
          </w:tcPr>
          <w:p>
            <w:pPr>
              <w:spacing w:after="20" w:before="20"/>
            </w:pPr>
            <w:r>
              <w:rPr>
                <w:rFonts w:ascii="Calibri" w:hAnsi="Calibri"/>
                <w:b w:val="0"/>
                <w:i w:val="0"/>
                <w:color w:val="444444"/>
                <w:sz w:val="20"/>
              </w:rPr>
              <w:t>Account takeover</w:t>
            </w:r>
          </w:p>
        </w:tc>
        <w:tc>
          <w:tcPr>
            <w:tcW w:type="dxa" w:w="6480"/>
            <w:vAlign w:val="center"/>
          </w:tcPr>
          <w:p>
            <w:pPr>
              <w:spacing w:after="20" w:before="20"/>
            </w:pPr>
            <w:r>
              <w:rPr>
                <w:rFonts w:ascii="Calibri" w:hAnsi="Calibri"/>
                <w:b w:val="0"/>
                <w:i w:val="0"/>
                <w:color w:val="444444"/>
                <w:sz w:val="20"/>
              </w:rPr>
              <w:t>When someone gains control of your account by stealing or resetting your login.</w:t>
            </w:r>
          </w:p>
        </w:tc>
      </w:tr>
      <w:tr>
        <w:tc>
          <w:tcPr>
            <w:tcW w:type="dxa" w:w="2736"/>
            <w:vAlign w:val="center"/>
          </w:tcPr>
          <w:p>
            <w:pPr>
              <w:spacing w:after="20" w:before="20"/>
            </w:pPr>
            <w:r>
              <w:rPr>
                <w:rFonts w:ascii="Calibri" w:hAnsi="Calibri"/>
                <w:b w:val="0"/>
                <w:i w:val="0"/>
                <w:color w:val="444444"/>
                <w:sz w:val="20"/>
              </w:rPr>
              <w:t>Identity theft</w:t>
            </w:r>
          </w:p>
        </w:tc>
        <w:tc>
          <w:tcPr>
            <w:tcW w:type="dxa" w:w="6480"/>
            <w:vAlign w:val="center"/>
          </w:tcPr>
          <w:p>
            <w:pPr>
              <w:spacing w:after="20" w:before="20"/>
            </w:pPr>
            <w:r>
              <w:rPr>
                <w:rFonts w:ascii="Calibri" w:hAnsi="Calibri"/>
                <w:b w:val="0"/>
                <w:i w:val="0"/>
                <w:color w:val="444444"/>
                <w:sz w:val="20"/>
              </w:rPr>
              <w:t>Using your personal information to impersonate you or commit fraud.</w:t>
            </w:r>
          </w:p>
        </w:tc>
      </w:tr>
      <w:tr>
        <w:tc>
          <w:tcPr>
            <w:tcW w:type="dxa" w:w="2736"/>
            <w:vAlign w:val="center"/>
          </w:tcPr>
          <w:p>
            <w:pPr>
              <w:spacing w:after="20" w:before="20"/>
            </w:pPr>
            <w:r>
              <w:rPr>
                <w:rFonts w:ascii="Calibri" w:hAnsi="Calibri"/>
                <w:b w:val="0"/>
                <w:i w:val="0"/>
                <w:color w:val="444444"/>
                <w:sz w:val="20"/>
              </w:rPr>
              <w:t>Deepfake / synthetic media</w:t>
            </w:r>
          </w:p>
        </w:tc>
        <w:tc>
          <w:tcPr>
            <w:tcW w:type="dxa" w:w="6480"/>
            <w:vAlign w:val="center"/>
          </w:tcPr>
          <w:p>
            <w:pPr>
              <w:spacing w:after="20" w:before="20"/>
            </w:pPr>
            <w:r>
              <w:rPr>
                <w:rFonts w:ascii="Calibri" w:hAnsi="Calibri"/>
                <w:b w:val="0"/>
                <w:i w:val="0"/>
                <w:color w:val="444444"/>
                <w:sz w:val="20"/>
              </w:rPr>
              <w:t>AI-generated or altered images, video, or audio made to look real.</w:t>
            </w:r>
          </w:p>
        </w:tc>
      </w:tr>
      <w:tr>
        <w:tc>
          <w:tcPr>
            <w:tcW w:type="dxa" w:w="2736"/>
            <w:vAlign w:val="center"/>
          </w:tcPr>
          <w:p>
            <w:pPr>
              <w:spacing w:after="20" w:before="20"/>
            </w:pPr>
            <w:r>
              <w:rPr>
                <w:rFonts w:ascii="Calibri" w:hAnsi="Calibri"/>
                <w:b w:val="0"/>
                <w:i w:val="0"/>
                <w:color w:val="444444"/>
                <w:sz w:val="20"/>
              </w:rPr>
              <w:t>Misinformation / disinformation</w:t>
            </w:r>
          </w:p>
        </w:tc>
        <w:tc>
          <w:tcPr>
            <w:tcW w:type="dxa" w:w="6480"/>
            <w:vAlign w:val="center"/>
          </w:tcPr>
          <w:p>
            <w:pPr>
              <w:spacing w:after="20" w:before="20"/>
            </w:pPr>
            <w:r>
              <w:rPr>
                <w:rFonts w:ascii="Calibri" w:hAnsi="Calibri"/>
                <w:b w:val="0"/>
                <w:i w:val="0"/>
                <w:color w:val="444444"/>
                <w:sz w:val="20"/>
              </w:rPr>
              <w:t>False content — spread by mistake (mis-) or on purpose to deceive (dis-).</w:t>
            </w:r>
          </w:p>
        </w:tc>
      </w:tr>
      <w:tr>
        <w:tc>
          <w:tcPr>
            <w:tcW w:type="dxa" w:w="2736"/>
            <w:vAlign w:val="center"/>
          </w:tcPr>
          <w:p>
            <w:pPr>
              <w:spacing w:after="20" w:before="20"/>
            </w:pPr>
            <w:r>
              <w:rPr>
                <w:rFonts w:ascii="Calibri" w:hAnsi="Calibri"/>
                <w:b w:val="0"/>
                <w:i w:val="0"/>
                <w:color w:val="444444"/>
                <w:sz w:val="20"/>
              </w:rPr>
              <w:t>Impersonation</w:t>
            </w:r>
          </w:p>
        </w:tc>
        <w:tc>
          <w:tcPr>
            <w:tcW w:type="dxa" w:w="6480"/>
            <w:vAlign w:val="center"/>
          </w:tcPr>
          <w:p>
            <w:pPr>
              <w:spacing w:after="20" w:before="20"/>
            </w:pPr>
            <w:r>
              <w:rPr>
                <w:rFonts w:ascii="Calibri" w:hAnsi="Calibri"/>
                <w:b w:val="0"/>
                <w:i w:val="0"/>
                <w:color w:val="444444"/>
                <w:sz w:val="20"/>
              </w:rPr>
              <w:t>Pretending to be someone else online to deceive or harm.</w:t>
            </w:r>
          </w:p>
        </w:tc>
      </w:tr>
      <w:tr>
        <w:tc>
          <w:tcPr>
            <w:tcW w:type="dxa" w:w="2736"/>
            <w:vAlign w:val="center"/>
          </w:tcPr>
          <w:p>
            <w:pPr>
              <w:spacing w:after="20" w:before="20"/>
            </w:pPr>
            <w:r>
              <w:rPr>
                <w:rFonts w:ascii="Calibri" w:hAnsi="Calibri"/>
                <w:b w:val="0"/>
                <w:i w:val="0"/>
                <w:color w:val="444444"/>
                <w:sz w:val="20"/>
              </w:rPr>
              <w:t>Coercion / sextortion</w:t>
            </w:r>
          </w:p>
        </w:tc>
        <w:tc>
          <w:tcPr>
            <w:tcW w:type="dxa" w:w="6480"/>
            <w:vAlign w:val="center"/>
          </w:tcPr>
          <w:p>
            <w:pPr>
              <w:spacing w:after="20" w:before="20"/>
            </w:pPr>
            <w:r>
              <w:rPr>
                <w:rFonts w:ascii="Calibri" w:hAnsi="Calibri"/>
                <w:b w:val="0"/>
                <w:i w:val="0"/>
                <w:color w:val="444444"/>
                <w:sz w:val="20"/>
              </w:rPr>
              <w:t>Pressuring or threatening someone — including threats to expose private content.</w:t>
            </w:r>
          </w:p>
        </w:tc>
      </w:tr>
      <w:tr>
        <w:tc>
          <w:tcPr>
            <w:tcW w:type="dxa" w:w="2736"/>
            <w:vAlign w:val="center"/>
          </w:tcPr>
          <w:p>
            <w:pPr>
              <w:spacing w:after="20" w:before="20"/>
            </w:pPr>
            <w:r>
              <w:rPr>
                <w:rFonts w:ascii="Calibri" w:hAnsi="Calibri"/>
                <w:b w:val="0"/>
                <w:i w:val="0"/>
                <w:color w:val="444444"/>
                <w:sz w:val="20"/>
              </w:rPr>
              <w:t>Non-consensual sharing</w:t>
            </w:r>
          </w:p>
        </w:tc>
        <w:tc>
          <w:tcPr>
            <w:tcW w:type="dxa" w:w="6480"/>
            <w:vAlign w:val="center"/>
          </w:tcPr>
          <w:p>
            <w:pPr>
              <w:spacing w:after="20" w:before="20"/>
            </w:pPr>
            <w:r>
              <w:rPr>
                <w:rFonts w:ascii="Calibri" w:hAnsi="Calibri"/>
                <w:b w:val="0"/>
                <w:i w:val="0"/>
                <w:color w:val="444444"/>
                <w:sz w:val="20"/>
              </w:rPr>
              <w:t>Sharing someone’s private content without their permission.</w:t>
            </w:r>
          </w:p>
        </w:tc>
      </w:tr>
      <w:tr>
        <w:tc>
          <w:tcPr>
            <w:tcW w:type="dxa" w:w="2736"/>
            <w:vAlign w:val="center"/>
          </w:tcPr>
          <w:p>
            <w:pPr>
              <w:spacing w:after="20" w:before="20"/>
            </w:pPr>
            <w:r>
              <w:rPr>
                <w:rFonts w:ascii="Calibri" w:hAnsi="Calibri"/>
                <w:b w:val="0"/>
                <w:i w:val="0"/>
                <w:color w:val="444444"/>
                <w:sz w:val="20"/>
              </w:rPr>
              <w:t>Preserve evidence</w:t>
            </w:r>
          </w:p>
        </w:tc>
        <w:tc>
          <w:tcPr>
            <w:tcW w:type="dxa" w:w="6480"/>
            <w:vAlign w:val="center"/>
          </w:tcPr>
          <w:p>
            <w:pPr>
              <w:spacing w:after="20" w:before="20"/>
            </w:pPr>
            <w:r>
              <w:rPr>
                <w:rFonts w:ascii="Calibri" w:hAnsi="Calibri"/>
                <w:b w:val="0"/>
                <w:i w:val="0"/>
                <w:color w:val="444444"/>
                <w:sz w:val="20"/>
              </w:rPr>
              <w:t>Save proof (screenshots, links, usernames) and do not delete it before telling an adult.</w:t>
            </w:r>
          </w:p>
        </w:tc>
      </w:tr>
      <w:tr>
        <w:tc>
          <w:tcPr>
            <w:tcW w:type="dxa" w:w="2736"/>
            <w:vAlign w:val="center"/>
          </w:tcPr>
          <w:p>
            <w:pPr>
              <w:spacing w:after="20" w:before="20"/>
            </w:pPr>
            <w:r>
              <w:rPr>
                <w:rFonts w:ascii="Calibri" w:hAnsi="Calibri"/>
                <w:b w:val="0"/>
                <w:i w:val="0"/>
                <w:color w:val="444444"/>
                <w:sz w:val="20"/>
              </w:rPr>
              <w:t>Platform reporting</w:t>
            </w:r>
          </w:p>
        </w:tc>
        <w:tc>
          <w:tcPr>
            <w:tcW w:type="dxa" w:w="6480"/>
            <w:vAlign w:val="center"/>
          </w:tcPr>
          <w:p>
            <w:pPr>
              <w:spacing w:after="20" w:before="20"/>
            </w:pPr>
            <w:r>
              <w:rPr>
                <w:rFonts w:ascii="Calibri" w:hAnsi="Calibri"/>
                <w:b w:val="0"/>
                <w:i w:val="0"/>
                <w:color w:val="444444"/>
                <w:sz w:val="20"/>
              </w:rPr>
              <w:t>Using an app’s built-in tools to report, block, and flag harmful content or accounts.</w:t>
            </w:r>
          </w:p>
        </w:tc>
      </w:tr>
      <w:tr>
        <w:tc>
          <w:tcPr>
            <w:tcW w:type="dxa" w:w="2736"/>
            <w:vAlign w:val="center"/>
          </w:tcPr>
          <w:p>
            <w:pPr>
              <w:spacing w:after="20" w:before="20"/>
            </w:pPr>
            <w:r>
              <w:rPr>
                <w:rFonts w:ascii="Calibri" w:hAnsi="Calibri"/>
                <w:b w:val="0"/>
                <w:i w:val="0"/>
                <w:color w:val="444444"/>
                <w:sz w:val="20"/>
              </w:rPr>
              <w:t>Layered reporting</w:t>
            </w:r>
          </w:p>
        </w:tc>
        <w:tc>
          <w:tcPr>
            <w:tcW w:type="dxa" w:w="6480"/>
            <w:vAlign w:val="center"/>
          </w:tcPr>
          <w:p>
            <w:pPr>
              <w:spacing w:after="20" w:before="20"/>
            </w:pPr>
            <w:r>
              <w:rPr>
                <w:rFonts w:ascii="Calibri" w:hAnsi="Calibri"/>
                <w:b w:val="0"/>
                <w:i w:val="0"/>
                <w:color w:val="444444"/>
                <w:sz w:val="20"/>
              </w:rPr>
              <w:t>Getting help from more than one route: adult, school, platform, and national resources.</w:t>
            </w:r>
          </w:p>
        </w:tc>
      </w:tr>
    </w:tbl>
    <w:p>
      <w:pPr>
        <w:spacing w:after="40"/>
      </w:pPr>
    </w:p>
    <w:p>
      <w:pPr>
        <w:pStyle w:val="Heading1"/>
      </w:pPr>
      <w:r>
        <w:t>Lesson 1 — Your Digital Footprint &amp; Real-World Reputation</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map the footprint they create, analyze how it affects real opportunities, and build a proactive plan to manage their reputation on purpose.</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How do the digital traces I leave shape real opportunities — and how do I manage them on purpose?</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Digital identity &amp; reputation · permanence &amp; long-term consequences · privacy &amp; consent · responsible posting · supporting peers.</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CS.DCS.37, CS.DCS.39, CS.DCS.38, CS.DCS.19, CS.DCS.32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differs from Grade 8</w:t>
            </w:r>
          </w:p>
          <w:p>
            <w:pPr>
              <w:spacing w:after="20"/>
            </w:pPr>
            <w:r>
              <w:rPr>
                <w:rFonts w:ascii="Calibri" w:hAnsi="Calibri"/>
                <w:b w:val="0"/>
                <w:i w:val="0"/>
                <w:color w:val="444444"/>
                <w:sz w:val="21"/>
              </w:rPr>
              <w:t>Grade 8 built digital leadership and reputation for high-school readiness. Grade 9 treats reputation as real: students analyze a footprint against actual stakes — admissions, scholarships, jobs, teams, and activities — and build a proactive plan rather than only reacting.</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map the digital footprint I create and explain which parts are permanent, public, or searchable.</w:t>
      </w:r>
    </w:p>
    <w:p>
      <w:pPr>
        <w:pStyle w:val="ListParagraph"/>
        <w:spacing w:after="40"/>
        <w:numPr>
          <w:ilvl w:val="0"/>
          <w:numId w:val="1"/>
        </w:numPr>
      </w:pPr>
      <w:r>
        <w:rPr>
          <w:rFonts w:ascii="Calibri" w:hAnsi="Calibri"/>
          <w:b w:val="0"/>
          <w:i w:val="0"/>
          <w:color w:val="444444"/>
          <w:sz w:val="22"/>
        </w:rPr>
        <w:t>I can analyze how a footprint affects real stakes — admissions, scholarships, jobs, teams, and relationships.</w:t>
      </w:r>
    </w:p>
    <w:p>
      <w:pPr>
        <w:pStyle w:val="ListParagraph"/>
        <w:spacing w:after="40"/>
        <w:numPr>
          <w:ilvl w:val="0"/>
          <w:numId w:val="1"/>
        </w:numPr>
      </w:pPr>
      <w:r>
        <w:rPr>
          <w:rFonts w:ascii="Calibri" w:hAnsi="Calibri"/>
          <w:b w:val="0"/>
          <w:i w:val="0"/>
          <w:color w:val="444444"/>
          <w:sz w:val="22"/>
        </w:rPr>
        <w:t>I can run a Footprint Impact Analysis before I post, tag, or share.</w:t>
      </w:r>
    </w:p>
    <w:p>
      <w:pPr>
        <w:pStyle w:val="ListParagraph"/>
        <w:spacing w:after="40"/>
        <w:numPr>
          <w:ilvl w:val="0"/>
          <w:numId w:val="1"/>
        </w:numPr>
      </w:pPr>
      <w:r>
        <w:rPr>
          <w:rFonts w:ascii="Calibri" w:hAnsi="Calibri"/>
          <w:b w:val="0"/>
          <w:i w:val="0"/>
          <w:color w:val="444444"/>
          <w:sz w:val="22"/>
        </w:rPr>
        <w:t>I can build a proactive footprint plan that strengthens my reputation on purpose.</w:t>
      </w:r>
    </w:p>
    <w:p>
      <w:pPr>
        <w:pStyle w:val="ListParagraph"/>
        <w:spacing w:after="40"/>
        <w:numPr>
          <w:ilvl w:val="0"/>
          <w:numId w:val="1"/>
        </w:numPr>
      </w:pPr>
      <w:r>
        <w:rPr>
          <w:rFonts w:ascii="Calibri" w:hAnsi="Calibri"/>
          <w:b w:val="0"/>
          <w:i w:val="0"/>
          <w:color w:val="444444"/>
          <w:sz w:val="22"/>
        </w:rPr>
        <w:t>I can help a peer respond to harmful content that is already online.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Footprint Impact Analysis + Footprint Plan worksheet (Appendix A) — one per group of 3–4.</w:t>
            </w:r>
          </w:p>
          <w:p>
            <w:pPr>
              <w:spacing w:after="20"/>
            </w:pPr>
            <w:r>
              <w:rPr>
                <w:rFonts w:ascii="Calibri" w:hAnsi="Calibri"/>
                <w:b w:val="0"/>
                <w:i w:val="0"/>
                <w:color w:val="444444"/>
                <w:sz w:val="21"/>
              </w:rPr>
              <w:t>Copy the Complex Scenario cards (Appendix B) — one scenario per group.</w:t>
            </w:r>
          </w:p>
          <w:p>
            <w:pPr>
              <w:spacing w:after="20"/>
            </w:pPr>
            <w:r>
              <w:rPr>
                <w:rFonts w:ascii="Calibri" w:hAnsi="Calibri"/>
                <w:b w:val="0"/>
                <w:i w:val="0"/>
                <w:color w:val="444444"/>
                <w:sz w:val="21"/>
              </w:rPr>
              <w:t>Copy the Lesson 1 Exit Ticket (Appendix C).</w:t>
            </w:r>
          </w:p>
          <w:p>
            <w:pPr>
              <w:spacing w:after="20"/>
            </w:pPr>
            <w:r>
              <w:rPr>
                <w:rFonts w:ascii="Calibri" w:hAnsi="Calibri"/>
                <w:b w:val="0"/>
                <w:i w:val="0"/>
                <w:color w:val="444444"/>
                <w:sz w:val="21"/>
              </w:rPr>
              <w:t>Write your school’s trusted-adult and reporting options on the board.</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Fictional situations only. No real names or real incidents involving classmates. Keep the focus on managing one’s own footprint and supporting peers — not judging people.</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DO:  Give 60 seconds of silent writing before partners talk.</w:t>
      </w:r>
    </w:p>
    <w:p>
      <w:pPr>
        <w:spacing w:after="80" w:before="0"/>
      </w:pPr>
      <w:r>
        <w:rPr>
          <w:rFonts w:ascii="Calibri" w:hAnsi="Calibri"/>
          <w:b w:val="0"/>
          <w:i w:val="0"/>
          <w:color w:val="444444"/>
          <w:sz w:val="22"/>
        </w:rPr>
        <w:t>ASK:  “If someone searched your name today — a coach, an admissions officer, a future boss — what would they find, and what would you want them to find?”</w:t>
      </w:r>
    </w:p>
    <w:p>
      <w:pPr>
        <w:spacing w:after="80" w:before="0"/>
      </w:pPr>
      <w:r>
        <w:rPr>
          <w:rFonts w:ascii="Calibri" w:hAnsi="Calibri"/>
          <w:b w:val="0"/>
          <w:i w:val="0"/>
          <w:color w:val="444444"/>
          <w:sz w:val="22"/>
        </w:rPr>
        <w:t>DO:  Students write, share with a partner, then share general ideas. Chart the gap between “what’s there” and “what I’d want there.”</w:t>
      </w:r>
    </w:p>
    <w:p>
      <w:pPr>
        <w:spacing w:after="80" w:before="0"/>
      </w:pPr>
      <w:r>
        <w:rPr>
          <w:rFonts w:ascii="Calibri" w:hAnsi="Calibri"/>
          <w:b w:val="0"/>
          <w:i w:val="0"/>
          <w:color w:val="444444"/>
          <w:sz w:val="22"/>
        </w:rPr>
        <w:t>SAY:  Your footprint is already telling a story about you. Grade 9 is where you start writing that story on purpose.</w:t>
      </w:r>
    </w:p>
    <w:p>
      <w:pPr>
        <w:pStyle w:val="Heading3"/>
      </w:pPr>
      <w:r>
        <w:t>2 · Mini-Lesson — The Footprint Impact Analysis  (10 min)</w:t>
      </w:r>
    </w:p>
    <w:p>
      <w:pPr>
        <w:spacing w:after="80" w:before="0"/>
      </w:pPr>
      <w:r>
        <w:rPr>
          <w:rFonts w:ascii="Calibri" w:hAnsi="Calibri"/>
          <w:b w:val="0"/>
          <w:i w:val="0"/>
          <w:color w:val="444444"/>
          <w:sz w:val="22"/>
        </w:rPr>
        <w:t>SAY:  Before you post, tag, or share, run it through five checks — the 5 P’s. If any one is a problem, pause, adjust, or don’t post.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 xml:space="preserve">1 · PERMANENT?  </w:t>
            </w:r>
            <w:r>
              <w:rPr>
                <w:rFonts w:ascii="Calibri" w:hAnsi="Calibri"/>
                <w:b w:val="0"/>
                <w:i w:val="0"/>
                <w:color w:val="444444"/>
                <w:sz w:val="21"/>
              </w:rPr>
              <w:t>Could this outlast the moment — in screenshots, copies, or archives?</w:t>
            </w:r>
          </w:p>
          <w:p>
            <w:pPr>
              <w:spacing w:after="40"/>
            </w:pPr>
            <w:r>
              <w:rPr>
                <w:rFonts w:ascii="Calibri" w:hAnsi="Calibri"/>
                <w:b/>
                <w:i w:val="0"/>
                <w:color w:val="1E3048"/>
                <w:sz w:val="21"/>
              </w:rPr>
              <w:t xml:space="preserve">2 · PUBLIC / SEARCHABLE?  </w:t>
            </w:r>
            <w:r>
              <w:rPr>
                <w:rFonts w:ascii="Calibri" w:hAnsi="Calibri"/>
                <w:b w:val="0"/>
                <w:i w:val="0"/>
                <w:color w:val="444444"/>
                <w:sz w:val="21"/>
              </w:rPr>
              <w:t>Could a stranger or search engine find and connect this to me?</w:t>
            </w:r>
          </w:p>
          <w:p>
            <w:pPr>
              <w:spacing w:after="40"/>
            </w:pPr>
            <w:r>
              <w:rPr>
                <w:rFonts w:ascii="Calibri" w:hAnsi="Calibri"/>
                <w:b/>
                <w:i w:val="0"/>
                <w:color w:val="1E3048"/>
                <w:sz w:val="21"/>
              </w:rPr>
              <w:t xml:space="preserve">3 · PROFESSIONAL?  </w:t>
            </w:r>
            <w:r>
              <w:rPr>
                <w:rFonts w:ascii="Calibri" w:hAnsi="Calibri"/>
                <w:b w:val="0"/>
                <w:i w:val="0"/>
                <w:color w:val="444444"/>
                <w:sz w:val="21"/>
              </w:rPr>
              <w:t>Would my future audience — admissions, scholarship, employer, coach — respect this?</w:t>
            </w:r>
          </w:p>
          <w:p>
            <w:pPr>
              <w:spacing w:after="40"/>
            </w:pPr>
            <w:r>
              <w:rPr>
                <w:rFonts w:ascii="Calibri" w:hAnsi="Calibri"/>
                <w:b/>
                <w:i w:val="0"/>
                <w:color w:val="1E3048"/>
                <w:sz w:val="21"/>
              </w:rPr>
              <w:t xml:space="preserve">4 · PRIVACY &amp; CONSENT?  </w:t>
            </w:r>
            <w:r>
              <w:rPr>
                <w:rFonts w:ascii="Calibri" w:hAnsi="Calibri"/>
                <w:b w:val="0"/>
                <w:i w:val="0"/>
                <w:color w:val="444444"/>
                <w:sz w:val="21"/>
              </w:rPr>
              <w:t>Am I exposing someone’s information, or posting them without permission?</w:t>
            </w:r>
          </w:p>
          <w:p>
            <w:pPr>
              <w:spacing w:after="40"/>
            </w:pPr>
            <w:r>
              <w:rPr>
                <w:rFonts w:ascii="Calibri" w:hAnsi="Calibri"/>
                <w:b/>
                <w:i w:val="0"/>
                <w:color w:val="1E3048"/>
                <w:sz w:val="21"/>
              </w:rPr>
              <w:t xml:space="preserve">5 · PRESSURE?  </w:t>
            </w:r>
            <w:r>
              <w:rPr>
                <w:rFonts w:ascii="Calibri" w:hAnsi="Calibri"/>
                <w:b w:val="0"/>
                <w:i w:val="0"/>
                <w:color w:val="444444"/>
                <w:sz w:val="21"/>
              </w:rPr>
              <w:t>Am I being pushed to post or share this — and is that a red flag?</w:t>
            </w:r>
          </w:p>
        </w:tc>
      </w:tr>
    </w:tbl>
    <w:p>
      <w:pPr>
        <w:spacing w:after="40"/>
      </w:pPr>
    </w:p>
    <w:p>
      <w:pPr>
        <w:spacing w:after="80" w:before="0"/>
      </w:pPr>
      <w:r>
        <w:rPr>
          <w:rFonts w:ascii="Calibri" w:hAnsi="Calibri"/>
          <w:b w:val="0"/>
          <w:i w:val="0"/>
          <w:color w:val="444444"/>
          <w:sz w:val="22"/>
        </w:rPr>
        <w:t>DO:  Name the impact (CS.DCS.39): the same post can build a reputation or damage an opportunity years later. Point out the trade-off — the fast, easy share is often not the smart long-term one.</w:t>
      </w:r>
    </w:p>
    <w:p>
      <w:pPr>
        <w:pStyle w:val="Heading3"/>
      </w:pPr>
      <w:r>
        <w:t>3 · Peer Scenario Analysis  (15 min)</w:t>
      </w:r>
    </w:p>
    <w:p>
      <w:pPr>
        <w:spacing w:after="80" w:before="0"/>
      </w:pPr>
      <w:r>
        <w:rPr>
          <w:rFonts w:ascii="Calibri" w:hAnsi="Calibri"/>
          <w:b w:val="0"/>
          <w:i w:val="0"/>
          <w:color w:val="444444"/>
          <w:sz w:val="22"/>
        </w:rPr>
        <w:t>DO:  Each group receives a Complex Scenario card (Appendix B) — an old post resurfacing, a risky tag, a pressured share, or a reputation repair. Groups run it through the Footprint Impact Analysis, naming the risks, the future-audience impact, and the smarter move.</w:t>
      </w:r>
    </w:p>
    <w:p>
      <w:pPr>
        <w:spacing w:after="80" w:before="0"/>
      </w:pPr>
      <w:r>
        <w:rPr>
          <w:rFonts w:ascii="Calibri" w:hAnsi="Calibri"/>
          <w:b w:val="0"/>
          <w:i w:val="0"/>
          <w:color w:val="444444"/>
          <w:sz w:val="22"/>
        </w:rPr>
        <w:t>ASK:  “Which of the five P’s does this fail? What real opportunity could it affect — and what would you do instead?”</w:t>
      </w:r>
    </w:p>
    <w:p>
      <w:pPr>
        <w:pStyle w:val="Heading3"/>
      </w:pPr>
      <w:r>
        <w:t>4 · Peer Modeling — Build a Footprint Plan  (15 min)</w:t>
      </w:r>
    </w:p>
    <w:p>
      <w:pPr>
        <w:spacing w:after="80" w:before="0"/>
      </w:pPr>
      <w:r>
        <w:rPr>
          <w:rFonts w:ascii="Calibri" w:hAnsi="Calibri"/>
          <w:b w:val="0"/>
          <w:i w:val="0"/>
          <w:color w:val="444444"/>
          <w:sz w:val="22"/>
        </w:rPr>
        <w:t>DO:  Groups complete a short Footprint Plan (Appendix A): what to clean up, what to lock down, what to post on purpose, and who to ask for help. Two groups model theirs; classmates identify the strongest reputation-building move.</w:t>
      </w:r>
    </w:p>
    <w:p>
      <w:pPr>
        <w:spacing w:after="80" w:before="0"/>
      </w:pPr>
      <w:r>
        <w:rPr>
          <w:rFonts w:ascii="Calibri" w:hAnsi="Calibri"/>
          <w:b w:val="0"/>
          <w:i w:val="0"/>
          <w:color w:val="444444"/>
          <w:sz w:val="22"/>
        </w:rPr>
        <w:t>MODEL  Teacher models the calm response for helping a peer with harmful content already online: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“Let’s not pile on or fire back. Screenshot it, don’t reshare it, and let’s take it to a trusted adult who can help you report it and get it taken down.”</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Give the 5 P’s as a checklist students tick per scenario; provide sentence starters for the plan.</w:t>
            </w:r>
          </w:p>
          <w:p>
            <w:pPr>
              <w:spacing w:after="20"/>
            </w:pPr>
            <w:r>
              <w:rPr>
                <w:rFonts w:ascii="Calibri" w:hAnsi="Calibri"/>
                <w:b w:val="0"/>
                <w:i w:val="0"/>
                <w:color w:val="444444"/>
                <w:sz w:val="21"/>
              </w:rPr>
              <w:t>Extension:  Groups draft a 30-second “protect your footprint” PSA script (school-appropriate).</w:t>
            </w:r>
          </w:p>
          <w:p>
            <w:pPr>
              <w:spacing w:after="20"/>
            </w:pPr>
            <w:r>
              <w:rPr>
                <w:rFonts w:ascii="Calibri" w:hAnsi="Calibri"/>
                <w:b w:val="0"/>
                <w:i w:val="0"/>
                <w:color w:val="444444"/>
                <w:sz w:val="21"/>
              </w:rPr>
              <w:t>Multilingual learners:  Provide the five checks with icons; allow the plan to be drafted in home language first.</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thing on my footprint I want a future audience to find is…</w:t>
      </w:r>
    </w:p>
    <w:p>
      <w:pPr>
        <w:pStyle w:val="ListParagraph"/>
        <w:spacing w:after="40"/>
        <w:numPr>
          <w:ilvl w:val="0"/>
          <w:numId w:val="1"/>
        </w:numPr>
      </w:pPr>
      <w:r>
        <w:rPr>
          <w:rFonts w:ascii="Calibri" w:hAnsi="Calibri"/>
          <w:b w:val="0"/>
          <w:i w:val="0"/>
          <w:color w:val="444444"/>
          <w:sz w:val="22"/>
        </w:rPr>
        <w:t>One footprint risk I can fix or lock down is…</w:t>
      </w:r>
    </w:p>
    <w:p>
      <w:pPr>
        <w:pStyle w:val="ListParagraph"/>
        <w:spacing w:after="40"/>
        <w:numPr>
          <w:ilvl w:val="0"/>
          <w:numId w:val="1"/>
        </w:numPr>
      </w:pPr>
      <w:r>
        <w:rPr>
          <w:rFonts w:ascii="Calibri" w:hAnsi="Calibri"/>
          <w:b w:val="0"/>
          <w:i w:val="0"/>
          <w:color w:val="444444"/>
          <w:sz w:val="22"/>
        </w:rPr>
        <w:t>One trusted adult or help step I can use if something harmful is online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Application of the 5 P’s in scenario analysis (observation).</w:t>
      </w:r>
    </w:p>
    <w:p>
      <w:pPr>
        <w:pStyle w:val="ListParagraph"/>
        <w:spacing w:after="40"/>
        <w:numPr>
          <w:ilvl w:val="0"/>
          <w:numId w:val="1"/>
        </w:numPr>
      </w:pPr>
      <w:r>
        <w:rPr>
          <w:rFonts w:ascii="Calibri" w:hAnsi="Calibri"/>
          <w:b w:val="0"/>
          <w:i w:val="0"/>
          <w:color w:val="444444"/>
          <w:sz w:val="22"/>
        </w:rPr>
        <w:t>Quality and clarity of the group Footprint Plan.</w:t>
      </w:r>
    </w:p>
    <w:p>
      <w:pPr>
        <w:pStyle w:val="ListParagraph"/>
        <w:spacing w:after="40"/>
        <w:numPr>
          <w:ilvl w:val="0"/>
          <w:numId w:val="1"/>
        </w:numPr>
      </w:pPr>
      <w:r>
        <w:rPr>
          <w:rFonts w:ascii="Calibri" w:hAnsi="Calibri"/>
          <w:b w:val="0"/>
          <w:i w:val="0"/>
          <w:color w:val="444444"/>
          <w:sz w:val="22"/>
        </w:rPr>
        <w:t>Completed exit ticket.</w:t>
      </w:r>
    </w:p>
    <w:p>
      <w:pPr>
        <w:pStyle w:val="Heading1"/>
      </w:pPr>
      <w:r>
        <w:t>Lesson 2 — Social Engineering, Scams &amp; AI-Era Threats</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learn how social engineering works, spot phishing and account-takeover attempts, judge whether content is authentic (including AI fakes), and lock down personal security.</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How do I recognize and shut down manipulation, scams, and fake content built to fool me?</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Recognizing deceptive &amp; suspicious activity · personal information security · secure transactions · evaluating authenticity · reporting compromise.</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CS.DCS.25, CS.DCS.40, CS.DCS.38, CS.DCS.19, CS.DCS.32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differs from Grade 8</w:t>
            </w:r>
          </w:p>
          <w:p>
            <w:pPr>
              <w:spacing w:after="20"/>
            </w:pPr>
            <w:r>
              <w:rPr>
                <w:rFonts w:ascii="Calibri" w:hAnsi="Calibri"/>
                <w:b w:val="0"/>
                <w:i w:val="0"/>
                <w:color w:val="444444"/>
                <w:sz w:val="21"/>
              </w:rPr>
              <w:t>Grade 8 covered account-safety habits and suspicious messages. Grade 9 studies the manipulation itself — the social-engineering tactics behind scams — and adds AI-era threats: deepfakes, synthetic voices, and fake accounts. Students learn to verify authenticity, not just spot a bad link.</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define social engineering and name the tactics that make scams work (urgency, authority, fear, reward, familiarity).</w:t>
      </w:r>
    </w:p>
    <w:p>
      <w:pPr>
        <w:pStyle w:val="ListParagraph"/>
        <w:spacing w:after="40"/>
        <w:numPr>
          <w:ilvl w:val="0"/>
          <w:numId w:val="1"/>
        </w:numPr>
      </w:pPr>
      <w:r>
        <w:rPr>
          <w:rFonts w:ascii="Calibri" w:hAnsi="Calibri"/>
          <w:b w:val="0"/>
          <w:i w:val="0"/>
          <w:color w:val="444444"/>
          <w:sz w:val="22"/>
        </w:rPr>
        <w:t>I can spot phishing, smishing, fake logins, account-takeover attempts, and financial or identity-theft scams.</w:t>
      </w:r>
    </w:p>
    <w:p>
      <w:pPr>
        <w:pStyle w:val="ListParagraph"/>
        <w:spacing w:after="40"/>
        <w:numPr>
          <w:ilvl w:val="0"/>
          <w:numId w:val="1"/>
        </w:numPr>
      </w:pPr>
      <w:r>
        <w:rPr>
          <w:rFonts w:ascii="Calibri" w:hAnsi="Calibri"/>
          <w:b w:val="0"/>
          <w:i w:val="0"/>
          <w:color w:val="444444"/>
          <w:sz w:val="22"/>
        </w:rPr>
        <w:t>I can evaluate whether a message, image, video, or account is authentic — including AI-generated fakes.</w:t>
      </w:r>
    </w:p>
    <w:p>
      <w:pPr>
        <w:pStyle w:val="ListParagraph"/>
        <w:spacing w:after="40"/>
        <w:numPr>
          <w:ilvl w:val="0"/>
          <w:numId w:val="1"/>
        </w:numPr>
      </w:pPr>
      <w:r>
        <w:rPr>
          <w:rFonts w:ascii="Calibri" w:hAnsi="Calibri"/>
          <w:b w:val="0"/>
          <w:i w:val="0"/>
          <w:color w:val="444444"/>
          <w:sz w:val="22"/>
        </w:rPr>
        <w:t>I can apply strong personal-security habits: unique passwords, MFA, verify-before-you-act, and secure transactions.</w:t>
      </w:r>
    </w:p>
    <w:p>
      <w:pPr>
        <w:pStyle w:val="ListParagraph"/>
        <w:spacing w:after="40"/>
        <w:numPr>
          <w:ilvl w:val="0"/>
          <w:numId w:val="1"/>
        </w:numPr>
      </w:pPr>
      <w:r>
        <w:rPr>
          <w:rFonts w:ascii="Calibri" w:hAnsi="Calibri"/>
          <w:b w:val="0"/>
          <w:i w:val="0"/>
          <w:color w:val="444444"/>
          <w:sz w:val="22"/>
        </w:rPr>
        <w:t>I can ask for help and report a scam or a compromised account.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“Real or Fake / Safe or Scam” scenario cards + Threat Recognition sheet (Appendix D) — one set per group.</w:t>
            </w:r>
          </w:p>
          <w:p>
            <w:pPr>
              <w:spacing w:after="20"/>
            </w:pPr>
            <w:r>
              <w:rPr>
                <w:rFonts w:ascii="Calibri" w:hAnsi="Calibri"/>
                <w:b w:val="0"/>
                <w:i w:val="0"/>
                <w:color w:val="444444"/>
                <w:sz w:val="21"/>
              </w:rPr>
              <w:t>Copy the Personal Security Playbook template (Appendix E) — one per student.</w:t>
            </w:r>
          </w:p>
          <w:p>
            <w:pPr>
              <w:spacing w:after="20"/>
            </w:pPr>
            <w:r>
              <w:rPr>
                <w:rFonts w:ascii="Calibri" w:hAnsi="Calibri"/>
                <w:b w:val="0"/>
                <w:i w:val="0"/>
                <w:color w:val="444444"/>
                <w:sz w:val="21"/>
              </w:rPr>
              <w:t>Copy the Lesson 2 Exit Ticket (Appendix C).</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Never ask students to reveal passwords or their own accounts. All messages, profiles, and scams used in class are fictional and general.</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ASK:  “Why do smart people — including adults — still fall for scams and fake messages?”</w:t>
      </w:r>
    </w:p>
    <w:p>
      <w:pPr>
        <w:spacing w:after="80" w:before="0"/>
      </w:pPr>
      <w:r>
        <w:rPr>
          <w:rFonts w:ascii="Calibri" w:hAnsi="Calibri"/>
          <w:b w:val="0"/>
          <w:i w:val="0"/>
          <w:color w:val="444444"/>
          <w:sz w:val="22"/>
        </w:rPr>
        <w:t>DO:  Students list reasons (it looked real, it felt urgent, it came from a ‘friend,’ they were rushed). No personal stories.</w:t>
      </w:r>
    </w:p>
    <w:p>
      <w:pPr>
        <w:spacing w:after="80" w:before="0"/>
      </w:pPr>
      <w:r>
        <w:rPr>
          <w:rFonts w:ascii="Calibri" w:hAnsi="Calibri"/>
          <w:b w:val="0"/>
          <w:i w:val="0"/>
          <w:color w:val="444444"/>
          <w:sz w:val="22"/>
        </w:rPr>
        <w:t>SAY:  Almost every attack targets a person, not a computer. If you know the tactics, you can see it coming.</w:t>
      </w:r>
    </w:p>
    <w:p>
      <w:pPr>
        <w:pStyle w:val="Heading3"/>
      </w:pPr>
      <w:r>
        <w:t>2 · Mini-Lesson — How Manipulation Works  (10 min)</w:t>
      </w:r>
    </w:p>
    <w:p>
      <w:pPr>
        <w:spacing w:after="80" w:before="0"/>
      </w:pPr>
      <w:r>
        <w:rPr>
          <w:rFonts w:ascii="Calibri" w:hAnsi="Calibri"/>
          <w:b w:val="0"/>
          <w:i w:val="0"/>
          <w:color w:val="444444"/>
          <w:sz w:val="22"/>
        </w:rPr>
        <w:t>SAY:  Social engineering pushes five buttons. When a message leans hard on any of these, slow down.</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E3048"/>
            <w:vAlign w:val="center"/>
          </w:tcPr>
          <w:p>
            <w:pPr>
              <w:spacing w:after="20" w:before="20"/>
            </w:pPr>
            <w:r>
              <w:rPr>
                <w:rFonts w:ascii="Calibri" w:hAnsi="Calibri"/>
                <w:b/>
                <w:i w:val="0"/>
                <w:color w:val="FFFFFF"/>
                <w:sz w:val="21"/>
              </w:rPr>
              <w:t>Tactic</w:t>
            </w:r>
          </w:p>
        </w:tc>
        <w:tc>
          <w:tcPr>
            <w:tcW w:type="dxa" w:w="7056"/>
            <w:shd w:val="clear" w:color="auto" w:fill="1E3048"/>
            <w:vAlign w:val="center"/>
          </w:tcPr>
          <w:p>
            <w:pPr>
              <w:spacing w:after="20" w:before="20"/>
            </w:pPr>
            <w:r>
              <w:rPr>
                <w:rFonts w:ascii="Calibri" w:hAnsi="Calibri"/>
                <w:b/>
                <w:i w:val="0"/>
                <w:color w:val="FFFFFF"/>
                <w:sz w:val="21"/>
              </w:rPr>
              <w:t>What it sounds like</w:t>
            </w:r>
          </w:p>
        </w:tc>
      </w:tr>
      <w:tr>
        <w:tc>
          <w:tcPr>
            <w:tcW w:type="dxa" w:w="2160"/>
            <w:vAlign w:val="center"/>
          </w:tcPr>
          <w:p>
            <w:pPr>
              <w:spacing w:after="20" w:before="20"/>
            </w:pPr>
            <w:r>
              <w:rPr>
                <w:rFonts w:ascii="Calibri" w:hAnsi="Calibri"/>
                <w:b w:val="0"/>
                <w:i w:val="0"/>
                <w:color w:val="444444"/>
                <w:sz w:val="20"/>
              </w:rPr>
              <w:t>Urgency</w:t>
            </w:r>
          </w:p>
        </w:tc>
        <w:tc>
          <w:tcPr>
            <w:tcW w:type="dxa" w:w="7056"/>
            <w:vAlign w:val="center"/>
          </w:tcPr>
          <w:p>
            <w:pPr>
              <w:spacing w:after="20" w:before="20"/>
            </w:pPr>
            <w:r>
              <w:rPr>
                <w:rFonts w:ascii="Calibri" w:hAnsi="Calibri"/>
                <w:b w:val="0"/>
                <w:i w:val="0"/>
                <w:color w:val="444444"/>
                <w:sz w:val="20"/>
              </w:rPr>
              <w:t>“Act now or your account is locked / you’ll miss out.”</w:t>
            </w:r>
          </w:p>
        </w:tc>
      </w:tr>
      <w:tr>
        <w:tc>
          <w:tcPr>
            <w:tcW w:type="dxa" w:w="2160"/>
            <w:vAlign w:val="center"/>
          </w:tcPr>
          <w:p>
            <w:pPr>
              <w:spacing w:after="20" w:before="20"/>
            </w:pPr>
            <w:r>
              <w:rPr>
                <w:rFonts w:ascii="Calibri" w:hAnsi="Calibri"/>
                <w:b w:val="0"/>
                <w:i w:val="0"/>
                <w:color w:val="444444"/>
                <w:sz w:val="20"/>
              </w:rPr>
              <w:t>Authority</w:t>
            </w:r>
          </w:p>
        </w:tc>
        <w:tc>
          <w:tcPr>
            <w:tcW w:type="dxa" w:w="7056"/>
            <w:vAlign w:val="center"/>
          </w:tcPr>
          <w:p>
            <w:pPr>
              <w:spacing w:after="20" w:before="20"/>
            </w:pPr>
            <w:r>
              <w:rPr>
                <w:rFonts w:ascii="Calibri" w:hAnsi="Calibri"/>
                <w:b w:val="0"/>
                <w:i w:val="0"/>
                <w:color w:val="444444"/>
                <w:sz w:val="20"/>
              </w:rPr>
              <w:t>“This is IT / security / an official — do what I say.”</w:t>
            </w:r>
          </w:p>
        </w:tc>
      </w:tr>
      <w:tr>
        <w:tc>
          <w:tcPr>
            <w:tcW w:type="dxa" w:w="2160"/>
            <w:vAlign w:val="center"/>
          </w:tcPr>
          <w:p>
            <w:pPr>
              <w:spacing w:after="20" w:before="20"/>
            </w:pPr>
            <w:r>
              <w:rPr>
                <w:rFonts w:ascii="Calibri" w:hAnsi="Calibri"/>
                <w:b w:val="0"/>
                <w:i w:val="0"/>
                <w:color w:val="444444"/>
                <w:sz w:val="20"/>
              </w:rPr>
              <w:t>Fear</w:t>
            </w:r>
          </w:p>
        </w:tc>
        <w:tc>
          <w:tcPr>
            <w:tcW w:type="dxa" w:w="7056"/>
            <w:vAlign w:val="center"/>
          </w:tcPr>
          <w:p>
            <w:pPr>
              <w:spacing w:after="20" w:before="20"/>
            </w:pPr>
            <w:r>
              <w:rPr>
                <w:rFonts w:ascii="Calibri" w:hAnsi="Calibri"/>
                <w:b w:val="0"/>
                <w:i w:val="0"/>
                <w:color w:val="444444"/>
                <w:sz w:val="20"/>
              </w:rPr>
              <w:t>“Something bad will happen unless you respond.”</w:t>
            </w:r>
          </w:p>
        </w:tc>
      </w:tr>
      <w:tr>
        <w:tc>
          <w:tcPr>
            <w:tcW w:type="dxa" w:w="2160"/>
            <w:vAlign w:val="center"/>
          </w:tcPr>
          <w:p>
            <w:pPr>
              <w:spacing w:after="20" w:before="20"/>
            </w:pPr>
            <w:r>
              <w:rPr>
                <w:rFonts w:ascii="Calibri" w:hAnsi="Calibri"/>
                <w:b w:val="0"/>
                <w:i w:val="0"/>
                <w:color w:val="444444"/>
                <w:sz w:val="20"/>
              </w:rPr>
              <w:t>Reward</w:t>
            </w:r>
          </w:p>
        </w:tc>
        <w:tc>
          <w:tcPr>
            <w:tcW w:type="dxa" w:w="7056"/>
            <w:vAlign w:val="center"/>
          </w:tcPr>
          <w:p>
            <w:pPr>
              <w:spacing w:after="20" w:before="20"/>
            </w:pPr>
            <w:r>
              <w:rPr>
                <w:rFonts w:ascii="Calibri" w:hAnsi="Calibri"/>
                <w:b w:val="0"/>
                <w:i w:val="0"/>
                <w:color w:val="444444"/>
                <w:sz w:val="20"/>
              </w:rPr>
              <w:t>“You won! Just confirm your info / send a fee.”</w:t>
            </w:r>
          </w:p>
        </w:tc>
      </w:tr>
      <w:tr>
        <w:tc>
          <w:tcPr>
            <w:tcW w:type="dxa" w:w="2160"/>
            <w:vAlign w:val="center"/>
          </w:tcPr>
          <w:p>
            <w:pPr>
              <w:spacing w:after="20" w:before="20"/>
            </w:pPr>
            <w:r>
              <w:rPr>
                <w:rFonts w:ascii="Calibri" w:hAnsi="Calibri"/>
                <w:b w:val="0"/>
                <w:i w:val="0"/>
                <w:color w:val="444444"/>
                <w:sz w:val="20"/>
              </w:rPr>
              <w:t>Familiarity</w:t>
            </w:r>
          </w:p>
        </w:tc>
        <w:tc>
          <w:tcPr>
            <w:tcW w:type="dxa" w:w="7056"/>
            <w:vAlign w:val="center"/>
          </w:tcPr>
          <w:p>
            <w:pPr>
              <w:spacing w:after="20" w:before="20"/>
            </w:pPr>
            <w:r>
              <w:rPr>
                <w:rFonts w:ascii="Calibri" w:hAnsi="Calibri"/>
                <w:b w:val="0"/>
                <w:i w:val="0"/>
                <w:color w:val="444444"/>
                <w:sz w:val="20"/>
              </w:rPr>
              <w:t>“It’s me — your friend / a brand you trust.”</w:t>
            </w:r>
          </w:p>
        </w:tc>
      </w:tr>
    </w:tbl>
    <w:p>
      <w:pPr>
        <w:spacing w:after="40"/>
      </w:pPr>
    </w:p>
    <w:p>
      <w:pPr>
        <w:spacing w:after="80" w:before="0"/>
      </w:pPr>
      <w:r>
        <w:rPr>
          <w:rFonts w:ascii="Calibri" w:hAnsi="Calibri"/>
          <w:b w:val="0"/>
          <w:i w:val="0"/>
          <w:color w:val="444444"/>
          <w:sz w:val="22"/>
        </w:rPr>
        <w:t>SAY:  The defense is one habit — STOP · VERIFY · ACT. Stop before you tap. Verify through a second, trusted channel. Then act (or report).</w:t>
      </w:r>
    </w:p>
    <w:p>
      <w:pPr>
        <w:spacing w:after="80" w:before="0"/>
      </w:pPr>
      <w:r>
        <w:rPr>
          <w:rFonts w:ascii="Calibri" w:hAnsi="Calibri"/>
          <w:b w:val="0"/>
          <w:i w:val="0"/>
          <w:color w:val="444444"/>
          <w:sz w:val="22"/>
        </w:rPr>
        <w:t>DO:  Name the security habits (CS.DCS.25): unique passwords, MFA, never approve a login you didn’t start, never share codes, and only enter payment info on secure, verified sites. Add AI red flags (CS.DCS.40): odd hands or ears, mismatched lighting, strange audio, brand-new accounts, and “too perfect” urgency — verify through a real, known source.</w:t>
      </w:r>
    </w:p>
    <w:p>
      <w:pPr>
        <w:pStyle w:val="Heading3"/>
      </w:pPr>
      <w:r>
        <w:t>3 · Peer Activity — “Real or Fake / Safe or Scam”  (15 min)</w:t>
      </w:r>
    </w:p>
    <w:p>
      <w:pPr>
        <w:spacing w:after="80" w:before="0"/>
      </w:pPr>
      <w:r>
        <w:rPr>
          <w:rFonts w:ascii="Calibri" w:hAnsi="Calibri"/>
          <w:b w:val="0"/>
          <w:i w:val="0"/>
          <w:color w:val="444444"/>
          <w:sz w:val="22"/>
        </w:rPr>
        <w:t>DO:  Groups review fictional messages, profiles, and media (Appendix D) and mark each on the Threat Recognition sheet: the tactic used, the red flags, and the safe move.</w:t>
      </w:r>
    </w:p>
    <w:p>
      <w:pPr>
        <w:spacing w:after="80" w:before="0"/>
      </w:pPr>
      <w:r>
        <w:rPr>
          <w:rFonts w:ascii="Calibri" w:hAnsi="Calibri"/>
          <w:b w:val="0"/>
          <w:i w:val="0"/>
          <w:color w:val="444444"/>
          <w:sz w:val="22"/>
        </w:rPr>
        <w:t>ASK:  “Which tactic is this using? What’s the one thing that would prove whether it’s real?”</w:t>
      </w:r>
    </w:p>
    <w:p>
      <w:pPr>
        <w:pStyle w:val="Heading3"/>
      </w:pPr>
      <w:r>
        <w:t>4 · Student Practice — Personal Security Playbook  (15 min)</w:t>
      </w:r>
    </w:p>
    <w:p>
      <w:pPr>
        <w:spacing w:after="80" w:before="0"/>
      </w:pPr>
      <w:r>
        <w:rPr>
          <w:rFonts w:ascii="Calibri" w:hAnsi="Calibri"/>
          <w:b w:val="0"/>
          <w:i w:val="0"/>
          <w:color w:val="444444"/>
          <w:sz w:val="22"/>
        </w:rPr>
        <w:t>DO:  Students complete the Personal Security Playbook (Appendix E) with general actions only — no real passwords. Include: unique passwords, MFA on, verify-before-you-act, protect recovery, spot AI fakes, and report a compromise.</w:t>
      </w:r>
    </w:p>
    <w:p>
      <w:pPr>
        <w:spacing w:after="80" w:before="0"/>
      </w:pPr>
      <w:r>
        <w:rPr>
          <w:rFonts w:ascii="Calibri" w:hAnsi="Calibri"/>
          <w:b w:val="0"/>
          <w:i w:val="0"/>
          <w:color w:val="444444"/>
          <w:sz w:val="22"/>
        </w:rPr>
        <w:t>MODEL  Teacher models the verify response: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“I’m not going to tap approve or send a code. If this were really my bank or the school, I’d reach them through the official app or number I already have — and I’ll ask a trusted adult to help me check.”</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Pre-fill two rows of the playbook; give a word bank (MFA, verify, recovery, deepfake).</w:t>
            </w:r>
          </w:p>
          <w:p>
            <w:pPr>
              <w:spacing w:after="20"/>
            </w:pPr>
            <w:r>
              <w:rPr>
                <w:rFonts w:ascii="Calibri" w:hAnsi="Calibri"/>
                <w:b w:val="0"/>
                <w:i w:val="0"/>
                <w:color w:val="444444"/>
                <w:sz w:val="21"/>
              </w:rPr>
              <w:t>Extension:  Students write a short justification defending two security choices (CS.DCS.25).</w:t>
            </w:r>
          </w:p>
          <w:p>
            <w:pPr>
              <w:spacing w:after="20"/>
            </w:pPr>
            <w:r>
              <w:rPr>
                <w:rFonts w:ascii="Calibri" w:hAnsi="Calibri"/>
                <w:b w:val="0"/>
                <w:i w:val="0"/>
                <w:color w:val="444444"/>
                <w:sz w:val="21"/>
              </w:rPr>
              <w:t>Multilingual learners:  Provide the tactic table with icons; allow verbal responses.</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social-engineering tactic I can now spot is…</w:t>
      </w:r>
    </w:p>
    <w:p>
      <w:pPr>
        <w:pStyle w:val="ListParagraph"/>
        <w:spacing w:after="40"/>
        <w:numPr>
          <w:ilvl w:val="0"/>
          <w:numId w:val="1"/>
        </w:numPr>
      </w:pPr>
      <w:r>
        <w:rPr>
          <w:rFonts w:ascii="Calibri" w:hAnsi="Calibri"/>
          <w:b w:val="0"/>
          <w:i w:val="0"/>
          <w:color w:val="444444"/>
          <w:sz w:val="22"/>
        </w:rPr>
        <w:t>One personal-security habit I will use is…</w:t>
      </w:r>
    </w:p>
    <w:p>
      <w:pPr>
        <w:pStyle w:val="ListParagraph"/>
        <w:spacing w:after="40"/>
        <w:numPr>
          <w:ilvl w:val="0"/>
          <w:numId w:val="1"/>
        </w:numPr>
      </w:pPr>
      <w:r>
        <w:rPr>
          <w:rFonts w:ascii="Calibri" w:hAnsi="Calibri"/>
          <w:b w:val="0"/>
          <w:i w:val="0"/>
          <w:color w:val="444444"/>
          <w:sz w:val="22"/>
        </w:rPr>
        <w:t>One way I can check if a message or image is fake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Accuracy of tactic/red-flag identification on the Threat Recognition sheet.</w:t>
      </w:r>
    </w:p>
    <w:p>
      <w:pPr>
        <w:pStyle w:val="ListParagraph"/>
        <w:spacing w:after="40"/>
        <w:numPr>
          <w:ilvl w:val="0"/>
          <w:numId w:val="1"/>
        </w:numPr>
      </w:pPr>
      <w:r>
        <w:rPr>
          <w:rFonts w:ascii="Calibri" w:hAnsi="Calibri"/>
          <w:b w:val="0"/>
          <w:i w:val="0"/>
          <w:color w:val="444444"/>
          <w:sz w:val="22"/>
        </w:rPr>
        <w:t>Quality of the Personal Security Playbook.</w:t>
      </w:r>
    </w:p>
    <w:p>
      <w:pPr>
        <w:pStyle w:val="ListParagraph"/>
        <w:spacing w:after="40"/>
        <w:numPr>
          <w:ilvl w:val="0"/>
          <w:numId w:val="1"/>
        </w:numPr>
      </w:pPr>
      <w:r>
        <w:rPr>
          <w:rFonts w:ascii="Calibri" w:hAnsi="Calibri"/>
          <w:b w:val="0"/>
          <w:i w:val="0"/>
          <w:color w:val="444444"/>
          <w:sz w:val="22"/>
        </w:rPr>
        <w:t>Completed exit ticket.</w:t>
      </w:r>
    </w:p>
    <w:p>
      <w:pPr>
        <w:pStyle w:val="Heading1"/>
      </w:pPr>
      <w:r>
        <w:t>Lesson 3 — Digital Rights, Serious Harm &amp; Responsible Response</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Length</w:t>
            </w:r>
          </w:p>
        </w:tc>
        <w:tc>
          <w:tcPr>
            <w:tcW w:type="dxa" w:w="7200"/>
            <w:vAlign w:val="center"/>
          </w:tcPr>
          <w:p>
            <w:pPr>
              <w:spacing w:after="20" w:before="20"/>
            </w:pPr>
            <w:r>
              <w:rPr>
                <w:rFonts w:ascii="Calibri" w:hAnsi="Calibri"/>
                <w:b w:val="0"/>
                <w:i w:val="0"/>
                <w:color w:val="444444"/>
                <w:sz w:val="21"/>
              </w:rPr>
              <w:t>45–50 minutes</w:t>
            </w:r>
          </w:p>
        </w:tc>
      </w:tr>
      <w:tr>
        <w:tc>
          <w:tcPr>
            <w:tcW w:type="dxa" w:w="2016"/>
            <w:shd w:val="clear" w:color="auto" w:fill="EBF1F3"/>
            <w:vAlign w:val="center"/>
          </w:tcPr>
          <w:p>
            <w:pPr>
              <w:spacing w:after="20" w:before="20"/>
            </w:pPr>
            <w:r>
              <w:rPr>
                <w:rFonts w:ascii="Calibri" w:hAnsi="Calibri"/>
                <w:b/>
                <w:i w:val="0"/>
                <w:color w:val="1E3048"/>
                <w:sz w:val="21"/>
              </w:rPr>
              <w:t>Lesson focus</w:t>
            </w:r>
          </w:p>
        </w:tc>
        <w:tc>
          <w:tcPr>
            <w:tcW w:type="dxa" w:w="7200"/>
            <w:vAlign w:val="center"/>
          </w:tcPr>
          <w:p>
            <w:pPr>
              <w:spacing w:after="20" w:before="20"/>
            </w:pPr>
            <w:r>
              <w:rPr>
                <w:rFonts w:ascii="Calibri" w:hAnsi="Calibri"/>
                <w:b w:val="0"/>
                <w:i w:val="0"/>
                <w:color w:val="444444"/>
                <w:sz w:val="21"/>
              </w:rPr>
              <w:t>Students identify serious online harm, learn their rights and the reasons not to handle it alone, and build a layered reporting pathway — adult, school, platform, and national resources.</w:t>
            </w:r>
          </w:p>
        </w:tc>
      </w:tr>
      <w:tr>
        <w:tc>
          <w:tcPr>
            <w:tcW w:type="dxa" w:w="2016"/>
            <w:shd w:val="clear" w:color="auto" w:fill="EBF1F3"/>
            <w:vAlign w:val="center"/>
          </w:tcPr>
          <w:p>
            <w:pPr>
              <w:spacing w:after="20" w:before="20"/>
            </w:pPr>
            <w:r>
              <w:rPr>
                <w:rFonts w:ascii="Calibri" w:hAnsi="Calibri"/>
                <w:b/>
                <w:i w:val="0"/>
                <w:color w:val="1E3048"/>
                <w:sz w:val="21"/>
              </w:rPr>
              <w:t>Essential question</w:t>
            </w:r>
          </w:p>
        </w:tc>
        <w:tc>
          <w:tcPr>
            <w:tcW w:type="dxa" w:w="7200"/>
            <w:vAlign w:val="center"/>
          </w:tcPr>
          <w:p>
            <w:pPr>
              <w:spacing w:after="20" w:before="20"/>
            </w:pPr>
            <w:r>
              <w:rPr>
                <w:rFonts w:ascii="Calibri" w:hAnsi="Calibri"/>
                <w:b w:val="0"/>
                <w:i w:val="0"/>
                <w:color w:val="444444"/>
                <w:sz w:val="21"/>
              </w:rPr>
              <w:t>How do I respond to serious online harm using my rights, the right people, and the right resources?</w:t>
            </w:r>
          </w:p>
        </w:tc>
      </w:tr>
      <w:tr>
        <w:tc>
          <w:tcPr>
            <w:tcW w:type="dxa" w:w="2016"/>
            <w:shd w:val="clear" w:color="auto" w:fill="EBF1F3"/>
            <w:vAlign w:val="center"/>
          </w:tcPr>
          <w:p>
            <w:pPr>
              <w:spacing w:after="20" w:before="20"/>
            </w:pPr>
            <w:r>
              <w:rPr>
                <w:rFonts w:ascii="Calibri" w:hAnsi="Calibri"/>
                <w:b/>
                <w:i w:val="0"/>
                <w:color w:val="1E3048"/>
                <w:sz w:val="21"/>
              </w:rPr>
              <w:t>SWAT topics</w:t>
            </w:r>
          </w:p>
        </w:tc>
        <w:tc>
          <w:tcPr>
            <w:tcW w:type="dxa" w:w="7200"/>
            <w:vAlign w:val="center"/>
          </w:tcPr>
          <w:p>
            <w:pPr>
              <w:spacing w:after="20" w:before="20"/>
            </w:pPr>
            <w:r>
              <w:rPr>
                <w:rFonts w:ascii="Calibri" w:hAnsi="Calibri"/>
                <w:b w:val="0"/>
                <w:i w:val="0"/>
                <w:color w:val="444444"/>
                <w:sz w:val="21"/>
              </w:rPr>
              <w:t>Recognizing &amp; reporting dangerous or illegal activity · harassment, coercion, impersonation · resources &amp; assistance · consequences · trusted-adult communication.</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CS.DCS.37, CS.DCS.39, CS.DCS.19, CS.DCS.32 · ELA Reading Informational Text, Speaking/Listening,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40"/>
            </w:pPr>
            <w:r>
              <w:rPr>
                <w:rFonts w:ascii="Calibri" w:hAnsi="Calibri"/>
                <w:b/>
                <w:i w:val="0"/>
                <w:color w:val="1E3048"/>
                <w:sz w:val="21"/>
              </w:rPr>
              <w:t>How this differs from Grade 8</w:t>
            </w:r>
          </w:p>
          <w:p>
            <w:pPr>
              <w:spacing w:after="20"/>
            </w:pPr>
            <w:r>
              <w:rPr>
                <w:rFonts w:ascii="Calibri" w:hAnsi="Calibri"/>
                <w:b w:val="0"/>
                <w:i w:val="0"/>
                <w:color w:val="444444"/>
                <w:sz w:val="21"/>
              </w:rPr>
              <w:t>Grade 8 built a school reporting pathway. Grade 9 adds rights and layers: what crosses into serious or illegal activity, why preserving evidence matters, how to use platform reporting tools, and which national resources adults can involve — without asking students to disclose personal experiences.</w:t>
            </w:r>
          </w:p>
        </w:tc>
      </w:tr>
    </w:tbl>
    <w:p>
      <w:pPr>
        <w:spacing w:after="40"/>
      </w:pPr>
    </w:p>
    <w:p>
      <w:pPr>
        <w:pStyle w:val="Heading3"/>
      </w:pPr>
      <w:r>
        <w:t>Learning targets (“I can…”)</w:t>
      </w:r>
    </w:p>
    <w:p>
      <w:pPr>
        <w:pStyle w:val="ListParagraph"/>
        <w:spacing w:after="40"/>
        <w:numPr>
          <w:ilvl w:val="0"/>
          <w:numId w:val="1"/>
        </w:numPr>
      </w:pPr>
      <w:r>
        <w:rPr>
          <w:rFonts w:ascii="Calibri" w:hAnsi="Calibri"/>
          <w:b w:val="0"/>
          <w:i w:val="0"/>
          <w:color w:val="444444"/>
          <w:sz w:val="22"/>
        </w:rPr>
        <w:t>I can identify online behavior that crosses into serious harm or illegal activity.</w:t>
      </w:r>
    </w:p>
    <w:p>
      <w:pPr>
        <w:pStyle w:val="ListParagraph"/>
        <w:spacing w:after="40"/>
        <w:numPr>
          <w:ilvl w:val="0"/>
          <w:numId w:val="1"/>
        </w:numPr>
      </w:pPr>
      <w:r>
        <w:rPr>
          <w:rFonts w:ascii="Calibri" w:hAnsi="Calibri"/>
          <w:b w:val="0"/>
          <w:i w:val="0"/>
          <w:color w:val="444444"/>
          <w:sz w:val="22"/>
        </w:rPr>
        <w:t>I can explain why I should not investigate, retaliate, forward, or handle it alone.</w:t>
      </w:r>
    </w:p>
    <w:p>
      <w:pPr>
        <w:pStyle w:val="ListParagraph"/>
        <w:spacing w:after="40"/>
        <w:numPr>
          <w:ilvl w:val="0"/>
          <w:numId w:val="1"/>
        </w:numPr>
      </w:pPr>
      <w:r>
        <w:rPr>
          <w:rFonts w:ascii="Calibri" w:hAnsi="Calibri"/>
          <w:b w:val="0"/>
          <w:i w:val="0"/>
          <w:color w:val="444444"/>
          <w:sz w:val="22"/>
        </w:rPr>
        <w:t>I can describe real consequences — school, legal, financial, relationship, mental-health, and future-opportunity.</w:t>
      </w:r>
    </w:p>
    <w:p>
      <w:pPr>
        <w:pStyle w:val="ListParagraph"/>
        <w:spacing w:after="40"/>
        <w:numPr>
          <w:ilvl w:val="0"/>
          <w:numId w:val="1"/>
        </w:numPr>
      </w:pPr>
      <w:r>
        <w:rPr>
          <w:rFonts w:ascii="Calibri" w:hAnsi="Calibri"/>
          <w:b w:val="0"/>
          <w:i w:val="0"/>
          <w:color w:val="444444"/>
          <w:sz w:val="22"/>
        </w:rPr>
        <w:t>I can use a layered reporting pathway: trusted adult, school, platform tools, and national resources.</w:t>
      </w:r>
    </w:p>
    <w:p>
      <w:pPr>
        <w:pStyle w:val="ListParagraph"/>
        <w:spacing w:after="40"/>
        <w:numPr>
          <w:ilvl w:val="0"/>
          <w:numId w:val="1"/>
        </w:numPr>
      </w:pPr>
      <w:r>
        <w:rPr>
          <w:rFonts w:ascii="Calibri" w:hAnsi="Calibri"/>
          <w:b w:val="0"/>
          <w:i w:val="0"/>
          <w:color w:val="444444"/>
          <w:sz w:val="22"/>
        </w:rPr>
        <w:t>I can support a peer with calm, non-judgmental language and connect them to help.</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BE7C6"/>
          </w:tcPr>
          <w:p>
            <w:pPr>
              <w:spacing w:after="40"/>
            </w:pPr>
            <w:r>
              <w:rPr>
                <w:rFonts w:ascii="Calibri" w:hAnsi="Calibri"/>
                <w:b/>
                <w:i w:val="0"/>
                <w:color w:val="1E3048"/>
                <w:sz w:val="21"/>
              </w:rPr>
              <w:t>PREP  ·  before class</w:t>
            </w:r>
          </w:p>
          <w:p>
            <w:pPr>
              <w:spacing w:after="20"/>
            </w:pPr>
            <w:r>
              <w:rPr>
                <w:rFonts w:ascii="Calibri" w:hAnsi="Calibri"/>
                <w:b w:val="0"/>
                <w:i w:val="0"/>
                <w:color w:val="444444"/>
                <w:sz w:val="21"/>
              </w:rPr>
              <w:t>Copy the Report / Support / Preserve / Stop sort cards (Appendix F) — one set per group.</w:t>
            </w:r>
          </w:p>
          <w:p>
            <w:pPr>
              <w:spacing w:after="20"/>
            </w:pPr>
            <w:r>
              <w:rPr>
                <w:rFonts w:ascii="Calibri" w:hAnsi="Calibri"/>
                <w:b w:val="0"/>
                <w:i w:val="0"/>
                <w:color w:val="444444"/>
                <w:sz w:val="21"/>
              </w:rPr>
              <w:t>Copy the Layered Reporting Pathway Map template (Appendix F) — one per group or student.</w:t>
            </w:r>
          </w:p>
          <w:p>
            <w:pPr>
              <w:spacing w:after="20"/>
            </w:pPr>
            <w:r>
              <w:rPr>
                <w:rFonts w:ascii="Calibri" w:hAnsi="Calibri"/>
                <w:b w:val="0"/>
                <w:i w:val="0"/>
                <w:color w:val="444444"/>
                <w:sz w:val="21"/>
              </w:rPr>
              <w:t>Copy the Peer Support Script cards (Appendix G).</w:t>
            </w:r>
          </w:p>
          <w:p>
            <w:pPr>
              <w:spacing w:after="20"/>
            </w:pPr>
            <w:r>
              <w:rPr>
                <w:rFonts w:ascii="Calibri" w:hAnsi="Calibri"/>
                <w:b w:val="0"/>
                <w:i w:val="0"/>
                <w:color w:val="444444"/>
                <w:sz w:val="21"/>
              </w:rPr>
              <w:t>Fill in your school’s reporting contacts in advance; confirm building guidance on platform reporting, CyberTipline, and Take It Down.</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Keep language developmentally appropriate — “private content,” “harmful sharing,” “threats,” “coercion,” “pressure.” Do not ask students to share personal experiences or investigate anything. Emphasize: stop, preserve evidence, protect safety, and tell a trusted adult immediately. Make sure students leave with your specific school reporting contacts.</w:t>
            </w:r>
          </w:p>
        </w:tc>
      </w:tr>
    </w:tbl>
    <w:p>
      <w:pPr>
        <w:spacing w:after="40"/>
      </w:pPr>
    </w:p>
    <w:p>
      <w:pPr>
        <w:pStyle w:val="Heading2"/>
      </w:pPr>
      <w:r>
        <w:t>Lesson Sequence</w:t>
      </w:r>
    </w:p>
    <w:p>
      <w:pPr>
        <w:pStyle w:val="Heading3"/>
      </w:pPr>
      <w:r>
        <w:t>1 · Opening Prompt  (5 min)</w:t>
      </w:r>
    </w:p>
    <w:p>
      <w:pPr>
        <w:spacing w:after="80" w:before="0"/>
      </w:pPr>
      <w:r>
        <w:rPr>
          <w:rFonts w:ascii="Calibri" w:hAnsi="Calibri"/>
          <w:b w:val="0"/>
          <w:i w:val="0"/>
          <w:color w:val="444444"/>
          <w:sz w:val="22"/>
        </w:rPr>
        <w:t>ASK:  “When an online problem gets serious, why is trying to handle it yourself — deleting it, arguing, or paying — usually the wrong move?”</w:t>
      </w:r>
    </w:p>
    <w:p>
      <w:pPr>
        <w:spacing w:after="80" w:before="0"/>
      </w:pPr>
      <w:r>
        <w:rPr>
          <w:rFonts w:ascii="Calibri" w:hAnsi="Calibri"/>
          <w:b w:val="0"/>
          <w:i w:val="0"/>
          <w:color w:val="444444"/>
          <w:sz w:val="22"/>
        </w:rPr>
        <w:t>DO:  Keep responses general; no personal disclosures. Surface: it can destroy evidence, escalate the threat, or make you a target.</w:t>
      </w:r>
    </w:p>
    <w:p>
      <w:pPr>
        <w:spacing w:after="80" w:before="0"/>
      </w:pPr>
      <w:r>
        <w:rPr>
          <w:rFonts w:ascii="Calibri" w:hAnsi="Calibri"/>
          <w:b w:val="0"/>
          <w:i w:val="0"/>
          <w:color w:val="444444"/>
          <w:sz w:val="22"/>
        </w:rPr>
        <w:t>SAY:  Serious problems need the right people and the right resources. The strongest move is to preserve what happened and get a trusted adult involved early.</w:t>
      </w:r>
    </w:p>
    <w:p>
      <w:pPr>
        <w:pStyle w:val="Heading3"/>
      </w:pPr>
      <w:r>
        <w:t>2 · Mini-Lesson — When It’s Serious, and Your Rights  (10 min)</w:t>
      </w:r>
    </w:p>
    <w:p>
      <w:pPr>
        <w:spacing w:after="80" w:before="0"/>
      </w:pPr>
      <w:r>
        <w:rPr>
          <w:rFonts w:ascii="Calibri" w:hAnsi="Calibri"/>
          <w:b w:val="0"/>
          <w:i w:val="0"/>
          <w:color w:val="444444"/>
          <w:sz w:val="22"/>
        </w:rPr>
        <w:t>SAY:  Some situations always need an adult and often a report. If you see any of these, stop, don’t forward, preserve evidence, protect safety, and tell a trusted adult.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pPr>
              <w:spacing w:after="20"/>
            </w:pPr>
            <w:r>
              <w:rPr>
                <w:rFonts w:ascii="Calibri" w:hAnsi="Calibri"/>
                <w:b w:val="0"/>
                <w:i w:val="0"/>
                <w:color w:val="444444"/>
                <w:sz w:val="21"/>
              </w:rPr>
              <w:t>•  Threats, harassment, stalking, or coercion.</w:t>
            </w:r>
          </w:p>
          <w:p>
            <w:pPr>
              <w:spacing w:after="20"/>
            </w:pPr>
            <w:r>
              <w:rPr>
                <w:rFonts w:ascii="Calibri" w:hAnsi="Calibri"/>
                <w:b w:val="0"/>
                <w:i w:val="0"/>
                <w:color w:val="444444"/>
                <w:sz w:val="21"/>
              </w:rPr>
              <w:t>•  Sextortion — pressure or threats to expose private content, sometimes for money.</w:t>
            </w:r>
          </w:p>
          <w:p>
            <w:pPr>
              <w:spacing w:after="20"/>
            </w:pPr>
            <w:r>
              <w:rPr>
                <w:rFonts w:ascii="Calibri" w:hAnsi="Calibri"/>
                <w:b w:val="0"/>
                <w:i w:val="0"/>
                <w:color w:val="444444"/>
                <w:sz w:val="21"/>
              </w:rPr>
              <w:t>•  Non-consensual sharing of private images, or being pushed to send them.</w:t>
            </w:r>
          </w:p>
          <w:p>
            <w:pPr>
              <w:spacing w:after="20"/>
            </w:pPr>
            <w:r>
              <w:rPr>
                <w:rFonts w:ascii="Calibri" w:hAnsi="Calibri"/>
                <w:b w:val="0"/>
                <w:i w:val="0"/>
                <w:color w:val="444444"/>
                <w:sz w:val="21"/>
              </w:rPr>
              <w:t>•  Impersonation, deepfakes, or a hacked / compromised account.</w:t>
            </w:r>
          </w:p>
          <w:p>
            <w:pPr>
              <w:spacing w:after="20"/>
            </w:pPr>
            <w:r>
              <w:rPr>
                <w:rFonts w:ascii="Calibri" w:hAnsi="Calibri"/>
                <w:b w:val="0"/>
                <w:i w:val="0"/>
                <w:color w:val="444444"/>
                <w:sz w:val="21"/>
              </w:rPr>
              <w:t>•  Any request or situation that makes someone feel unsafe.</w:t>
            </w:r>
          </w:p>
        </w:tc>
      </w:tr>
    </w:tbl>
    <w:p>
      <w:pPr>
        <w:spacing w:after="40"/>
      </w:pPr>
    </w:p>
    <w:p>
      <w:pPr>
        <w:spacing w:after="80" w:before="0"/>
      </w:pPr>
      <w:r>
        <w:rPr>
          <w:rFonts w:ascii="Calibri" w:hAnsi="Calibri"/>
          <w:b w:val="0"/>
          <w:i w:val="0"/>
          <w:color w:val="444444"/>
          <w:sz w:val="22"/>
        </w:rPr>
        <w:t>SAY:  You have rights. You are not in trouble for asking for help, private content shared without consent is not your fault, and platforms and the law take these seriously. Your job isn’t to investigate — it’s to preserve evidence and get it to the right adult, who can use resources like the CyberTipline or Take It Down.</w:t>
      </w:r>
    </w:p>
    <w:p>
      <w:pPr>
        <w:pStyle w:val="Heading3"/>
      </w:pPr>
      <w:r>
        <w:t>3 · Peer Activity — “Report, Support, Preserve, or Stop”  (15 min)</w:t>
      </w:r>
    </w:p>
    <w:p>
      <w:pPr>
        <w:spacing w:after="80" w:before="0"/>
      </w:pPr>
      <w:r>
        <w:rPr>
          <w:rFonts w:ascii="Calibri" w:hAnsi="Calibri"/>
          <w:b w:val="0"/>
          <w:i w:val="0"/>
          <w:color w:val="444444"/>
          <w:sz w:val="22"/>
        </w:rPr>
        <w:t>DO:  Groups sort scenario cards (Appendix F) into four responses: STOP participating · SUPPORT the person safely · PRESERVE the evidence · REPORT to a trusted adult (and platform). Groups explain why — a serious card usually needs all four.</w:t>
      </w:r>
    </w:p>
    <w:p>
      <w:pPr>
        <w:pStyle w:val="Heading3"/>
      </w:pPr>
      <w:r>
        <w:t>4 · Layered Reporting Pathway Map  (15 min)</w:t>
      </w:r>
    </w:p>
    <w:p>
      <w:pPr>
        <w:spacing w:after="80" w:before="0"/>
      </w:pPr>
      <w:r>
        <w:rPr>
          <w:rFonts w:ascii="Calibri" w:hAnsi="Calibri"/>
          <w:b w:val="0"/>
          <w:i w:val="0"/>
          <w:color w:val="444444"/>
          <w:sz w:val="22"/>
        </w:rPr>
        <w:t>DO:  Groups build a Layered Reporting Pathway Map (Appendix F): trusted adult → counselor/administrator → technology/IT contact → platform report &amp; block → family adult → national resources adults may use (CyberTipline, Take It Down).</w:t>
      </w:r>
    </w:p>
    <w:p>
      <w:pPr>
        <w:spacing w:after="80" w:before="0"/>
      </w:pPr>
      <w:r>
        <w:rPr>
          <w:rFonts w:ascii="Calibri" w:hAnsi="Calibri"/>
          <w:b w:val="0"/>
          <w:i w:val="0"/>
          <w:color w:val="444444"/>
          <w:sz w:val="22"/>
        </w:rPr>
        <w:t>MODEL  Teacher models the help-seeking script: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“You don’t have to handle this alone, and you’re not in trouble. Don’t respond or pay. Let’s save the evidence and go to a trusted adult right now so we can report it the right way.”</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DIFFERENTIATE</w:t>
            </w:r>
          </w:p>
          <w:p>
            <w:pPr>
              <w:spacing w:after="20"/>
            </w:pPr>
            <w:r>
              <w:rPr>
                <w:rFonts w:ascii="Calibri" w:hAnsi="Calibri"/>
                <w:b w:val="0"/>
                <w:i w:val="0"/>
                <w:color w:val="444444"/>
                <w:sz w:val="21"/>
              </w:rPr>
              <w:t>Support:  Provide a partially completed pathway map; give peer-support sentence frames.</w:t>
            </w:r>
          </w:p>
          <w:p>
            <w:pPr>
              <w:spacing w:after="20"/>
            </w:pPr>
            <w:r>
              <w:rPr>
                <w:rFonts w:ascii="Calibri" w:hAnsi="Calibri"/>
                <w:b w:val="0"/>
                <w:i w:val="0"/>
                <w:color w:val="444444"/>
                <w:sz w:val="21"/>
              </w:rPr>
              <w:t>Extension:  Groups design a hallway “Reporting Pathway” poster for the school.</w:t>
            </w:r>
          </w:p>
          <w:p>
            <w:pPr>
              <w:spacing w:after="20"/>
            </w:pPr>
            <w:r>
              <w:rPr>
                <w:rFonts w:ascii="Calibri" w:hAnsi="Calibri"/>
                <w:b w:val="0"/>
                <w:i w:val="0"/>
                <w:color w:val="444444"/>
                <w:sz w:val="21"/>
              </w:rPr>
              <w:t>Multilingual learners:  Translate the pathway labels; allow verbal peer-support practice.</w:t>
            </w:r>
          </w:p>
        </w:tc>
      </w:tr>
    </w:tbl>
    <w:p>
      <w:pPr>
        <w:spacing w:after="40"/>
      </w:pPr>
    </w:p>
    <w:p>
      <w:pPr>
        <w:pStyle w:val="Heading3"/>
      </w:pPr>
      <w:r>
        <w:t>5 · Exit Ticket  (5 min)</w:t>
      </w:r>
    </w:p>
    <w:p>
      <w:pPr>
        <w:pStyle w:val="ListParagraph"/>
        <w:spacing w:after="40"/>
        <w:numPr>
          <w:ilvl w:val="0"/>
          <w:numId w:val="1"/>
        </w:numPr>
      </w:pPr>
      <w:r>
        <w:rPr>
          <w:rFonts w:ascii="Calibri" w:hAnsi="Calibri"/>
          <w:b w:val="0"/>
          <w:i w:val="0"/>
          <w:color w:val="444444"/>
          <w:sz w:val="22"/>
        </w:rPr>
        <w:t>One online situation that should be reported is…</w:t>
      </w:r>
    </w:p>
    <w:p>
      <w:pPr>
        <w:pStyle w:val="ListParagraph"/>
        <w:spacing w:after="40"/>
        <w:numPr>
          <w:ilvl w:val="0"/>
          <w:numId w:val="1"/>
        </w:numPr>
      </w:pPr>
      <w:r>
        <w:rPr>
          <w:rFonts w:ascii="Calibri" w:hAnsi="Calibri"/>
          <w:b w:val="0"/>
          <w:i w:val="0"/>
          <w:color w:val="444444"/>
          <w:sz w:val="22"/>
        </w:rPr>
        <w:t>One supportive sentence I can say to a peer is…</w:t>
      </w:r>
    </w:p>
    <w:p>
      <w:pPr>
        <w:pStyle w:val="ListParagraph"/>
        <w:spacing w:after="40"/>
        <w:numPr>
          <w:ilvl w:val="0"/>
          <w:numId w:val="1"/>
        </w:numPr>
      </w:pPr>
      <w:r>
        <w:rPr>
          <w:rFonts w:ascii="Calibri" w:hAnsi="Calibri"/>
          <w:b w:val="0"/>
          <w:i w:val="0"/>
          <w:color w:val="444444"/>
          <w:sz w:val="22"/>
        </w:rPr>
        <w:t>One reason to preserve evidence instead of deleting it is…</w:t>
      </w:r>
    </w:p>
    <w:p>
      <w:pPr>
        <w:pStyle w:val="Heading3"/>
      </w:pPr>
      <w:r>
        <w:t>Assessment for this lesson</w:t>
      </w:r>
    </w:p>
    <w:p>
      <w:pPr>
        <w:pStyle w:val="ListParagraph"/>
        <w:spacing w:after="40"/>
        <w:numPr>
          <w:ilvl w:val="0"/>
          <w:numId w:val="1"/>
        </w:numPr>
      </w:pPr>
      <w:r>
        <w:rPr>
          <w:rFonts w:ascii="Calibri" w:hAnsi="Calibri"/>
          <w:b w:val="0"/>
          <w:i w:val="0"/>
          <w:color w:val="444444"/>
          <w:sz w:val="22"/>
        </w:rPr>
        <w:t>Accuracy of the Report/Support/Preserve/Stop sort with reasoning.</w:t>
      </w:r>
    </w:p>
    <w:p>
      <w:pPr>
        <w:pStyle w:val="ListParagraph"/>
        <w:spacing w:after="40"/>
        <w:numPr>
          <w:ilvl w:val="0"/>
          <w:numId w:val="1"/>
        </w:numPr>
      </w:pPr>
      <w:r>
        <w:rPr>
          <w:rFonts w:ascii="Calibri" w:hAnsi="Calibri"/>
          <w:b w:val="0"/>
          <w:i w:val="0"/>
          <w:color w:val="444444"/>
          <w:sz w:val="22"/>
        </w:rPr>
        <w:t>Clarity and usability of the Layered Reporting Pathway Map.</w:t>
      </w:r>
    </w:p>
    <w:p>
      <w:pPr>
        <w:pStyle w:val="ListParagraph"/>
        <w:spacing w:after="40"/>
        <w:numPr>
          <w:ilvl w:val="0"/>
          <w:numId w:val="1"/>
        </w:numPr>
      </w:pPr>
      <w:r>
        <w:rPr>
          <w:rFonts w:ascii="Calibri" w:hAnsi="Calibri"/>
          <w:b w:val="0"/>
          <w:i w:val="0"/>
          <w:color w:val="444444"/>
          <w:sz w:val="22"/>
        </w:rPr>
        <w:t>Completed exit ticket.</w:t>
      </w:r>
    </w:p>
    <w:p>
      <w:pPr>
        <w:pStyle w:val="Heading1"/>
      </w:pPr>
      <w:r>
        <w:t>Tabletop Exercises</w:t>
      </w:r>
    </w:p>
    <w:p>
      <w:pPr>
        <w:spacing w:after="80" w:before="0"/>
      </w:pPr>
      <w:r>
        <w:rPr>
          <w:rFonts w:ascii="Calibri" w:hAnsi="Calibri"/>
          <w:b w:val="0"/>
          <w:i w:val="0"/>
          <w:color w:val="444444"/>
          <w:sz w:val="22"/>
        </w:rPr>
        <w:t>Grade 9 tabletops ask students to build response protocols, reporting pathways, and personal-security plans for real, high-stakes situations. Each meets the SWAT delivery expectation: a real (fictional) scenario, peer discussion, modeled behavior, student practice, and reflection. Use them after the matching lesson, as advisory activities, or as review stations.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pPr>
              <w:spacing w:after="40"/>
            </w:pPr>
            <w:r>
              <w:rPr>
                <w:rFonts w:ascii="Calibri" w:hAnsi="Calibri"/>
                <w:b/>
                <w:i w:val="0"/>
                <w:color w:val="1E3048"/>
                <w:sz w:val="21"/>
              </w:rPr>
              <w:t>How to facilitate any tabletop</w:t>
            </w:r>
          </w:p>
          <w:p>
            <w:pPr>
              <w:spacing w:after="20"/>
            </w:pPr>
            <w:r>
              <w:rPr>
                <w:rFonts w:ascii="Calibri" w:hAnsi="Calibri"/>
                <w:b w:val="0"/>
                <w:i w:val="0"/>
                <w:color w:val="444444"/>
                <w:sz w:val="21"/>
              </w:rPr>
              <w:t>Group students in 3–4. Assign light roles: Reader, Recorder, Reporter, Timekeeper.</w:t>
            </w:r>
          </w:p>
          <w:p>
            <w:pPr>
              <w:spacing w:after="20"/>
            </w:pPr>
            <w:r>
              <w:rPr>
                <w:rFonts w:ascii="Calibri" w:hAnsi="Calibri"/>
                <w:b w:val="0"/>
                <w:i w:val="0"/>
                <w:color w:val="444444"/>
                <w:sz w:val="21"/>
              </w:rPr>
              <w:t>Read the scenario aloud once; give groups the response sheet from the appendix.</w:t>
            </w:r>
          </w:p>
          <w:p>
            <w:pPr>
              <w:spacing w:after="20"/>
            </w:pPr>
            <w:r>
              <w:rPr>
                <w:rFonts w:ascii="Calibri" w:hAnsi="Calibri"/>
                <w:b w:val="0"/>
                <w:i w:val="0"/>
                <w:color w:val="444444"/>
                <w:sz w:val="21"/>
              </w:rPr>
              <w:t>Circulate and prompt — don’t solve it for them. Keep sensitive content general.</w:t>
            </w:r>
          </w:p>
          <w:p>
            <w:pPr>
              <w:spacing w:after="20"/>
            </w:pPr>
            <w:r>
              <w:rPr>
                <w:rFonts w:ascii="Calibri" w:hAnsi="Calibri"/>
                <w:b w:val="0"/>
                <w:i w:val="0"/>
                <w:color w:val="444444"/>
                <w:sz w:val="21"/>
              </w:rPr>
              <w:t>Have 1–2 groups present one safe response; classmates identify what reduces harm, protects security, or connects the student to help.</w:t>
            </w:r>
          </w:p>
          <w:p>
            <w:pPr>
              <w:spacing w:after="20"/>
            </w:pPr>
            <w:r>
              <w:rPr>
                <w:rFonts w:ascii="Calibri" w:hAnsi="Calibri"/>
                <w:b w:val="0"/>
                <w:i w:val="0"/>
                <w:color w:val="444444"/>
                <w:sz w:val="21"/>
              </w:rPr>
              <w:t>Debrief with age-appropriate language, reinforce trusted-adult reporting, and collect the evidence item.</w:t>
            </w:r>
          </w:p>
        </w:tc>
      </w:tr>
    </w:tbl>
    <w:p>
      <w:pPr>
        <w:spacing w:after="40"/>
      </w:pPr>
    </w:p>
    <w:p>
      <w:pPr>
        <w:pStyle w:val="Heading2"/>
      </w:pPr>
      <w:r>
        <w:t>Tabletop 1 — The Scholarship Surprise</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9 focus</w:t>
            </w:r>
          </w:p>
        </w:tc>
        <w:tc>
          <w:tcPr>
            <w:tcW w:type="dxa" w:w="7200"/>
            <w:vAlign w:val="center"/>
          </w:tcPr>
          <w:p>
            <w:pPr>
              <w:spacing w:after="20" w:before="20"/>
            </w:pPr>
            <w:r>
              <w:rPr>
                <w:rFonts w:ascii="Calibri" w:hAnsi="Calibri"/>
                <w:b w:val="0"/>
                <w:i w:val="0"/>
                <w:color w:val="444444"/>
                <w:sz w:val="21"/>
              </w:rPr>
              <w:t>Digital footprint, permanence, future audience, reputation repair</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CS.DCS.37, CS.DCS.39, CS.DCS.19 (as applicable) · Grade 9 evidence-based discussion &amp; plan writing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student is applying for a scholarship and a spot on a team. While filling out the form, they realize old posts and tagged photos from years ago might still come up in a search.</w:t>
            </w:r>
          </w:p>
        </w:tc>
      </w:tr>
    </w:tbl>
    <w:p>
      <w:pPr>
        <w:spacing w:after="40"/>
      </w:pPr>
    </w:p>
    <w:p>
      <w:pPr>
        <w:pStyle w:val="Heading3"/>
      </w:pPr>
      <w:r>
        <w:t>Student task — Footprint Repair Plan (Appendix H)</w:t>
      </w:r>
    </w:p>
    <w:p>
      <w:pPr>
        <w:pStyle w:val="ListParagraph"/>
        <w:spacing w:after="40"/>
        <w:numPr>
          <w:ilvl w:val="0"/>
          <w:numId w:val="1"/>
        </w:numPr>
      </w:pPr>
      <w:r>
        <w:rPr>
          <w:rFonts w:ascii="Calibri" w:hAnsi="Calibri"/>
          <w:b w:val="0"/>
          <w:i w:val="0"/>
          <w:color w:val="444444"/>
          <w:sz w:val="22"/>
        </w:rPr>
        <w:t>Identify which posts, tags, or comments could affect the opportunity.</w:t>
      </w:r>
    </w:p>
    <w:p>
      <w:pPr>
        <w:pStyle w:val="ListParagraph"/>
        <w:spacing w:after="40"/>
        <w:numPr>
          <w:ilvl w:val="0"/>
          <w:numId w:val="1"/>
        </w:numPr>
      </w:pPr>
      <w:r>
        <w:rPr>
          <w:rFonts w:ascii="Calibri" w:hAnsi="Calibri"/>
          <w:b w:val="0"/>
          <w:i w:val="0"/>
          <w:color w:val="444444"/>
          <w:sz w:val="22"/>
        </w:rPr>
        <w:t>Decide what to clean up, lock down, report, or leave and explain.</w:t>
      </w:r>
    </w:p>
    <w:p>
      <w:pPr>
        <w:pStyle w:val="ListParagraph"/>
        <w:spacing w:after="40"/>
        <w:numPr>
          <w:ilvl w:val="0"/>
          <w:numId w:val="1"/>
        </w:numPr>
      </w:pPr>
      <w:r>
        <w:rPr>
          <w:rFonts w:ascii="Calibri" w:hAnsi="Calibri"/>
          <w:b w:val="0"/>
          <w:i w:val="0"/>
          <w:color w:val="444444"/>
          <w:sz w:val="22"/>
        </w:rPr>
        <w:t>Create a proactive plan to build a stronger footprint on purpose.</w:t>
      </w:r>
    </w:p>
    <w:p>
      <w:pPr>
        <w:pStyle w:val="ListParagraph"/>
        <w:spacing w:after="40"/>
        <w:numPr>
          <w:ilvl w:val="0"/>
          <w:numId w:val="1"/>
        </w:numPr>
      </w:pPr>
      <w:r>
        <w:rPr>
          <w:rFonts w:ascii="Calibri" w:hAnsi="Calibri"/>
          <w:b w:val="0"/>
          <w:i w:val="0"/>
          <w:color w:val="444444"/>
          <w:sz w:val="22"/>
        </w:rPr>
        <w:t>Identify who could help (trusted adult, counselor) and how.</w:t>
      </w:r>
    </w:p>
    <w:p>
      <w:pPr>
        <w:pStyle w:val="Heading3"/>
      </w:pPr>
      <w:r>
        <w:t>Peer modeling</w:t>
      </w:r>
    </w:p>
    <w:p>
      <w:pPr>
        <w:spacing w:after="80" w:before="0"/>
      </w:pPr>
      <w:r>
        <w:rPr>
          <w:rFonts w:ascii="Calibri" w:hAnsi="Calibri"/>
          <w:b w:val="0"/>
          <w:i w:val="0"/>
          <w:color w:val="444444"/>
          <w:sz w:val="22"/>
        </w:rPr>
        <w:t>Each group presents one safe response and explains why it reduces harm, protects security, or connects the student to help.</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“I can’t erase the past, but I can lock down my settings, remove or untag what I control, and start posting things that show who I am now. I’ll ask my counselor how to handle the rest.”</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Which fixes can a student make alone, and which need help?</w:t>
      </w:r>
    </w:p>
    <w:p>
      <w:pPr>
        <w:pStyle w:val="ListParagraph"/>
        <w:spacing w:after="40"/>
        <w:numPr>
          <w:ilvl w:val="0"/>
          <w:numId w:val="1"/>
        </w:numPr>
      </w:pPr>
      <w:r>
        <w:rPr>
          <w:rFonts w:ascii="Calibri" w:hAnsi="Calibri"/>
          <w:b w:val="0"/>
          <w:i w:val="0"/>
          <w:color w:val="444444"/>
          <w:sz w:val="22"/>
        </w:rPr>
        <w:t>How can a positive footprint actually open doors for opportunities?</w:t>
      </w:r>
    </w:p>
    <w:p>
      <w:pPr>
        <w:spacing w:after="80" w:before="0"/>
      </w:pPr>
      <w:r>
        <w:rPr>
          <w:rFonts w:ascii="Calibri" w:hAnsi="Calibri"/>
          <w:b w:val="0"/>
          <w:i/>
          <w:color w:val="444444"/>
          <w:sz w:val="20"/>
        </w:rPr>
        <w:t>Evidence of completion:  Response protocol, reporting pathway map, peer-support script, footprint or security plan, or exit ticket.</w:t>
      </w:r>
    </w:p>
    <w:p>
      <w:pPr>
        <w:pStyle w:val="Heading2"/>
      </w:pPr>
      <w:r>
        <w:t>Tabletop 2 — The Sophisticated Phishing Attack</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9 focus</w:t>
            </w:r>
          </w:p>
        </w:tc>
        <w:tc>
          <w:tcPr>
            <w:tcW w:type="dxa" w:w="7200"/>
            <w:vAlign w:val="center"/>
          </w:tcPr>
          <w:p>
            <w:pPr>
              <w:spacing w:after="20" w:before="20"/>
            </w:pPr>
            <w:r>
              <w:rPr>
                <w:rFonts w:ascii="Calibri" w:hAnsi="Calibri"/>
                <w:b w:val="0"/>
                <w:i w:val="0"/>
                <w:color w:val="444444"/>
                <w:sz w:val="21"/>
              </w:rPr>
              <w:t>Social engineering, account takeover, MFA fatigue, secure verification</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CS.DCS.25, CS.DCS.40, CS.DCS.19 (as applicable) · Grade 9 evidence-based discussion &amp; plan writing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student gets repeated “approve your login” notifications they didn’t start, then a message from “school IT” asking them to approve one and share the code to “fix a problem.”</w:t>
            </w:r>
          </w:p>
        </w:tc>
      </w:tr>
    </w:tbl>
    <w:p>
      <w:pPr>
        <w:spacing w:after="40"/>
      </w:pPr>
    </w:p>
    <w:p>
      <w:pPr>
        <w:pStyle w:val="Heading3"/>
      </w:pPr>
      <w:r>
        <w:t>Student task — Verification &amp; Lockdown Plan (Appendix H)</w:t>
      </w:r>
    </w:p>
    <w:p>
      <w:pPr>
        <w:pStyle w:val="ListParagraph"/>
        <w:spacing w:after="40"/>
        <w:numPr>
          <w:ilvl w:val="0"/>
          <w:numId w:val="1"/>
        </w:numPr>
      </w:pPr>
      <w:r>
        <w:rPr>
          <w:rFonts w:ascii="Calibri" w:hAnsi="Calibri"/>
          <w:b w:val="0"/>
          <w:i w:val="0"/>
          <w:color w:val="444444"/>
          <w:sz w:val="22"/>
        </w:rPr>
        <w:t>Identify the social-engineering tactics and red flags.</w:t>
      </w:r>
    </w:p>
    <w:p>
      <w:pPr>
        <w:pStyle w:val="ListParagraph"/>
        <w:spacing w:after="40"/>
        <w:numPr>
          <w:ilvl w:val="0"/>
          <w:numId w:val="1"/>
        </w:numPr>
      </w:pPr>
      <w:r>
        <w:rPr>
          <w:rFonts w:ascii="Calibri" w:hAnsi="Calibri"/>
          <w:b w:val="0"/>
          <w:i w:val="0"/>
          <w:color w:val="444444"/>
          <w:sz w:val="22"/>
        </w:rPr>
        <w:t>Decide what the student should NOT do (approve, share a code, click).</w:t>
      </w:r>
    </w:p>
    <w:p>
      <w:pPr>
        <w:pStyle w:val="ListParagraph"/>
        <w:spacing w:after="40"/>
        <w:numPr>
          <w:ilvl w:val="0"/>
          <w:numId w:val="1"/>
        </w:numPr>
      </w:pPr>
      <w:r>
        <w:rPr>
          <w:rFonts w:ascii="Calibri" w:hAnsi="Calibri"/>
          <w:b w:val="0"/>
          <w:i w:val="0"/>
          <w:color w:val="444444"/>
          <w:sz w:val="22"/>
        </w:rPr>
        <w:t>Create a verify-and-lockdown plan (change password, deny logins, MFA, official channel).</w:t>
      </w:r>
    </w:p>
    <w:p>
      <w:pPr>
        <w:pStyle w:val="ListParagraph"/>
        <w:spacing w:after="40"/>
        <w:numPr>
          <w:ilvl w:val="0"/>
          <w:numId w:val="1"/>
        </w:numPr>
      </w:pPr>
      <w:r>
        <w:rPr>
          <w:rFonts w:ascii="Calibri" w:hAnsi="Calibri"/>
          <w:b w:val="0"/>
          <w:i w:val="0"/>
          <w:color w:val="444444"/>
          <w:sz w:val="22"/>
        </w:rPr>
        <w:t>Identify school/family adult support options.</w:t>
      </w:r>
    </w:p>
    <w:p>
      <w:pPr>
        <w:pStyle w:val="Heading3"/>
      </w:pPr>
      <w:r>
        <w:t>Peer modeling</w:t>
      </w:r>
    </w:p>
    <w:p>
      <w:pPr>
        <w:spacing w:after="80" w:before="0"/>
      </w:pPr>
      <w:r>
        <w:rPr>
          <w:rFonts w:ascii="Calibri" w:hAnsi="Calibri"/>
          <w:b w:val="0"/>
          <w:i w:val="0"/>
          <w:color w:val="444444"/>
          <w:sz w:val="22"/>
        </w:rPr>
        <w:t>Each group presents one safe response and explains why it reduces harm, protects security, or connects the student to help.</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“I will not approve a login I didn’t start or share a code. Real IT never asks for that. I’ll deny it, change my password, and show a trusted adult so we can secure the account.”</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Why do MFA-fatigue attacks work, and how does ‘deny + change password’ stop them?</w:t>
      </w:r>
    </w:p>
    <w:p>
      <w:pPr>
        <w:pStyle w:val="ListParagraph"/>
        <w:spacing w:after="40"/>
        <w:numPr>
          <w:ilvl w:val="0"/>
          <w:numId w:val="1"/>
        </w:numPr>
      </w:pPr>
      <w:r>
        <w:rPr>
          <w:rFonts w:ascii="Calibri" w:hAnsi="Calibri"/>
          <w:b w:val="0"/>
          <w:i w:val="0"/>
          <w:color w:val="444444"/>
          <w:sz w:val="22"/>
        </w:rPr>
        <w:t>Why would real IT or a real service never ask for your code?</w:t>
      </w:r>
    </w:p>
    <w:p>
      <w:pPr>
        <w:spacing w:after="80" w:before="0"/>
      </w:pPr>
      <w:r>
        <w:rPr>
          <w:rFonts w:ascii="Calibri" w:hAnsi="Calibri"/>
          <w:b w:val="0"/>
          <w:i/>
          <w:color w:val="444444"/>
          <w:sz w:val="20"/>
        </w:rPr>
        <w:t>Evidence of completion:  Response protocol, reporting pathway map, peer-support script, footprint or security plan, or exit ticket.</w:t>
      </w:r>
    </w:p>
    <w:p>
      <w:pPr>
        <w:pStyle w:val="Heading2"/>
      </w:pPr>
      <w:r>
        <w:t>Tabletop 3 — The Deepfake Impersonation</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9 focus</w:t>
            </w:r>
          </w:p>
        </w:tc>
        <w:tc>
          <w:tcPr>
            <w:tcW w:type="dxa" w:w="7200"/>
            <w:vAlign w:val="center"/>
          </w:tcPr>
          <w:p>
            <w:pPr>
              <w:spacing w:after="20" w:before="20"/>
            </w:pPr>
            <w:r>
              <w:rPr>
                <w:rFonts w:ascii="Calibri" w:hAnsi="Calibri"/>
                <w:b w:val="0"/>
                <w:i w:val="0"/>
                <w:color w:val="444444"/>
                <w:sz w:val="21"/>
              </w:rPr>
              <w:t>Synthetic media, authenticity, impersonation, reporting &amp; support</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CS.DCS.40, CS.DCS.37, CS.DCS.39 (as applicable) · Grade 9 evidence-based discussion &amp; plan writing</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An AI-generated image and a fake account impersonating a student start spreading. The student is upset and classmates are unsure whether it’s real.</w:t>
            </w:r>
          </w:p>
        </w:tc>
      </w:tr>
    </w:tbl>
    <w:p>
      <w:pPr>
        <w:spacing w:after="40"/>
      </w:pPr>
    </w:p>
    <w:p>
      <w:pPr>
        <w:pStyle w:val="Heading3"/>
      </w:pPr>
      <w:r>
        <w:t>Student task — Authenticity &amp; Response Plan (Appendix H)</w:t>
      </w:r>
    </w:p>
    <w:p>
      <w:pPr>
        <w:pStyle w:val="ListParagraph"/>
        <w:spacing w:after="40"/>
        <w:numPr>
          <w:ilvl w:val="0"/>
          <w:numId w:val="1"/>
        </w:numPr>
      </w:pPr>
      <w:r>
        <w:rPr>
          <w:rFonts w:ascii="Calibri" w:hAnsi="Calibri"/>
          <w:b w:val="0"/>
          <w:i w:val="0"/>
          <w:color w:val="444444"/>
          <w:sz w:val="22"/>
        </w:rPr>
        <w:t>Identify clues that the content or account may be fake.</w:t>
      </w:r>
    </w:p>
    <w:p>
      <w:pPr>
        <w:pStyle w:val="ListParagraph"/>
        <w:spacing w:after="40"/>
        <w:numPr>
          <w:ilvl w:val="0"/>
          <w:numId w:val="1"/>
        </w:numPr>
      </w:pPr>
      <w:r>
        <w:rPr>
          <w:rFonts w:ascii="Calibri" w:hAnsi="Calibri"/>
          <w:b w:val="0"/>
          <w:i w:val="0"/>
          <w:color w:val="444444"/>
          <w:sz w:val="22"/>
        </w:rPr>
        <w:t>Explain why resharing — even to ‘warn people’ — makes it worse.</w:t>
      </w:r>
    </w:p>
    <w:p>
      <w:pPr>
        <w:pStyle w:val="ListParagraph"/>
        <w:spacing w:after="40"/>
        <w:numPr>
          <w:ilvl w:val="0"/>
          <w:numId w:val="1"/>
        </w:numPr>
      </w:pPr>
      <w:r>
        <w:rPr>
          <w:rFonts w:ascii="Calibri" w:hAnsi="Calibri"/>
          <w:b w:val="0"/>
          <w:i w:val="0"/>
          <w:color w:val="444444"/>
          <w:sz w:val="22"/>
        </w:rPr>
        <w:t>Create a response plan: preserve evidence, report to the platform, tell an adult, support the student.</w:t>
      </w:r>
    </w:p>
    <w:p>
      <w:pPr>
        <w:pStyle w:val="ListParagraph"/>
        <w:spacing w:after="40"/>
        <w:numPr>
          <w:ilvl w:val="0"/>
          <w:numId w:val="1"/>
        </w:numPr>
      </w:pPr>
      <w:r>
        <w:rPr>
          <w:rFonts w:ascii="Calibri" w:hAnsi="Calibri"/>
          <w:b w:val="0"/>
          <w:i w:val="0"/>
          <w:color w:val="444444"/>
          <w:sz w:val="22"/>
        </w:rPr>
        <w:t>Write a supportive message to the targeted student.</w:t>
      </w:r>
    </w:p>
    <w:p>
      <w:pPr>
        <w:pStyle w:val="Heading3"/>
      </w:pPr>
      <w:r>
        <w:t>Peer modeling</w:t>
      </w:r>
    </w:p>
    <w:p>
      <w:pPr>
        <w:spacing w:after="80" w:before="0"/>
      </w:pPr>
      <w:r>
        <w:rPr>
          <w:rFonts w:ascii="Calibri" w:hAnsi="Calibri"/>
          <w:b w:val="0"/>
          <w:i w:val="0"/>
          <w:color w:val="444444"/>
          <w:sz w:val="22"/>
        </w:rPr>
        <w:t>Each group presents one safe response and explains why it reduces harm, protects security, or connects the student to help.</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“Don’t reshare it — that spreads it. Screenshot it as evidence, report the fake account, and let’s tell a trusted adult so they can help get it removed. I’ve got your back.”</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Why does resharing a fake — even to debunk it — still cause harm?</w:t>
      </w:r>
    </w:p>
    <w:p>
      <w:pPr>
        <w:pStyle w:val="ListParagraph"/>
        <w:spacing w:after="40"/>
        <w:numPr>
          <w:ilvl w:val="0"/>
          <w:numId w:val="1"/>
        </w:numPr>
      </w:pPr>
      <w:r>
        <w:rPr>
          <w:rFonts w:ascii="Calibri" w:hAnsi="Calibri"/>
          <w:b w:val="0"/>
          <w:i w:val="0"/>
          <w:color w:val="444444"/>
          <w:sz w:val="22"/>
        </w:rPr>
        <w:t>What makes evidence useful when reporting to a platform or adult?</w:t>
      </w:r>
    </w:p>
    <w:p>
      <w:pPr>
        <w:spacing w:after="80" w:before="0"/>
      </w:pPr>
      <w:r>
        <w:rPr>
          <w:rFonts w:ascii="Calibri" w:hAnsi="Calibri"/>
          <w:b w:val="0"/>
          <w:i/>
          <w:color w:val="444444"/>
          <w:sz w:val="20"/>
        </w:rPr>
        <w:t>Evidence of completion:  Response protocol, reporting pathway map, peer-support script, footprint or security plan, or exit ticket.</w:t>
      </w:r>
    </w:p>
    <w:p>
      <w:pPr>
        <w:pStyle w:val="Heading2"/>
      </w:pPr>
      <w:r>
        <w:t>Tabletop 4 — The Serious Coercion Threat</w:t>
      </w:r>
    </w:p>
    <w:tbl>
      <w:tblPr>
        <w:tblStyle w:val="TableGrid"/>
        <w:tblW w:type="auto" w:w="0"/>
        <w:tblLook w:firstColumn="1" w:firstRow="1" w:lastColumn="0" w:lastRow="0" w:noHBand="0" w:noVBand="1" w:val="04A0"/>
      </w:tblPr>
      <w:tblGrid>
        <w:gridCol w:w="4680"/>
        <w:gridCol w:w="4680"/>
      </w:tblGrid>
      <w:tr>
        <w:tc>
          <w:tcPr>
            <w:tcW w:type="dxa" w:w="2016"/>
            <w:shd w:val="clear" w:color="auto" w:fill="EBF1F3"/>
            <w:vAlign w:val="center"/>
          </w:tcPr>
          <w:p>
            <w:pPr>
              <w:spacing w:after="20" w:before="20"/>
            </w:pPr>
            <w:r>
              <w:rPr>
                <w:rFonts w:ascii="Calibri" w:hAnsi="Calibri"/>
                <w:b/>
                <w:i w:val="0"/>
                <w:color w:val="1E3048"/>
                <w:sz w:val="21"/>
              </w:rPr>
              <w:t>Time</w:t>
            </w:r>
          </w:p>
        </w:tc>
        <w:tc>
          <w:tcPr>
            <w:tcW w:type="dxa" w:w="7200"/>
            <w:vAlign w:val="center"/>
          </w:tcPr>
          <w:p>
            <w:pPr>
              <w:spacing w:after="20" w:before="20"/>
            </w:pPr>
            <w:r>
              <w:rPr>
                <w:rFonts w:ascii="Calibri" w:hAnsi="Calibri"/>
                <w:b w:val="0"/>
                <w:i w:val="0"/>
                <w:color w:val="444444"/>
                <w:sz w:val="21"/>
              </w:rPr>
              <w:t>15–25 minutes</w:t>
            </w:r>
          </w:p>
        </w:tc>
      </w:tr>
      <w:tr>
        <w:tc>
          <w:tcPr>
            <w:tcW w:type="dxa" w:w="2016"/>
            <w:shd w:val="clear" w:color="auto" w:fill="EBF1F3"/>
            <w:vAlign w:val="center"/>
          </w:tcPr>
          <w:p>
            <w:pPr>
              <w:spacing w:after="20" w:before="20"/>
            </w:pPr>
            <w:r>
              <w:rPr>
                <w:rFonts w:ascii="Calibri" w:hAnsi="Calibri"/>
                <w:b/>
                <w:i w:val="0"/>
                <w:color w:val="1E3048"/>
                <w:sz w:val="21"/>
              </w:rPr>
              <w:t>Grade 9 focus</w:t>
            </w:r>
          </w:p>
        </w:tc>
        <w:tc>
          <w:tcPr>
            <w:tcW w:type="dxa" w:w="7200"/>
            <w:vAlign w:val="center"/>
          </w:tcPr>
          <w:p>
            <w:pPr>
              <w:spacing w:after="20" w:before="20"/>
            </w:pPr>
            <w:r>
              <w:rPr>
                <w:rFonts w:ascii="Calibri" w:hAnsi="Calibri"/>
                <w:b w:val="0"/>
                <w:i w:val="0"/>
                <w:color w:val="444444"/>
                <w:sz w:val="21"/>
              </w:rPr>
              <w:t>Coercion / sextortion, preserving evidence, layered reporting, support resources</w:t>
            </w:r>
          </w:p>
        </w:tc>
      </w:tr>
      <w:tr>
        <w:tc>
          <w:tcPr>
            <w:tcW w:type="dxa" w:w="2016"/>
            <w:shd w:val="clear" w:color="auto" w:fill="EBF1F3"/>
            <w:vAlign w:val="center"/>
          </w:tcPr>
          <w:p>
            <w:pPr>
              <w:spacing w:after="20" w:before="20"/>
            </w:pPr>
            <w:r>
              <w:rPr>
                <w:rFonts w:ascii="Calibri" w:hAnsi="Calibri"/>
                <w:b/>
                <w:i w:val="0"/>
                <w:color w:val="1E3048"/>
                <w:sz w:val="21"/>
              </w:rPr>
              <w:t>Standards</w:t>
            </w:r>
          </w:p>
        </w:tc>
        <w:tc>
          <w:tcPr>
            <w:tcW w:type="dxa" w:w="7200"/>
            <w:vAlign w:val="center"/>
          </w:tcPr>
          <w:p>
            <w:pPr>
              <w:spacing w:after="20" w:before="20"/>
            </w:pPr>
            <w:r>
              <w:rPr>
                <w:rFonts w:ascii="Calibri" w:hAnsi="Calibri"/>
                <w:b w:val="0"/>
                <w:i w:val="0"/>
                <w:color w:val="444444"/>
                <w:sz w:val="21"/>
              </w:rPr>
              <w:t>CS.DCS.37, CS.DCS.39, CS.DCS.19 (as applicable) · Grade 9 evidence-based discussion &amp; plan writing</w:t>
            </w:r>
          </w:p>
        </w:tc>
      </w:tr>
    </w:tbl>
    <w:p>
      <w:pPr>
        <w:spacing w:after="40"/>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r>
              <w:rPr>
                <w:rFonts w:ascii="Calibri" w:hAnsi="Calibri"/>
                <w:b/>
                <w:i w:val="0"/>
                <w:color w:val="1E3048"/>
                <w:sz w:val="21"/>
              </w:rPr>
              <w:t>SAFETY NOTE</w:t>
            </w:r>
          </w:p>
          <w:p>
            <w:pPr>
              <w:spacing w:after="20"/>
            </w:pPr>
            <w:r>
              <w:rPr>
                <w:rFonts w:ascii="Calibri" w:hAnsi="Calibri"/>
                <w:b w:val="0"/>
                <w:i w:val="0"/>
                <w:color w:val="444444"/>
                <w:sz w:val="21"/>
              </w:rPr>
              <w:t>This is the most sensitive tabletop. Keep language general — “private content,” “coercion,” “pressure,” “threats.” Do not ask students to share personal experiences. Have your reporting pathway, counselor, and building guidance on CyberTipline and Take It Down ready before you begin. If a student discloses, follow your school’s procedure immediately.</w:t>
            </w:r>
          </w:p>
        </w:tc>
      </w:tr>
    </w:tbl>
    <w:p>
      <w:pPr>
        <w:spacing w:after="40"/>
      </w:pP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i w:val="0"/>
                <w:color w:val="1E3048"/>
                <w:sz w:val="21"/>
              </w:rPr>
              <w:t xml:space="preserve">Scenario  </w:t>
            </w:r>
          </w:p>
          <w:p>
            <w:pPr>
              <w:spacing w:after="20"/>
            </w:pPr>
            <w:r>
              <w:rPr>
                <w:rFonts w:ascii="Calibri" w:hAnsi="Calibri"/>
                <w:b w:val="0"/>
                <w:i w:val="0"/>
                <w:color w:val="444444"/>
                <w:sz w:val="21"/>
              </w:rPr>
              <w:t>A student says someone online is threatening to share or expose something private unless they send money or more content. The student is scared and thinking about paying or handling it alone.</w:t>
            </w:r>
          </w:p>
        </w:tc>
      </w:tr>
    </w:tbl>
    <w:p>
      <w:pPr>
        <w:spacing w:after="40"/>
      </w:pPr>
    </w:p>
    <w:p>
      <w:pPr>
        <w:pStyle w:val="Heading3"/>
      </w:pPr>
      <w:r>
        <w:t>Student task — Support Script &amp; Layered Pathway (Appendix H)</w:t>
      </w:r>
    </w:p>
    <w:p>
      <w:pPr>
        <w:pStyle w:val="ListParagraph"/>
        <w:spacing w:after="40"/>
        <w:numPr>
          <w:ilvl w:val="0"/>
          <w:numId w:val="1"/>
        </w:numPr>
      </w:pPr>
      <w:r>
        <w:rPr>
          <w:rFonts w:ascii="Calibri" w:hAnsi="Calibri"/>
          <w:b w:val="0"/>
          <w:i w:val="0"/>
          <w:color w:val="444444"/>
          <w:sz w:val="22"/>
        </w:rPr>
        <w:t>Identify the warning signs of coercion and why paying or complying makes it worse.</w:t>
      </w:r>
    </w:p>
    <w:p>
      <w:pPr>
        <w:pStyle w:val="ListParagraph"/>
        <w:spacing w:after="40"/>
        <w:numPr>
          <w:ilvl w:val="0"/>
          <w:numId w:val="1"/>
        </w:numPr>
      </w:pPr>
      <w:r>
        <w:rPr>
          <w:rFonts w:ascii="Calibri" w:hAnsi="Calibri"/>
          <w:b w:val="0"/>
          <w:i w:val="0"/>
          <w:color w:val="444444"/>
          <w:sz w:val="22"/>
        </w:rPr>
        <w:t>Explain why secrecy and deleting evidence increase the risk.</w:t>
      </w:r>
    </w:p>
    <w:p>
      <w:pPr>
        <w:pStyle w:val="ListParagraph"/>
        <w:spacing w:after="40"/>
        <w:numPr>
          <w:ilvl w:val="0"/>
          <w:numId w:val="1"/>
        </w:numPr>
      </w:pPr>
      <w:r>
        <w:rPr>
          <w:rFonts w:ascii="Calibri" w:hAnsi="Calibri"/>
          <w:b w:val="0"/>
          <w:i w:val="0"/>
          <w:color w:val="444444"/>
          <w:sz w:val="22"/>
        </w:rPr>
        <w:t>Create a supportive peer script and a layered reporting pathway.</w:t>
      </w:r>
    </w:p>
    <w:p>
      <w:pPr>
        <w:pStyle w:val="ListParagraph"/>
        <w:spacing w:after="40"/>
        <w:numPr>
          <w:ilvl w:val="0"/>
          <w:numId w:val="1"/>
        </w:numPr>
      </w:pPr>
      <w:r>
        <w:rPr>
          <w:rFonts w:ascii="Calibri" w:hAnsi="Calibri"/>
          <w:b w:val="0"/>
          <w:i w:val="0"/>
          <w:color w:val="444444"/>
          <w:sz w:val="22"/>
        </w:rPr>
        <w:t>Identify national resources an adult may use (CyberTipline, Take It Down).</w:t>
      </w:r>
    </w:p>
    <w:p>
      <w:pPr>
        <w:pStyle w:val="Heading3"/>
      </w:pPr>
      <w:r>
        <w:t>Peer modeling</w:t>
      </w:r>
    </w:p>
    <w:p>
      <w:pPr>
        <w:spacing w:after="80" w:before="0"/>
      </w:pPr>
      <w:r>
        <w:rPr>
          <w:rFonts w:ascii="Calibri" w:hAnsi="Calibri"/>
          <w:b w:val="0"/>
          <w:i w:val="0"/>
          <w:color w:val="444444"/>
          <w:sz w:val="22"/>
        </w:rPr>
        <w:t>Each group presents one safe response and explains why it reduces harm, protects security, or connects the student to help.</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1EFEA"/>
          </w:tcPr>
          <w:p>
            <w:r>
              <w:rPr>
                <w:rFonts w:ascii="Calibri" w:hAnsi="Calibri"/>
                <w:b w:val="0"/>
                <w:i/>
                <w:color w:val="222B33"/>
                <w:sz w:val="21"/>
              </w:rPr>
              <w:t>“You’re not alone and you’re not in trouble. Don’t pay and don’t send anything. Let’s save the messages as evidence and go to a trusted adult right now so we can report it and get help.”</w:t>
            </w:r>
          </w:p>
        </w:tc>
      </w:tr>
    </w:tbl>
    <w:p>
      <w:pPr>
        <w:spacing w:after="40"/>
      </w:pPr>
    </w:p>
    <w:p>
      <w:pPr>
        <w:spacing w:after="20" w:before="0"/>
      </w:pPr>
      <w:r>
        <w:rPr>
          <w:rFonts w:ascii="Calibri" w:hAnsi="Calibri"/>
          <w:b/>
          <w:i w:val="0"/>
          <w:color w:val="1E3048"/>
          <w:sz w:val="21"/>
        </w:rPr>
        <w:t>MODEL</w:t>
      </w:r>
    </w:p>
    <w:p>
      <w:pPr>
        <w:pStyle w:val="Heading3"/>
      </w:pPr>
      <w:r>
        <w:t>Debrief</w:t>
      </w:r>
    </w:p>
    <w:p>
      <w:pPr>
        <w:pStyle w:val="ListParagraph"/>
        <w:spacing w:after="40"/>
        <w:numPr>
          <w:ilvl w:val="0"/>
          <w:numId w:val="1"/>
        </w:numPr>
      </w:pPr>
      <w:r>
        <w:rPr>
          <w:rFonts w:ascii="Calibri" w:hAnsi="Calibri"/>
          <w:b w:val="0"/>
          <w:i w:val="0"/>
          <w:color w:val="444444"/>
          <w:sz w:val="22"/>
        </w:rPr>
        <w:t>Why does a threat lose power once evidence is preserved and a trusted adult is involved?</w:t>
      </w:r>
    </w:p>
    <w:p>
      <w:pPr>
        <w:pStyle w:val="ListParagraph"/>
        <w:spacing w:after="40"/>
        <w:numPr>
          <w:ilvl w:val="0"/>
          <w:numId w:val="1"/>
        </w:numPr>
      </w:pPr>
      <w:r>
        <w:rPr>
          <w:rFonts w:ascii="Calibri" w:hAnsi="Calibri"/>
          <w:b w:val="0"/>
          <w:i w:val="0"/>
          <w:color w:val="444444"/>
          <w:sz w:val="22"/>
        </w:rPr>
        <w:t>Why is ‘don’t pay, don’t comply, preserve, report’ the safest path?</w:t>
      </w:r>
    </w:p>
    <w:p>
      <w:pPr>
        <w:spacing w:after="80" w:before="0"/>
      </w:pPr>
      <w:r>
        <w:rPr>
          <w:rFonts w:ascii="Calibri" w:hAnsi="Calibri"/>
          <w:b w:val="0"/>
          <w:i/>
          <w:color w:val="444444"/>
          <w:sz w:val="20"/>
        </w:rPr>
        <w:t>Evidence of completion:  Response protocol, reporting pathway map, peer-support script, footprint or security plan, or exit ticket.</w:t>
      </w:r>
    </w:p>
    <w:p>
      <w:pPr>
        <w:pStyle w:val="Heading1"/>
      </w:pPr>
      <w:r>
        <w:t>Assessment Toolkit</w:t>
      </w:r>
    </w:p>
    <w:p>
      <w:pPr>
        <w:spacing w:after="80" w:before="0"/>
      </w:pPr>
      <w:r>
        <w:rPr>
          <w:rFonts w:ascii="Calibri" w:hAnsi="Calibri"/>
          <w:b w:val="0"/>
          <w:i w:val="0"/>
          <w:color w:val="444444"/>
          <w:sz w:val="22"/>
        </w:rPr>
        <w:t>Use any combination below. All are low-stakes and formative — the goal is evidence that students can manage a footprint, recognize threats, protect their security, and follow a layered reporting pathway.</w:t>
      </w:r>
    </w:p>
    <w:p>
      <w:pPr>
        <w:pStyle w:val="Heading2"/>
      </w:pPr>
      <w:r>
        <w:t>Option 1 — Unit Exit Ticket</w:t>
      </w:r>
    </w:p>
    <w:p>
      <w:pPr>
        <w:spacing w:after="80" w:before="0"/>
      </w:pPr>
      <w:r>
        <w:rPr>
          <w:rFonts w:ascii="Calibri" w:hAnsi="Calibri"/>
          <w:b w:val="0"/>
          <w:i w:val="0"/>
          <w:color w:val="444444"/>
          <w:sz w:val="22"/>
        </w:rPr>
        <w:t>Students answer:</w:t>
      </w:r>
    </w:p>
    <w:p>
      <w:pPr>
        <w:pStyle w:val="ListParagraph"/>
        <w:spacing w:after="40"/>
        <w:numPr>
          <w:ilvl w:val="0"/>
          <w:numId w:val="1"/>
        </w:numPr>
      </w:pPr>
      <w:r>
        <w:rPr>
          <w:rFonts w:ascii="Calibri" w:hAnsi="Calibri"/>
          <w:b w:val="0"/>
          <w:i w:val="0"/>
          <w:color w:val="444444"/>
          <w:sz w:val="22"/>
        </w:rPr>
        <w:t>One thing I want my digital footprint to show a future audience is…</w:t>
      </w:r>
    </w:p>
    <w:p>
      <w:pPr>
        <w:pStyle w:val="ListParagraph"/>
        <w:spacing w:after="40"/>
        <w:numPr>
          <w:ilvl w:val="0"/>
          <w:numId w:val="1"/>
        </w:numPr>
      </w:pPr>
      <w:r>
        <w:rPr>
          <w:rFonts w:ascii="Calibri" w:hAnsi="Calibri"/>
          <w:b w:val="0"/>
          <w:i w:val="0"/>
          <w:color w:val="444444"/>
          <w:sz w:val="22"/>
        </w:rPr>
        <w:t>One scam or manipulation tactic I can now recognize is…</w:t>
      </w:r>
    </w:p>
    <w:p>
      <w:pPr>
        <w:pStyle w:val="ListParagraph"/>
        <w:spacing w:after="40"/>
        <w:numPr>
          <w:ilvl w:val="0"/>
          <w:numId w:val="1"/>
        </w:numPr>
      </w:pPr>
      <w:r>
        <w:rPr>
          <w:rFonts w:ascii="Calibri" w:hAnsi="Calibri"/>
          <w:b w:val="0"/>
          <w:i w:val="0"/>
          <w:color w:val="444444"/>
          <w:sz w:val="22"/>
        </w:rPr>
        <w:t>One personal-security habit I use is…</w:t>
      </w:r>
    </w:p>
    <w:p>
      <w:pPr>
        <w:pStyle w:val="ListParagraph"/>
        <w:spacing w:after="40"/>
        <w:numPr>
          <w:ilvl w:val="0"/>
          <w:numId w:val="1"/>
        </w:numPr>
      </w:pPr>
      <w:r>
        <w:rPr>
          <w:rFonts w:ascii="Calibri" w:hAnsi="Calibri"/>
          <w:b w:val="0"/>
          <w:i w:val="0"/>
          <w:color w:val="444444"/>
          <w:sz w:val="22"/>
        </w:rPr>
        <w:t>One online situation that should be reported — and one trusted adult or resource I’d use — is…</w:t>
      </w:r>
    </w:p>
    <w:p>
      <w:pPr>
        <w:pStyle w:val="Heading2"/>
      </w:pPr>
      <w:r>
        <w:t>Option 2 — Group Scenario Rubric</w:t>
      </w:r>
    </w:p>
    <w:p>
      <w:pPr>
        <w:spacing w:after="80" w:before="0"/>
      </w:pPr>
      <w:r>
        <w:rPr>
          <w:rFonts w:ascii="Calibri" w:hAnsi="Calibri"/>
          <w:b w:val="0"/>
          <w:i w:val="0"/>
          <w:color w:val="444444"/>
          <w:sz w:val="22"/>
        </w:rPr>
        <w:t>Score group performance on any scenario or tabletop. A “Developing” column tracks growth, not just pass/fail.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E3048"/>
            <w:vAlign w:val="center"/>
          </w:tcPr>
          <w:p>
            <w:pPr>
              <w:spacing w:after="20" w:before="20"/>
            </w:pPr>
            <w:r>
              <w:rPr>
                <w:rFonts w:ascii="Calibri" w:hAnsi="Calibri"/>
                <w:b/>
                <w:i w:val="0"/>
                <w:color w:val="FFFFFF"/>
                <w:sz w:val="21"/>
              </w:rPr>
              <w:t>Criteria</w:t>
            </w:r>
          </w:p>
        </w:tc>
        <w:tc>
          <w:tcPr>
            <w:tcW w:type="dxa" w:w="2448"/>
            <w:shd w:val="clear" w:color="auto" w:fill="1E3048"/>
            <w:vAlign w:val="center"/>
          </w:tcPr>
          <w:p>
            <w:pPr>
              <w:spacing w:after="20" w:before="20"/>
            </w:pPr>
            <w:r>
              <w:rPr>
                <w:rFonts w:ascii="Calibri" w:hAnsi="Calibri"/>
                <w:b/>
                <w:i w:val="0"/>
                <w:color w:val="FFFFFF"/>
                <w:sz w:val="21"/>
              </w:rPr>
              <w:t>Meets expectation</w:t>
            </w:r>
          </w:p>
        </w:tc>
        <w:tc>
          <w:tcPr>
            <w:tcW w:type="dxa" w:w="2304"/>
            <w:shd w:val="clear" w:color="auto" w:fill="1E3048"/>
            <w:vAlign w:val="center"/>
          </w:tcPr>
          <w:p>
            <w:pPr>
              <w:spacing w:after="20" w:before="20"/>
            </w:pPr>
            <w:r>
              <w:rPr>
                <w:rFonts w:ascii="Calibri" w:hAnsi="Calibri"/>
                <w:b/>
                <w:i w:val="0"/>
                <w:color w:val="FFFFFF"/>
                <w:sz w:val="21"/>
              </w:rPr>
              <w:t>Developing</w:t>
            </w:r>
          </w:p>
        </w:tc>
        <w:tc>
          <w:tcPr>
            <w:tcW w:type="dxa" w:w="2160"/>
            <w:shd w:val="clear" w:color="auto" w:fill="1E3048"/>
            <w:vAlign w:val="center"/>
          </w:tcPr>
          <w:p>
            <w:pPr>
              <w:spacing w:after="20" w:before="20"/>
            </w:pPr>
            <w:r>
              <w:rPr>
                <w:rFonts w:ascii="Calibri" w:hAnsi="Calibri"/>
                <w:b/>
                <w:i w:val="0"/>
                <w:color w:val="FFFFFF"/>
                <w:sz w:val="21"/>
              </w:rPr>
              <w:t>Needs support</w:t>
            </w:r>
          </w:p>
        </w:tc>
      </w:tr>
      <w:tr>
        <w:tc>
          <w:tcPr>
            <w:tcW w:type="dxa" w:w="2304"/>
            <w:vAlign w:val="center"/>
          </w:tcPr>
          <w:p>
            <w:pPr>
              <w:spacing w:after="20" w:before="20"/>
            </w:pPr>
            <w:r>
              <w:rPr>
                <w:rFonts w:ascii="Calibri" w:hAnsi="Calibri"/>
                <w:b w:val="0"/>
                <w:i w:val="0"/>
                <w:color w:val="444444"/>
                <w:sz w:val="20"/>
              </w:rPr>
              <w:t>Identifies risk &amp; trade-offs</w:t>
            </w:r>
          </w:p>
        </w:tc>
        <w:tc>
          <w:tcPr>
            <w:tcW w:type="dxa" w:w="2448"/>
            <w:vAlign w:val="center"/>
          </w:tcPr>
          <w:p>
            <w:pPr>
              <w:spacing w:after="20" w:before="20"/>
            </w:pPr>
            <w:r>
              <w:rPr>
                <w:rFonts w:ascii="Calibri" w:hAnsi="Calibri"/>
                <w:b w:val="0"/>
                <w:i w:val="0"/>
                <w:color w:val="444444"/>
                <w:sz w:val="20"/>
              </w:rPr>
              <w:t>Clearly names risks, tactics, and trade-offs</w:t>
            </w:r>
          </w:p>
        </w:tc>
        <w:tc>
          <w:tcPr>
            <w:tcW w:type="dxa" w:w="2304"/>
            <w:vAlign w:val="center"/>
          </w:tcPr>
          <w:p>
            <w:pPr>
              <w:spacing w:after="20" w:before="20"/>
            </w:pPr>
            <w:r>
              <w:rPr>
                <w:rFonts w:ascii="Calibri" w:hAnsi="Calibri"/>
                <w:b w:val="0"/>
                <w:i w:val="0"/>
                <w:color w:val="444444"/>
                <w:sz w:val="20"/>
              </w:rPr>
              <w:t>Names some with prompting</w:t>
            </w:r>
          </w:p>
        </w:tc>
        <w:tc>
          <w:tcPr>
            <w:tcW w:type="dxa" w:w="2160"/>
            <w:vAlign w:val="center"/>
          </w:tcPr>
          <w:p>
            <w:pPr>
              <w:spacing w:after="20" w:before="20"/>
            </w:pPr>
            <w:r>
              <w:rPr>
                <w:rFonts w:ascii="Calibri" w:hAnsi="Calibri"/>
                <w:b w:val="0"/>
                <w:i w:val="0"/>
                <w:color w:val="444444"/>
                <w:sz w:val="20"/>
              </w:rPr>
              <w:t>Misses or misunderstands the risk</w:t>
            </w:r>
          </w:p>
        </w:tc>
      </w:tr>
      <w:tr>
        <w:tc>
          <w:tcPr>
            <w:tcW w:type="dxa" w:w="2304"/>
            <w:vAlign w:val="center"/>
          </w:tcPr>
          <w:p>
            <w:pPr>
              <w:spacing w:after="20" w:before="20"/>
            </w:pPr>
            <w:r>
              <w:rPr>
                <w:rFonts w:ascii="Calibri" w:hAnsi="Calibri"/>
                <w:b w:val="0"/>
                <w:i w:val="0"/>
                <w:color w:val="444444"/>
                <w:sz w:val="20"/>
              </w:rPr>
              <w:t>Chooses a safe / smart action</w:t>
            </w:r>
          </w:p>
        </w:tc>
        <w:tc>
          <w:tcPr>
            <w:tcW w:type="dxa" w:w="2448"/>
            <w:vAlign w:val="center"/>
          </w:tcPr>
          <w:p>
            <w:pPr>
              <w:spacing w:after="20" w:before="20"/>
            </w:pPr>
            <w:r>
              <w:rPr>
                <w:rFonts w:ascii="Calibri" w:hAnsi="Calibri"/>
                <w:b w:val="0"/>
                <w:i w:val="0"/>
                <w:color w:val="444444"/>
                <w:sz w:val="20"/>
              </w:rPr>
              <w:t>Chooses a safe, non-escalating response</w:t>
            </w:r>
          </w:p>
        </w:tc>
        <w:tc>
          <w:tcPr>
            <w:tcW w:type="dxa" w:w="2304"/>
            <w:vAlign w:val="center"/>
          </w:tcPr>
          <w:p>
            <w:pPr>
              <w:spacing w:after="20" w:before="20"/>
            </w:pPr>
            <w:r>
              <w:rPr>
                <w:rFonts w:ascii="Calibri" w:hAnsi="Calibri"/>
                <w:b w:val="0"/>
                <w:i w:val="0"/>
                <w:color w:val="444444"/>
                <w:sz w:val="20"/>
              </w:rPr>
              <w:t>Chooses a mostly safe response</w:t>
            </w:r>
          </w:p>
        </w:tc>
        <w:tc>
          <w:tcPr>
            <w:tcW w:type="dxa" w:w="2160"/>
            <w:vAlign w:val="center"/>
          </w:tcPr>
          <w:p>
            <w:pPr>
              <w:spacing w:after="20" w:before="20"/>
            </w:pPr>
            <w:r>
              <w:rPr>
                <w:rFonts w:ascii="Calibri" w:hAnsi="Calibri"/>
                <w:b w:val="0"/>
                <w:i w:val="0"/>
                <w:color w:val="444444"/>
                <w:sz w:val="20"/>
              </w:rPr>
              <w:t>Chooses a response that may escalate harm</w:t>
            </w:r>
          </w:p>
        </w:tc>
      </w:tr>
      <w:tr>
        <w:tc>
          <w:tcPr>
            <w:tcW w:type="dxa" w:w="2304"/>
            <w:vAlign w:val="center"/>
          </w:tcPr>
          <w:p>
            <w:pPr>
              <w:spacing w:after="20" w:before="20"/>
            </w:pPr>
            <w:r>
              <w:rPr>
                <w:rFonts w:ascii="Calibri" w:hAnsi="Calibri"/>
                <w:b w:val="0"/>
                <w:i w:val="0"/>
                <w:color w:val="444444"/>
                <w:sz w:val="20"/>
              </w:rPr>
              <w:t>Builds protocol / plan / pathway</w:t>
            </w:r>
          </w:p>
        </w:tc>
        <w:tc>
          <w:tcPr>
            <w:tcW w:type="dxa" w:w="2448"/>
            <w:vAlign w:val="center"/>
          </w:tcPr>
          <w:p>
            <w:pPr>
              <w:spacing w:after="20" w:before="20"/>
            </w:pPr>
            <w:r>
              <w:rPr>
                <w:rFonts w:ascii="Calibri" w:hAnsi="Calibri"/>
                <w:b w:val="0"/>
                <w:i w:val="0"/>
                <w:color w:val="444444"/>
                <w:sz w:val="20"/>
              </w:rPr>
              <w:t>Creates a clear, usable protocol or plan</w:t>
            </w:r>
          </w:p>
        </w:tc>
        <w:tc>
          <w:tcPr>
            <w:tcW w:type="dxa" w:w="2304"/>
            <w:vAlign w:val="center"/>
          </w:tcPr>
          <w:p>
            <w:pPr>
              <w:spacing w:after="20" w:before="20"/>
            </w:pPr>
            <w:r>
              <w:rPr>
                <w:rFonts w:ascii="Calibri" w:hAnsi="Calibri"/>
                <w:b w:val="0"/>
                <w:i w:val="0"/>
                <w:color w:val="444444"/>
                <w:sz w:val="20"/>
              </w:rPr>
              <w:t>Partial or unclear steps</w:t>
            </w:r>
          </w:p>
        </w:tc>
        <w:tc>
          <w:tcPr>
            <w:tcW w:type="dxa" w:w="2160"/>
            <w:vAlign w:val="center"/>
          </w:tcPr>
          <w:p>
            <w:pPr>
              <w:spacing w:after="20" w:before="20"/>
            </w:pPr>
            <w:r>
              <w:rPr>
                <w:rFonts w:ascii="Calibri" w:hAnsi="Calibri"/>
                <w:b w:val="0"/>
                <w:i w:val="0"/>
                <w:color w:val="444444"/>
                <w:sz w:val="20"/>
              </w:rPr>
              <w:t>No usable protocol or plan</w:t>
            </w:r>
          </w:p>
        </w:tc>
      </w:tr>
      <w:tr>
        <w:tc>
          <w:tcPr>
            <w:tcW w:type="dxa" w:w="2304"/>
            <w:vAlign w:val="center"/>
          </w:tcPr>
          <w:p>
            <w:pPr>
              <w:spacing w:after="20" w:before="20"/>
            </w:pPr>
            <w:r>
              <w:rPr>
                <w:rFonts w:ascii="Calibri" w:hAnsi="Calibri"/>
                <w:b w:val="0"/>
                <w:i w:val="0"/>
                <w:color w:val="444444"/>
                <w:sz w:val="20"/>
              </w:rPr>
              <w:t>Involves trusted adult / reporting</w:t>
            </w:r>
          </w:p>
        </w:tc>
        <w:tc>
          <w:tcPr>
            <w:tcW w:type="dxa" w:w="2448"/>
            <w:vAlign w:val="center"/>
          </w:tcPr>
          <w:p>
            <w:pPr>
              <w:spacing w:after="20" w:before="20"/>
            </w:pPr>
            <w:r>
              <w:rPr>
                <w:rFonts w:ascii="Calibri" w:hAnsi="Calibri"/>
                <w:b w:val="0"/>
                <w:i w:val="0"/>
                <w:color w:val="444444"/>
                <w:sz w:val="20"/>
              </w:rPr>
              <w:t>Names an adult and a reporting route</w:t>
            </w:r>
          </w:p>
        </w:tc>
        <w:tc>
          <w:tcPr>
            <w:tcW w:type="dxa" w:w="2304"/>
            <w:vAlign w:val="center"/>
          </w:tcPr>
          <w:p>
            <w:pPr>
              <w:spacing w:after="20" w:before="20"/>
            </w:pPr>
            <w:r>
              <w:rPr>
                <w:rFonts w:ascii="Calibri" w:hAnsi="Calibri"/>
                <w:b w:val="0"/>
                <w:i w:val="0"/>
                <w:color w:val="444444"/>
                <w:sz w:val="20"/>
              </w:rPr>
              <w:t>Names one help step</w:t>
            </w:r>
          </w:p>
        </w:tc>
        <w:tc>
          <w:tcPr>
            <w:tcW w:type="dxa" w:w="2160"/>
            <w:vAlign w:val="center"/>
          </w:tcPr>
          <w:p>
            <w:pPr>
              <w:spacing w:after="20" w:before="20"/>
            </w:pPr>
            <w:r>
              <w:rPr>
                <w:rFonts w:ascii="Calibri" w:hAnsi="Calibri"/>
                <w:b w:val="0"/>
                <w:i w:val="0"/>
                <w:color w:val="444444"/>
                <w:sz w:val="20"/>
              </w:rPr>
              <w:t>Does not identify a help-seeking step</w:t>
            </w:r>
          </w:p>
        </w:tc>
      </w:tr>
      <w:tr>
        <w:tc>
          <w:tcPr>
            <w:tcW w:type="dxa" w:w="2304"/>
            <w:vAlign w:val="center"/>
          </w:tcPr>
          <w:p>
            <w:pPr>
              <w:spacing w:after="20" w:before="20"/>
            </w:pPr>
            <w:r>
              <w:rPr>
                <w:rFonts w:ascii="Calibri" w:hAnsi="Calibri"/>
                <w:b w:val="0"/>
                <w:i w:val="0"/>
                <w:color w:val="444444"/>
                <w:sz w:val="20"/>
              </w:rPr>
              <w:t>Models appropriate response</w:t>
            </w:r>
          </w:p>
        </w:tc>
        <w:tc>
          <w:tcPr>
            <w:tcW w:type="dxa" w:w="2448"/>
            <w:vAlign w:val="center"/>
          </w:tcPr>
          <w:p>
            <w:pPr>
              <w:spacing w:after="20" w:before="20"/>
            </w:pPr>
            <w:r>
              <w:rPr>
                <w:rFonts w:ascii="Calibri" w:hAnsi="Calibri"/>
                <w:b w:val="0"/>
                <w:i w:val="0"/>
                <w:color w:val="444444"/>
                <w:sz w:val="20"/>
              </w:rPr>
              <w:t>Uses clear, calm, safe language</w:t>
            </w:r>
          </w:p>
        </w:tc>
        <w:tc>
          <w:tcPr>
            <w:tcW w:type="dxa" w:w="2304"/>
            <w:vAlign w:val="center"/>
          </w:tcPr>
          <w:p>
            <w:pPr>
              <w:spacing w:after="20" w:before="20"/>
            </w:pPr>
            <w:r>
              <w:rPr>
                <w:rFonts w:ascii="Calibri" w:hAnsi="Calibri"/>
                <w:b w:val="0"/>
                <w:i w:val="0"/>
                <w:color w:val="444444"/>
                <w:sz w:val="20"/>
              </w:rPr>
              <w:t>Approximates safe language</w:t>
            </w:r>
          </w:p>
        </w:tc>
        <w:tc>
          <w:tcPr>
            <w:tcW w:type="dxa" w:w="2160"/>
            <w:vAlign w:val="center"/>
          </w:tcPr>
          <w:p>
            <w:pPr>
              <w:spacing w:after="20" w:before="20"/>
            </w:pPr>
            <w:r>
              <w:rPr>
                <w:rFonts w:ascii="Calibri" w:hAnsi="Calibri"/>
                <w:b w:val="0"/>
                <w:i w:val="0"/>
                <w:color w:val="444444"/>
                <w:sz w:val="20"/>
              </w:rPr>
              <w:t>Needs support using safe language</w:t>
            </w:r>
          </w:p>
        </w:tc>
      </w:tr>
    </w:tbl>
    <w:p>
      <w:pPr>
        <w:spacing w:after="40"/>
      </w:pPr>
    </w:p>
    <w:p>
      <w:pPr>
        <w:spacing w:after="80" w:before="0"/>
      </w:pPr>
      <w:r>
        <w:rPr>
          <w:rFonts w:ascii="Calibri" w:hAnsi="Calibri"/>
          <w:b w:val="0"/>
          <w:i/>
          <w:color w:val="444444"/>
          <w:sz w:val="20"/>
        </w:rPr>
        <w:t>This matches the SWAT delivery expectation — students observe, discuss, practice, and reflect rather than only listen. The model draws on Bandura’s observational learning: attention, retention, production/practice, and motivation.</w:t>
      </w:r>
    </w:p>
    <w:p>
      <w:pPr>
        <w:pStyle w:val="Heading1"/>
      </w:pPr>
      <w:r>
        <w:t>SWAT Instructional Delivery Checklist</w:t>
      </w:r>
    </w:p>
    <w:p>
      <w:pPr>
        <w:spacing w:after="80" w:before="0"/>
      </w:pPr>
      <w:r>
        <w:rPr>
          <w:rFonts w:ascii="Calibri" w:hAnsi="Calibri"/>
          <w:b w:val="0"/>
          <w:i w:val="0"/>
          <w:color w:val="444444"/>
          <w:sz w:val="22"/>
        </w:rPr>
        <w:t>(Bandura social-cognitive foundation — peer-modeling and discussion requirement.) Use this to self-check any lesson before you teach it.</w:t>
      </w:r>
    </w:p>
    <w:p>
      <w:pPr>
        <w:pStyle w:val="Heading3"/>
      </w:pPr>
      <w:r>
        <w:t>Lesson planning</w:t>
      </w:r>
    </w:p>
    <w:p>
      <w:pPr>
        <w:pStyle w:val="ListParagraph"/>
        <w:spacing w:after="40"/>
        <w:numPr>
          <w:ilvl w:val="0"/>
          <w:numId w:val="1"/>
        </w:numPr>
      </w:pPr>
      <w:r>
        <w:rPr>
          <w:rFonts w:ascii="Calibri" w:hAnsi="Calibri"/>
          <w:b w:val="0"/>
          <w:i w:val="0"/>
          <w:color w:val="444444"/>
          <w:sz w:val="22"/>
        </w:rPr>
        <w:t>☐  A real-world scenario is included in the lesson</w:t>
      </w:r>
    </w:p>
    <w:p>
      <w:pPr>
        <w:pStyle w:val="ListParagraph"/>
        <w:spacing w:after="40"/>
        <w:numPr>
          <w:ilvl w:val="0"/>
          <w:numId w:val="1"/>
        </w:numPr>
      </w:pPr>
      <w:r>
        <w:rPr>
          <w:rFonts w:ascii="Calibri" w:hAnsi="Calibri"/>
          <w:b w:val="0"/>
          <w:i w:val="0"/>
          <w:color w:val="444444"/>
          <w:sz w:val="22"/>
        </w:rPr>
        <w:t>☐  Students are asked “What would you do?” or a similar decision-making question</w:t>
      </w:r>
    </w:p>
    <w:p>
      <w:pPr>
        <w:pStyle w:val="ListParagraph"/>
        <w:spacing w:after="40"/>
        <w:numPr>
          <w:ilvl w:val="0"/>
          <w:numId w:val="1"/>
        </w:numPr>
      </w:pPr>
      <w:r>
        <w:rPr>
          <w:rFonts w:ascii="Calibri" w:hAnsi="Calibri"/>
          <w:b w:val="0"/>
          <w:i w:val="0"/>
          <w:color w:val="444444"/>
          <w:sz w:val="22"/>
        </w:rPr>
        <w:t>☐  The lesson includes structured student discussion (small group or whole class)</w:t>
      </w:r>
    </w:p>
    <w:p>
      <w:pPr>
        <w:pStyle w:val="ListParagraph"/>
        <w:spacing w:after="40"/>
        <w:numPr>
          <w:ilvl w:val="0"/>
          <w:numId w:val="1"/>
        </w:numPr>
      </w:pPr>
      <w:r>
        <w:rPr>
          <w:rFonts w:ascii="Calibri" w:hAnsi="Calibri"/>
          <w:b w:val="0"/>
          <w:i w:val="0"/>
          <w:color w:val="444444"/>
          <w:sz w:val="22"/>
        </w:rPr>
        <w:t>☐  The lesson includes modeling of correct behavior (teacher, video, or peer)</w:t>
      </w:r>
    </w:p>
    <w:p>
      <w:pPr>
        <w:pStyle w:val="ListParagraph"/>
        <w:spacing w:after="40"/>
        <w:numPr>
          <w:ilvl w:val="0"/>
          <w:numId w:val="1"/>
        </w:numPr>
      </w:pPr>
      <w:r>
        <w:rPr>
          <w:rFonts w:ascii="Calibri" w:hAnsi="Calibri"/>
          <w:b w:val="0"/>
          <w:i w:val="0"/>
          <w:color w:val="444444"/>
          <w:sz w:val="22"/>
        </w:rPr>
        <w:t>☐  Students actively compare responses to appropriate behavior</w:t>
      </w:r>
    </w:p>
    <w:p>
      <w:pPr>
        <w:pStyle w:val="Heading3"/>
      </w:pPr>
      <w:r>
        <w:t>Student engagement</w:t>
      </w:r>
    </w:p>
    <w:p>
      <w:pPr>
        <w:pStyle w:val="ListParagraph"/>
        <w:spacing w:after="40"/>
        <w:numPr>
          <w:ilvl w:val="0"/>
          <w:numId w:val="1"/>
        </w:numPr>
      </w:pPr>
      <w:r>
        <w:rPr>
          <w:rFonts w:ascii="Calibri" w:hAnsi="Calibri"/>
          <w:b w:val="0"/>
          <w:i w:val="0"/>
          <w:color w:val="444444"/>
          <w:sz w:val="22"/>
        </w:rPr>
        <w:t>☐  Students talk to peers about the topic</w:t>
      </w:r>
    </w:p>
    <w:p>
      <w:pPr>
        <w:pStyle w:val="ListParagraph"/>
        <w:spacing w:after="40"/>
        <w:numPr>
          <w:ilvl w:val="0"/>
          <w:numId w:val="1"/>
        </w:numPr>
      </w:pPr>
      <w:r>
        <w:rPr>
          <w:rFonts w:ascii="Calibri" w:hAnsi="Calibri"/>
          <w:b w:val="0"/>
          <w:i w:val="0"/>
          <w:color w:val="444444"/>
          <w:sz w:val="22"/>
        </w:rPr>
        <w:t>☐  Students participate in a group discussion or partner activity</w:t>
      </w:r>
    </w:p>
    <w:p>
      <w:pPr>
        <w:pStyle w:val="ListParagraph"/>
        <w:spacing w:after="40"/>
        <w:numPr>
          <w:ilvl w:val="0"/>
          <w:numId w:val="1"/>
        </w:numPr>
      </w:pPr>
      <w:r>
        <w:rPr>
          <w:rFonts w:ascii="Calibri" w:hAnsi="Calibri"/>
          <w:b w:val="0"/>
          <w:i w:val="0"/>
          <w:color w:val="444444"/>
          <w:sz w:val="22"/>
        </w:rPr>
        <w:t>☐  Students analyze a realistic online situation</w:t>
      </w:r>
    </w:p>
    <w:p>
      <w:pPr>
        <w:pStyle w:val="ListParagraph"/>
        <w:spacing w:after="40"/>
        <w:numPr>
          <w:ilvl w:val="0"/>
          <w:numId w:val="1"/>
        </w:numPr>
      </w:pPr>
      <w:r>
        <w:rPr>
          <w:rFonts w:ascii="Calibri" w:hAnsi="Calibri"/>
          <w:b w:val="0"/>
          <w:i w:val="0"/>
          <w:color w:val="444444"/>
          <w:sz w:val="22"/>
        </w:rPr>
        <w:t>☐  Students explain their reasoning or choices</w:t>
      </w:r>
    </w:p>
    <w:p>
      <w:pPr>
        <w:pStyle w:val="ListParagraph"/>
        <w:spacing w:after="40"/>
        <w:numPr>
          <w:ilvl w:val="0"/>
          <w:numId w:val="1"/>
        </w:numPr>
      </w:pPr>
      <w:r>
        <w:rPr>
          <w:rFonts w:ascii="Calibri" w:hAnsi="Calibri"/>
          <w:b w:val="0"/>
          <w:i w:val="0"/>
          <w:color w:val="444444"/>
          <w:sz w:val="22"/>
        </w:rPr>
        <w:t>☐  Students hear and consider multiple perspectives</w:t>
      </w:r>
    </w:p>
    <w:p>
      <w:pPr>
        <w:pStyle w:val="Heading3"/>
      </w:pPr>
      <w:r>
        <w:t>Peer-modeling strategy (at least one required)</w:t>
      </w:r>
    </w:p>
    <w:p>
      <w:pPr>
        <w:pStyle w:val="ListParagraph"/>
        <w:spacing w:after="40"/>
        <w:numPr>
          <w:ilvl w:val="0"/>
          <w:numId w:val="1"/>
        </w:numPr>
      </w:pPr>
      <w:r>
        <w:rPr>
          <w:rFonts w:ascii="Calibri" w:hAnsi="Calibri"/>
          <w:b w:val="0"/>
          <w:i w:val="0"/>
          <w:color w:val="444444"/>
          <w:sz w:val="22"/>
        </w:rPr>
        <w:t>☐  Scenario-based discussion</w:t>
      </w:r>
    </w:p>
    <w:p>
      <w:pPr>
        <w:pStyle w:val="ListParagraph"/>
        <w:spacing w:after="40"/>
        <w:numPr>
          <w:ilvl w:val="0"/>
          <w:numId w:val="1"/>
        </w:numPr>
      </w:pPr>
      <w:r>
        <w:rPr>
          <w:rFonts w:ascii="Calibri" w:hAnsi="Calibri"/>
          <w:b w:val="0"/>
          <w:i w:val="0"/>
          <w:color w:val="444444"/>
          <w:sz w:val="22"/>
        </w:rPr>
        <w:t>☐  Role-play or response practice</w:t>
      </w:r>
    </w:p>
    <w:p>
      <w:pPr>
        <w:pStyle w:val="ListParagraph"/>
        <w:spacing w:after="40"/>
        <w:numPr>
          <w:ilvl w:val="0"/>
          <w:numId w:val="1"/>
        </w:numPr>
      </w:pPr>
      <w:r>
        <w:rPr>
          <w:rFonts w:ascii="Calibri" w:hAnsi="Calibri"/>
          <w:b w:val="0"/>
          <w:i w:val="0"/>
          <w:color w:val="444444"/>
          <w:sz w:val="22"/>
        </w:rPr>
        <w:t>☐  Group problem-solving discussion</w:t>
      </w:r>
    </w:p>
    <w:p>
      <w:pPr>
        <w:pStyle w:val="ListParagraph"/>
        <w:spacing w:after="40"/>
        <w:numPr>
          <w:ilvl w:val="0"/>
          <w:numId w:val="1"/>
        </w:numPr>
      </w:pPr>
      <w:r>
        <w:rPr>
          <w:rFonts w:ascii="Calibri" w:hAnsi="Calibri"/>
          <w:b w:val="0"/>
          <w:i w:val="0"/>
          <w:color w:val="444444"/>
          <w:sz w:val="22"/>
        </w:rPr>
        <w:t>☐  Case study or example analysis</w:t>
      </w:r>
    </w:p>
    <w:p>
      <w:pPr>
        <w:pStyle w:val="ListParagraph"/>
        <w:spacing w:after="40"/>
        <w:numPr>
          <w:ilvl w:val="0"/>
          <w:numId w:val="1"/>
        </w:numPr>
      </w:pPr>
      <w:r>
        <w:rPr>
          <w:rFonts w:ascii="Calibri" w:hAnsi="Calibri"/>
          <w:b w:val="0"/>
          <w:i w:val="0"/>
          <w:color w:val="444444"/>
          <w:sz w:val="22"/>
        </w:rPr>
        <w:t>☐  Student-created examples (protocols, plans, pathways, posters)</w:t>
      </w:r>
    </w:p>
    <w:p>
      <w:pPr>
        <w:pStyle w:val="Heading3"/>
      </w:pPr>
      <w:r>
        <w:t>Instructional balance</w:t>
      </w:r>
    </w:p>
    <w:p>
      <w:pPr>
        <w:pStyle w:val="ListParagraph"/>
        <w:spacing w:after="40"/>
        <w:numPr>
          <w:ilvl w:val="0"/>
          <w:numId w:val="1"/>
        </w:numPr>
      </w:pPr>
      <w:r>
        <w:rPr>
          <w:rFonts w:ascii="Calibri" w:hAnsi="Calibri"/>
          <w:b w:val="0"/>
          <w:i w:val="0"/>
          <w:color w:val="444444"/>
          <w:sz w:val="22"/>
        </w:rPr>
        <w:t>☐  The lesson includes more than lecture or video</w:t>
      </w:r>
    </w:p>
    <w:p>
      <w:pPr>
        <w:pStyle w:val="ListParagraph"/>
        <w:spacing w:after="40"/>
        <w:numPr>
          <w:ilvl w:val="0"/>
          <w:numId w:val="1"/>
        </w:numPr>
      </w:pPr>
      <w:r>
        <w:rPr>
          <w:rFonts w:ascii="Calibri" w:hAnsi="Calibri"/>
          <w:b w:val="0"/>
          <w:i w:val="0"/>
          <w:color w:val="444444"/>
          <w:sz w:val="22"/>
        </w:rPr>
        <w:t>☐  Students are not only passive listeners</w:t>
      </w:r>
    </w:p>
    <w:p>
      <w:pPr>
        <w:pStyle w:val="ListParagraph"/>
        <w:spacing w:after="40"/>
        <w:numPr>
          <w:ilvl w:val="0"/>
          <w:numId w:val="1"/>
        </w:numPr>
      </w:pPr>
      <w:r>
        <w:rPr>
          <w:rFonts w:ascii="Calibri" w:hAnsi="Calibri"/>
          <w:b w:val="0"/>
          <w:i w:val="0"/>
          <w:color w:val="444444"/>
          <w:sz w:val="22"/>
        </w:rPr>
        <w:t>☐  Students have an opportunity to practice or demonstrate the behavior</w:t>
      </w:r>
    </w:p>
    <w:p>
      <w:pPr>
        <w:pStyle w:val="ListParagraph"/>
        <w:spacing w:after="40"/>
        <w:numPr>
          <w:ilvl w:val="0"/>
          <w:numId w:val="1"/>
        </w:numPr>
      </w:pPr>
      <w:r>
        <w:rPr>
          <w:rFonts w:ascii="Calibri" w:hAnsi="Calibri"/>
          <w:b w:val="0"/>
          <w:i w:val="0"/>
          <w:color w:val="444444"/>
          <w:sz w:val="22"/>
        </w:rPr>
        <w:t>☐  The teacher facilitates discussion rather than only presenting</w:t>
      </w:r>
    </w:p>
    <w:p>
      <w:pPr>
        <w:pStyle w:val="Heading1"/>
      </w:pPr>
      <w:r>
        <w:t>Printable Teacher Resources</w:t>
      </w:r>
    </w:p>
    <w:p>
      <w:pPr>
        <w:spacing w:after="80" w:before="0"/>
      </w:pPr>
      <w:r>
        <w:rPr>
          <w:rFonts w:ascii="Calibri" w:hAnsi="Calibri"/>
          <w:b w:val="0"/>
          <w:i w:val="0"/>
          <w:color w:val="444444"/>
          <w:sz w:val="22"/>
        </w:rPr>
        <w:t>Everything below is ready to copy. Cards are marked with cut lines. Print card sets on cardstock and store them in labeled bags for reuse across sections and advisory groups.</w:t>
      </w:r>
    </w:p>
    <w:p>
      <w:pPr>
        <w:pStyle w:val="Heading2"/>
      </w:pPr>
      <w:r>
        <w:t>Appendix A — Footprint Impact Analysis + Footprint Plan (Lesson 1)</w:t>
      </w:r>
    </w:p>
    <w:p>
      <w:pPr>
        <w:pStyle w:val="Heading3"/>
      </w:pPr>
      <w:r>
        <w:t>Footprint Impact Analysis (the 5 P’s)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Run the post/tag/share through five checks. Mark ✓ or ✗ and note why.</w:t>
            </w:r>
          </w:p>
          <w:p>
            <w:pPr>
              <w:spacing w:after="60"/>
            </w:pPr>
            <w:r>
              <w:rPr>
                <w:rFonts w:ascii="Calibri" w:hAnsi="Calibri"/>
                <w:b w:val="0"/>
                <w:i w:val="0"/>
                <w:color w:val="444444"/>
                <w:sz w:val="21"/>
              </w:rPr>
              <w:t xml:space="preserve">1. PERMANENT? Could this outlast the moment? </w:t>
            </w:r>
            <w:r>
              <w:rPr>
                <w:rFonts w:ascii="Calibri" w:hAnsi="Calibri"/>
                <w:b w:val="0"/>
                <w:i w:val="0"/>
                <w:color w:val="BBBBBB"/>
                <w:sz w:val="21"/>
              </w:rPr>
              <w:t>________________________</w:t>
            </w:r>
          </w:p>
          <w:p>
            <w:pPr>
              <w:spacing w:after="60"/>
            </w:pPr>
            <w:r>
              <w:rPr>
                <w:rFonts w:ascii="Calibri" w:hAnsi="Calibri"/>
                <w:b w:val="0"/>
                <w:i w:val="0"/>
                <w:color w:val="444444"/>
                <w:sz w:val="21"/>
              </w:rPr>
              <w:t xml:space="preserve">2. PUBLIC / SEARCHABLE? Could a stranger find it? </w:t>
            </w:r>
            <w:r>
              <w:rPr>
                <w:rFonts w:ascii="Calibri" w:hAnsi="Calibri"/>
                <w:b w:val="0"/>
                <w:i w:val="0"/>
                <w:color w:val="BBBBBB"/>
                <w:sz w:val="21"/>
              </w:rPr>
              <w:t>________________________</w:t>
            </w:r>
          </w:p>
          <w:p>
            <w:pPr>
              <w:spacing w:after="60"/>
            </w:pPr>
            <w:r>
              <w:rPr>
                <w:rFonts w:ascii="Calibri" w:hAnsi="Calibri"/>
                <w:b w:val="0"/>
                <w:i w:val="0"/>
                <w:color w:val="444444"/>
                <w:sz w:val="21"/>
              </w:rPr>
              <w:t xml:space="preserve">3. PROFESSIONAL? Would my future audience respect it? </w:t>
            </w:r>
            <w:r>
              <w:rPr>
                <w:rFonts w:ascii="Calibri" w:hAnsi="Calibri"/>
                <w:b w:val="0"/>
                <w:i w:val="0"/>
                <w:color w:val="BBBBBB"/>
                <w:sz w:val="21"/>
              </w:rPr>
              <w:t>________________________</w:t>
            </w:r>
          </w:p>
          <w:p>
            <w:pPr>
              <w:spacing w:after="60"/>
            </w:pPr>
            <w:r>
              <w:rPr>
                <w:rFonts w:ascii="Calibri" w:hAnsi="Calibri"/>
                <w:b w:val="0"/>
                <w:i w:val="0"/>
                <w:color w:val="444444"/>
                <w:sz w:val="21"/>
              </w:rPr>
              <w:t xml:space="preserve">4. PRIVACY &amp; CONSENT? Am I exposing or posting someone without permission? </w:t>
            </w:r>
            <w:r>
              <w:rPr>
                <w:rFonts w:ascii="Calibri" w:hAnsi="Calibri"/>
                <w:b w:val="0"/>
                <w:i w:val="0"/>
                <w:color w:val="BBBBBB"/>
                <w:sz w:val="21"/>
              </w:rPr>
              <w:t>________________________</w:t>
            </w:r>
          </w:p>
          <w:p>
            <w:pPr>
              <w:spacing w:after="60"/>
            </w:pPr>
            <w:r>
              <w:rPr>
                <w:rFonts w:ascii="Calibri" w:hAnsi="Calibri"/>
                <w:b w:val="0"/>
                <w:i w:val="0"/>
                <w:color w:val="444444"/>
                <w:sz w:val="21"/>
              </w:rPr>
              <w:t xml:space="preserve">5. PRESSURE? Am I being pushed to post this? </w:t>
            </w:r>
            <w:r>
              <w:rPr>
                <w:rFonts w:ascii="Calibri" w:hAnsi="Calibri"/>
                <w:b w:val="0"/>
                <w:i w:val="0"/>
                <w:color w:val="BBBBBB"/>
                <w:sz w:val="21"/>
              </w:rPr>
              <w:t>________________________</w:t>
            </w:r>
          </w:p>
        </w:tc>
      </w:tr>
    </w:tbl>
    <w:p>
      <w:pPr>
        <w:spacing w:after="40"/>
      </w:pPr>
    </w:p>
    <w:p>
      <w:pPr>
        <w:pStyle w:val="Heading3"/>
      </w:pPr>
      <w:r>
        <w:t>Footprint Plan Worksheet</w:t>
      </w:r>
    </w:p>
    <w:p>
      <w:pPr>
        <w:spacing w:after="120"/>
      </w:pPr>
      <w:r>
        <w:rPr>
          <w:rFonts w:ascii="Calibri" w:hAnsi="Calibri"/>
          <w:b w:val="0"/>
          <w:i w:val="0"/>
          <w:color w:val="444444"/>
          <w:sz w:val="22"/>
        </w:rPr>
        <w:t xml:space="preserve">Name: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What I’ll CLEAN UP (remove/untag):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What I’ll LOCK DOWN (privacy/settings):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What I’ll POST ON PURPOSE (positive footprint):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A trusted adult I’ll ask for help: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help a peer with harmful content online: </w:t>
      </w:r>
      <w:r>
        <w:rPr>
          <w:rFonts w:ascii="Calibri" w:hAnsi="Calibri"/>
          <w:b w:val="0"/>
          <w:i w:val="0"/>
          <w:color w:val="BBBBBB"/>
          <w:sz w:val="22"/>
        </w:rPr>
        <w:t>______________________________________________</w:t>
      </w:r>
    </w:p>
    <w:p>
      <w:pPr>
        <w:pStyle w:val="Heading2"/>
      </w:pPr>
      <w:r>
        <w:t>Appendix B — Complex Scenario Cards (Lesson 1)</w:t>
      </w:r>
    </w:p>
    <w:p>
      <w:pPr>
        <w:spacing w:after="80" w:before="0"/>
      </w:pPr>
      <w:r>
        <w:rPr>
          <w:rFonts w:ascii="Calibri" w:hAnsi="Calibri"/>
          <w:b w:val="0"/>
          <w:i w:val="0"/>
          <w:color w:val="444444"/>
          <w:sz w:val="22"/>
        </w:rPr>
        <w:t>Print and cut. Give one scenario per group.</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An old post and some tagged photos from middle school resurface right as a student applies for a team and a scholarship.</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friend wants to tag a student in a risky photo from a weekend. It looks funny now, but it’s public.</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group is pressuring a student to post something edgy “for the likes.” Everyone’s doing it.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student wants to repair their reputation after some negative comments spread. They’re not sure where to start.</w:t>
            </w:r>
          </w:p>
        </w:tc>
      </w:tr>
    </w:tbl>
    <w:p>
      <w:pPr>
        <w:spacing w:after="40"/>
      </w:pPr>
      <w:r>
        <w:rPr>
          <w:rFonts w:ascii="Calibri" w:hAnsi="Calibri"/>
          <w:b w:val="0"/>
          <w:i w:val="0"/>
          <w:color w:val="999999"/>
          <w:sz w:val="20"/>
        </w:rPr>
        <w:t>✂  - - - - - - - - - - - - - - - - - - - - - - - - - - - - - - - - - - - - - - - - - - -  ✂</w:t>
      </w:r>
    </w:p>
    <w:p>
      <w:pPr>
        <w:pStyle w:val="Heading2"/>
      </w:pPr>
      <w:r>
        <w:t>Appendix C — Exit Tickets</w:t>
      </w:r>
    </w:p>
    <w:p>
      <w:pPr>
        <w:pStyle w:val="Heading3"/>
      </w:pPr>
      <w:r>
        <w:t>Lesson 1 Exit Ticket — Digital Footprint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thing I want a future audience to find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footprint risk I can fix or lock down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trusted adult or help step I can use is: </w:t>
            </w:r>
            <w:r>
              <w:rPr>
                <w:rFonts w:ascii="Calibri" w:hAnsi="Calibri"/>
                <w:b w:val="0"/>
                <w:i w:val="0"/>
                <w:color w:val="BBBBBB"/>
                <w:sz w:val="21"/>
              </w:rPr>
              <w:t>____________________</w:t>
            </w:r>
          </w:p>
        </w:tc>
      </w:tr>
    </w:tbl>
    <w:p>
      <w:pPr>
        <w:spacing w:after="40"/>
      </w:pPr>
    </w:p>
    <w:p>
      <w:pPr>
        <w:pStyle w:val="Heading3"/>
      </w:pPr>
      <w:r>
        <w:t>Lesson 2 Exit Ticket — Threats &amp; Security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manipulation tactic I can now spot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personal-security habit I will use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way I can check if a message or image is fake is: </w:t>
            </w:r>
            <w:r>
              <w:rPr>
                <w:rFonts w:ascii="Calibri" w:hAnsi="Calibri"/>
                <w:b w:val="0"/>
                <w:i w:val="0"/>
                <w:color w:val="BBBBBB"/>
                <w:sz w:val="21"/>
              </w:rPr>
              <w:t>____________________</w:t>
            </w:r>
          </w:p>
        </w:tc>
      </w:tr>
    </w:tbl>
    <w:p>
      <w:pPr>
        <w:spacing w:after="40"/>
      </w:pPr>
    </w:p>
    <w:p>
      <w:pPr>
        <w:pStyle w:val="Heading3"/>
      </w:pPr>
      <w:r>
        <w:t>Lesson 3 Exit Ticket — Rights, Reporting &amp; Support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Name: ______________________     Date: ____________</w:t>
            </w:r>
          </w:p>
          <w:p>
            <w:pPr>
              <w:spacing w:after="60"/>
            </w:pPr>
            <w:r>
              <w:rPr>
                <w:rFonts w:ascii="Calibri" w:hAnsi="Calibri"/>
                <w:b w:val="0"/>
                <w:i w:val="0"/>
                <w:color w:val="444444"/>
                <w:sz w:val="21"/>
              </w:rPr>
              <w:t xml:space="preserve">1. One online situation that should be reported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2. One supportive sentence I can say to a peer is: </w:t>
            </w:r>
            <w:r>
              <w:rPr>
                <w:rFonts w:ascii="Calibri" w:hAnsi="Calibri"/>
                <w:b w:val="0"/>
                <w:i w:val="0"/>
                <w:color w:val="BBBBBB"/>
                <w:sz w:val="21"/>
              </w:rPr>
              <w:t>____________________</w:t>
            </w:r>
          </w:p>
          <w:p>
            <w:pPr>
              <w:spacing w:after="60"/>
            </w:pPr>
            <w:r>
              <w:rPr>
                <w:rFonts w:ascii="Calibri" w:hAnsi="Calibri"/>
                <w:b w:val="0"/>
                <w:i w:val="0"/>
                <w:color w:val="444444"/>
                <w:sz w:val="21"/>
              </w:rPr>
              <w:t xml:space="preserve">3. One reason to preserve evidence instead of deleting is: </w:t>
            </w:r>
            <w:r>
              <w:rPr>
                <w:rFonts w:ascii="Calibri" w:hAnsi="Calibri"/>
                <w:b w:val="0"/>
                <w:i w:val="0"/>
                <w:color w:val="BBBBBB"/>
                <w:sz w:val="21"/>
              </w:rPr>
              <w:t>____________________</w:t>
            </w:r>
          </w:p>
        </w:tc>
      </w:tr>
    </w:tbl>
    <w:p>
      <w:pPr>
        <w:spacing w:after="40"/>
      </w:pPr>
    </w:p>
    <w:p>
      <w:pPr>
        <w:pStyle w:val="Heading2"/>
      </w:pPr>
      <w:r>
        <w:t>Appendix D — “Real or Fake / Safe or Scam” Cards + Threat Recognition Sheet (Lesson 2)</w:t>
      </w:r>
    </w:p>
    <w:p>
      <w:pPr>
        <w:spacing w:after="80" w:before="0"/>
      </w:pPr>
      <w:r>
        <w:rPr>
          <w:rFonts w:ascii="Calibri" w:hAnsi="Calibri"/>
          <w:b w:val="0"/>
          <w:i w:val="0"/>
          <w:color w:val="444444"/>
          <w:sz w:val="22"/>
        </w:rPr>
        <w:t>Print one set per group. Groups review each fictional item and complete the Threat Recognition sheet.</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TEXT: “Your account will be locked in 1 hour. Confirm your password here: [link].”</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LOGIN POP-UP: A message says “Approve this sign-in” — but the student never tried to log in.</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DM: “Hey it’s me, I’m locked out — can you send me the code that just came to your phone?”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VIDEO: A clip of a celebrity “giving away” money — the mouth movement and audio don’t quite match.</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ACCOUNT: A brand-new profile with a familiar name, no history, asking younger students for personal info.</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OFFER: “You’ve won a gift card! Just pay a small ‘shipping fee’ with your card to claim it.”</w:t>
            </w:r>
          </w:p>
        </w:tc>
      </w:tr>
    </w:tbl>
    <w:p>
      <w:pPr>
        <w:spacing w:after="40"/>
      </w:pPr>
      <w:r>
        <w:rPr>
          <w:rFonts w:ascii="Calibri" w:hAnsi="Calibri"/>
          <w:b w:val="0"/>
          <w:i w:val="0"/>
          <w:color w:val="999999"/>
          <w:sz w:val="20"/>
        </w:rPr>
        <w:t>✂  - - - - - - - - - - - - - - - - - - - - - - - - - - - - - - - - - - - - - - - - - - -  ✂</w:t>
      </w:r>
    </w:p>
    <w:p>
      <w:pPr>
        <w:pStyle w:val="Heading3"/>
      </w:pPr>
      <w:r>
        <w:t>Threat Recognition Sheet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Which item, and REAL or FAKE / SAFE or SCAM?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The TACTIC it uses (urgency, authority, fear, reward, familiarity):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The RED FLAGS we found: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The SAFE MOVE (STOP · VERIFY · ACT/report): </w:t>
            </w:r>
            <w:r>
              <w:rPr>
                <w:rFonts w:ascii="Calibri" w:hAnsi="Calibri"/>
                <w:b w:val="0"/>
                <w:i w:val="0"/>
                <w:color w:val="BBBBBB"/>
                <w:sz w:val="21"/>
              </w:rPr>
              <w:t>______________________</w:t>
            </w:r>
          </w:p>
        </w:tc>
      </w:tr>
    </w:tbl>
    <w:p>
      <w:pPr>
        <w:spacing w:after="40"/>
      </w:pPr>
    </w:p>
    <w:p>
      <w:pPr>
        <w:pStyle w:val="Heading2"/>
      </w:pPr>
      <w:r>
        <w:t>Appendix E — Personal Security Playbook (Lesson 2)</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F4F0E6"/>
          </w:tcPr>
          <w:p>
            <w:pPr>
              <w:spacing w:after="40"/>
            </w:pPr>
          </w:p>
          <w:p>
            <w:pPr>
              <w:spacing w:after="20"/>
            </w:pPr>
            <w:r>
              <w:rPr>
                <w:rFonts w:ascii="Calibri" w:hAnsi="Calibri"/>
                <w:b w:val="0"/>
                <w:i w:val="0"/>
                <w:color w:val="444444"/>
                <w:sz w:val="21"/>
              </w:rPr>
              <w:t>Do not write real passwords on this plan. Use general actions only.</w:t>
            </w:r>
          </w:p>
        </w:tc>
      </w:tr>
    </w:tbl>
    <w:p>
      <w:pPr>
        <w:spacing w:after="40"/>
      </w:pPr>
    </w:p>
    <w:p>
      <w:pPr>
        <w:spacing w:after="120"/>
      </w:pPr>
      <w:r>
        <w:rPr>
          <w:rFonts w:ascii="Calibri" w:hAnsi="Calibri"/>
          <w:b w:val="0"/>
          <w:i w:val="0"/>
          <w:color w:val="444444"/>
          <w:sz w:val="22"/>
        </w:rPr>
        <w:t xml:space="preserve">Name: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My password habit (long, unique, not reused):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Where I’ll turn on MFA: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verify before I act (second trusted channel):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protect account recovery: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spot an AI fake or deepfake: </w:t>
      </w:r>
      <w:r>
        <w:rPr>
          <w:rFonts w:ascii="Calibri" w:hAnsi="Calibri"/>
          <w:b w:val="0"/>
          <w:i w:val="0"/>
          <w:color w:val="BBBBBB"/>
          <w:sz w:val="22"/>
        </w:rPr>
        <w:t>______________________________________________</w:t>
      </w:r>
    </w:p>
    <w:p>
      <w:pPr>
        <w:spacing w:after="120"/>
      </w:pPr>
      <w:r>
        <w:rPr>
          <w:rFonts w:ascii="Calibri" w:hAnsi="Calibri"/>
          <w:b w:val="0"/>
          <w:i w:val="0"/>
          <w:color w:val="444444"/>
          <w:sz w:val="22"/>
        </w:rPr>
        <w:t xml:space="preserve">How I’ll report a scam or compromised account: </w:t>
      </w:r>
      <w:r>
        <w:rPr>
          <w:rFonts w:ascii="Calibri" w:hAnsi="Calibri"/>
          <w:b w:val="0"/>
          <w:i w:val="0"/>
          <w:color w:val="BBBBBB"/>
          <w:sz w:val="22"/>
        </w:rPr>
        <w:t>______________________________________________</w:t>
      </w:r>
    </w:p>
    <w:p>
      <w:pPr>
        <w:pStyle w:val="Heading2"/>
      </w:pPr>
      <w:r>
        <w:t>Appendix F — Report / Support / Preserve / Stop + Layered Pathway Map (Lesson 3)</w:t>
      </w:r>
    </w:p>
    <w:p>
      <w:pPr>
        <w:spacing w:after="80" w:before="0"/>
      </w:pPr>
      <w:r>
        <w:rPr>
          <w:rFonts w:ascii="Calibri" w:hAnsi="Calibri"/>
          <w:b w:val="0"/>
          <w:i w:val="0"/>
          <w:color w:val="444444"/>
          <w:sz w:val="22"/>
        </w:rPr>
        <w:t>Print and cut the scenario cards. Groups sort into: STOP participating · SUPPORT the person safely · PRESERVE the evidence · REPORT to a trusted adult (a serious card usually needs all four).</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forwarding chain is spreading a harmful screenshot of a student.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peer is being threatened unless they send money or private content.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deepfake image of a classmate is being reshared “to warn people.”</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classmate looks scared after a wave of harassing messages.</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Someone is impersonating a student on a fake account.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A suspicious account is pressuring a younger student to keep an unsafe secret.</w:t>
            </w:r>
          </w:p>
        </w:tc>
      </w:tr>
    </w:tbl>
    <w:p>
      <w:pPr>
        <w:spacing w:after="40"/>
      </w:pPr>
      <w:r>
        <w:rPr>
          <w:rFonts w:ascii="Calibri" w:hAnsi="Calibri"/>
          <w:b w:val="0"/>
          <w:i w:val="0"/>
          <w:color w:val="999999"/>
          <w:sz w:val="20"/>
        </w:rPr>
        <w:t>✂  - - - - - - - - - - - - - - - - - - - - - - - - - - - - - - - - - - - - - - - - - - -  ✂</w:t>
      </w:r>
    </w:p>
    <w:p>
      <w:pPr>
        <w:pStyle w:val="Heading3"/>
      </w:pPr>
      <w:r>
        <w:t>Layered Reporting Pathway Map</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Fill in real names/contacts for your school:</w:t>
            </w:r>
          </w:p>
          <w:p>
            <w:pPr>
              <w:spacing w:after="60"/>
            </w:pPr>
            <w:r>
              <w:rPr>
                <w:rFonts w:ascii="Calibri" w:hAnsi="Calibri"/>
                <w:b w:val="0"/>
                <w:i w:val="0"/>
                <w:color w:val="444444"/>
                <w:sz w:val="21"/>
              </w:rPr>
              <w:t xml:space="preserve">1. Trusted adult (teacher/staff):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2. Counselor / administrator: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3. Technology / IT contact: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4. Platform tools (report · block · preserve evidence):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5. Family adult: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6. National resources adults may use (e.g., CyberTipline, Take It Down): </w:t>
            </w:r>
            <w:r>
              <w:rPr>
                <w:rFonts w:ascii="Calibri" w:hAnsi="Calibri"/>
                <w:b w:val="0"/>
                <w:i w:val="0"/>
                <w:color w:val="BBBBBB"/>
                <w:sz w:val="21"/>
              </w:rPr>
              <w:t>______________________</w:t>
            </w:r>
          </w:p>
        </w:tc>
      </w:tr>
    </w:tbl>
    <w:p>
      <w:pPr>
        <w:spacing w:after="40"/>
      </w:pPr>
    </w:p>
    <w:p>
      <w:pPr>
        <w:pStyle w:val="Heading2"/>
      </w:pPr>
      <w:r>
        <w:t>Appendix G — Peer Support Script Cards (Lesson 3)</w:t>
      </w:r>
    </w:p>
    <w:p>
      <w:pPr>
        <w:spacing w:after="80" w:before="0"/>
      </w:pPr>
      <w:r>
        <w:rPr>
          <w:rFonts w:ascii="Calibri" w:hAnsi="Calibri"/>
          <w:b w:val="0"/>
          <w:i w:val="0"/>
          <w:color w:val="444444"/>
          <w:sz w:val="22"/>
        </w:rPr>
        <w:t>Print and cut. Students practice supportive, non-judgmental language.</w:t>
      </w:r>
    </w:p>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color w:val="222B33"/>
                <w:sz w:val="21"/>
              </w:rPr>
              <w:t>“You’re not alone, and you’re not in trouble for asking for help.”</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color w:val="222B33"/>
                <w:sz w:val="21"/>
              </w:rPr>
              <w:t>“Don’t pay and don’t send anything. Let’s save the evidence and tell a trusted adult now.”</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color w:val="222B33"/>
                <w:sz w:val="21"/>
              </w:rPr>
              <w:t>“This isn’t your fault. An adult can help stop it.”</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color w:val="222B33"/>
                <w:sz w:val="21"/>
              </w:rPr>
              <w:t>“Let’s not reshare it. We’ll report it and get it taken down.”</w:t>
            </w:r>
          </w:p>
        </w:tc>
      </w:tr>
    </w:tbl>
    <w:p>
      <w:pPr>
        <w:spacing w:after="40"/>
      </w:pPr>
      <w:r>
        <w:rPr>
          <w:rFonts w:ascii="Calibri" w:hAnsi="Calibri"/>
          <w:b w:val="0"/>
          <w:i w:val="0"/>
          <w:color w:val="999999"/>
          <w:sz w:val="20"/>
        </w:rPr>
        <w:t>✂  - - - - - - - - - - - - - - - - - - - - - - - - - - - - - - - - - - - - - - - - - - -  ✂</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color w:val="222B33"/>
                <w:sz w:val="21"/>
              </w:rPr>
              <w:t>“I’ve got you — we can go to the counselor together.”</w:t>
            </w:r>
          </w:p>
        </w:tc>
      </w:tr>
    </w:tbl>
    <w:p>
      <w:pPr>
        <w:spacing w:after="40"/>
      </w:pPr>
      <w:r>
        <w:rPr>
          <w:rFonts w:ascii="Calibri" w:hAnsi="Calibri"/>
          <w:b w:val="0"/>
          <w:i w:val="0"/>
          <w:color w:val="999999"/>
          <w:sz w:val="20"/>
        </w:rPr>
        <w:t>✂  - - - - - - - - - - - - - - - - - - - - - - - - - - - - - - - - - - - - - - - - - - -  ✂</w:t>
      </w:r>
    </w:p>
    <w:p>
      <w:pPr>
        <w:pStyle w:val="Heading2"/>
      </w:pPr>
      <w:r>
        <w:t>Appendix H — Tabletop Response Sheets</w:t>
      </w:r>
    </w:p>
    <w:p>
      <w:pPr>
        <w:pStyle w:val="Heading3"/>
      </w:pPr>
      <w:r>
        <w:t>Tabletop 1 — Footprint Repair Plan: The Scholarship Surprise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Posts/tags that could affect the opportunity: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Clean up / lock down / report / leave (and why):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Our proactive footprint plan: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Who can help, and how: </w:t>
            </w:r>
            <w:r>
              <w:rPr>
                <w:rFonts w:ascii="Calibri" w:hAnsi="Calibri"/>
                <w:b w:val="0"/>
                <w:i w:val="0"/>
                <w:color w:val="BBBBBB"/>
                <w:sz w:val="21"/>
              </w:rPr>
              <w:t>______________________</w:t>
            </w:r>
          </w:p>
        </w:tc>
      </w:tr>
    </w:tbl>
    <w:p>
      <w:pPr>
        <w:spacing w:after="40"/>
      </w:pPr>
    </w:p>
    <w:p>
      <w:pPr>
        <w:pStyle w:val="Heading3"/>
      </w:pPr>
      <w:r>
        <w:t>Tabletop 2 — Verification &amp; Lockdown Plan: The Sophisticated Phishing Attack</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Tactics &amp; red flags: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What the student should NOT do: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Our verify-and-lockdown plan: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Adult support options: </w:t>
            </w:r>
            <w:r>
              <w:rPr>
                <w:rFonts w:ascii="Calibri" w:hAnsi="Calibri"/>
                <w:b w:val="0"/>
                <w:i w:val="0"/>
                <w:color w:val="BBBBBB"/>
                <w:sz w:val="21"/>
              </w:rPr>
              <w:t>______________________</w:t>
            </w:r>
          </w:p>
        </w:tc>
      </w:tr>
    </w:tbl>
    <w:p>
      <w:pPr>
        <w:spacing w:after="40"/>
      </w:pPr>
    </w:p>
    <w:p>
      <w:pPr>
        <w:pStyle w:val="Heading3"/>
      </w:pPr>
      <w:r>
        <w:t>Tabletop 3 — Authenticity &amp; Response Plan: The Deepfake Impersonation</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Clues it may be fake: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Why resharing makes it worse: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Preserve / report / tell an adult / support (our plan):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Supportive message to the student: </w:t>
            </w:r>
            <w:r>
              <w:rPr>
                <w:rFonts w:ascii="Calibri" w:hAnsi="Calibri"/>
                <w:b w:val="0"/>
                <w:i w:val="0"/>
                <w:color w:val="BBBBBB"/>
                <w:sz w:val="21"/>
              </w:rPr>
              <w:t>______________________</w:t>
            </w:r>
          </w:p>
        </w:tc>
      </w:tr>
    </w:tbl>
    <w:p>
      <w:pPr>
        <w:spacing w:after="40"/>
      </w:pPr>
    </w:p>
    <w:p>
      <w:pPr>
        <w:pStyle w:val="Heading3"/>
      </w:pPr>
      <w:r>
        <w:t>Tabletop 4 — Support Script &amp; Layered Pathway: The Serious Coercion Threat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val="0"/>
                <w:i w:val="0"/>
                <w:color w:val="444444"/>
                <w:sz w:val="21"/>
              </w:rPr>
              <w:t>Group: __________________________</w:t>
            </w:r>
          </w:p>
          <w:p>
            <w:pPr>
              <w:spacing w:after="60"/>
            </w:pPr>
            <w:r>
              <w:rPr>
                <w:rFonts w:ascii="Calibri" w:hAnsi="Calibri"/>
                <w:b w:val="0"/>
                <w:i w:val="0"/>
                <w:color w:val="444444"/>
                <w:sz w:val="21"/>
              </w:rPr>
              <w:t xml:space="preserve">Warning signs of coercion: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Why paying, complying, or deleting increases risk: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Our supportive peer script: </w:t>
            </w:r>
            <w:r>
              <w:rPr>
                <w:rFonts w:ascii="Calibri" w:hAnsi="Calibri"/>
                <w:b w:val="0"/>
                <w:i w:val="0"/>
                <w:color w:val="BBBBBB"/>
                <w:sz w:val="21"/>
              </w:rPr>
              <w:t>______________________</w:t>
            </w:r>
          </w:p>
          <w:p>
            <w:pPr>
              <w:spacing w:after="60"/>
            </w:pPr>
            <w:r>
              <w:rPr>
                <w:rFonts w:ascii="Calibri" w:hAnsi="Calibri"/>
                <w:b w:val="0"/>
                <w:i w:val="0"/>
                <w:color w:val="444444"/>
                <w:sz w:val="21"/>
              </w:rPr>
              <w:t xml:space="preserve">Our layered reporting pathway (adult · platform · national resource): </w:t>
            </w:r>
            <w:r>
              <w:rPr>
                <w:rFonts w:ascii="Calibri" w:hAnsi="Calibri"/>
                <w:b w:val="0"/>
                <w:i w:val="0"/>
                <w:color w:val="BBBBBB"/>
                <w:sz w:val="21"/>
              </w:rPr>
              <w:t>______________________</w:t>
            </w:r>
          </w:p>
        </w:tc>
      </w:tr>
    </w:tbl>
    <w:p>
      <w:pPr>
        <w:spacing w:after="40"/>
      </w:pPr>
    </w:p>
    <w:p>
      <w:pPr>
        <w:pStyle w:val="Heading2"/>
      </w:pPr>
      <w:r>
        <w:t>Appendix I — Parent / Guardian Summary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tblBorders>
      </w:tblPr>
      <w:tblGrid>
        <w:gridCol w:w="9360"/>
      </w:tblGrid>
      <w:tr>
        <w:tc>
          <w:tcPr>
            <w:tcW w:type="dxa" w:w="9360"/>
            <w:shd w:val="clear" w:color="auto" w:fill="EBF1F3"/>
          </w:tcPr>
          <w:p>
            <w:r>
              <w:rPr>
                <w:rFonts w:ascii="Calibri" w:hAnsi="Calibri"/>
                <w:b/>
                <w:i w:val="0"/>
                <w:color w:val="1E3048"/>
                <w:sz w:val="21"/>
              </w:rPr>
              <w:t>Dear Families,</w:t>
            </w:r>
          </w:p>
          <w:p>
            <w:pPr>
              <w:spacing w:after="60"/>
            </w:pPr>
            <w:r>
              <w:rPr>
                <w:rFonts w:ascii="Calibri" w:hAnsi="Calibri"/>
                <w:b w:val="0"/>
                <w:i w:val="0"/>
                <w:color w:val="444444"/>
                <w:sz w:val="21"/>
              </w:rPr>
              <w:t>As your ninth grader begins high school, they are taking part in age-appropriate lessons on safe and responsible technology use. Instruction focuses on managing a digital footprint for real opportunities, recognizing and shutting down scams and AI-generated fakes, protecting personal accounts, and knowing exactly how to report serious online concerns to trusted adults.</w:t>
            </w:r>
          </w:p>
          <w:p>
            <w:pPr>
              <w:spacing w:after="60"/>
            </w:pPr>
            <w:r>
              <w:rPr>
                <w:rFonts w:ascii="Calibri" w:hAnsi="Calibri"/>
                <w:b w:val="0"/>
                <w:i w:val="0"/>
                <w:color w:val="444444"/>
                <w:sz w:val="21"/>
              </w:rPr>
              <w:t>Lessons use peer discussion and realistic (fictional) scenarios — not lectures. Students are never asked to reveal passwords, share personal experiences, or investigate anything on their own. All examples are made-up and kept developmentally appropriate.</w:t>
            </w:r>
          </w:p>
          <w:p>
            <w:pPr>
              <w:spacing w:after="60"/>
            </w:pPr>
            <w:r>
              <w:rPr>
                <w:rFonts w:ascii="Calibri" w:hAnsi="Calibri"/>
                <w:b w:val="0"/>
                <w:i w:val="0"/>
                <w:color w:val="444444"/>
                <w:sz w:val="21"/>
              </w:rPr>
              <w:t>You can support this at home by reviewing privacy settings together, turning on multi-factor authentication, agreeing on a ‘verify before you act’ rule for suspicious messages, and naming the trusted adults your student can go to if something online feels unsafe or serious.</w:t>
            </w:r>
          </w:p>
          <w:p>
            <w:pPr>
              <w:spacing w:after="60"/>
            </w:pPr>
            <w:r>
              <w:rPr>
                <w:rFonts w:ascii="Calibri" w:hAnsi="Calibri"/>
                <w:b w:val="0"/>
                <w:i w:val="0"/>
                <w:color w:val="444444"/>
                <w:sz w:val="21"/>
              </w:rPr>
              <w:t>Thank you for partnering with us,</w:t>
            </w:r>
          </w:p>
          <w:p>
            <w:r>
              <w:rPr>
                <w:rFonts w:ascii="Calibri" w:hAnsi="Calibri"/>
                <w:b w:val="0"/>
                <w:i w:val="0"/>
                <w:color w:val="444444"/>
                <w:sz w:val="21"/>
              </w:rPr>
              <w:t>__________________________</w:t>
            </w:r>
          </w:p>
        </w:tc>
      </w:tr>
    </w:tbl>
    <w:p>
      <w:pPr>
        <w:spacing w:after="40"/>
      </w:pPr>
    </w:p>
    <w:p>
      <w:pPr>
        <w:pStyle w:val="Heading2"/>
      </w:pPr>
      <w:r>
        <w:t>Appendix J — Teacher Answer Keys (Quick Reference)</w:t>
      </w:r>
    </w:p>
    <w:p>
      <w:pPr>
        <w:pStyle w:val="Heading3"/>
      </w:pPr>
      <w:r>
        <w:t>Footprint Impact Analysis (Lesson 1)</w:t>
      </w:r>
    </w:p>
    <w:p>
      <w:pPr>
        <w:pStyle w:val="ListParagraph"/>
        <w:spacing w:after="40"/>
        <w:numPr>
          <w:ilvl w:val="0"/>
          <w:numId w:val="1"/>
        </w:numPr>
      </w:pPr>
      <w:r>
        <w:rPr>
          <w:rFonts w:ascii="Calibri" w:hAnsi="Calibri"/>
          <w:b w:val="0"/>
          <w:i w:val="0"/>
          <w:color w:val="444444"/>
          <w:sz w:val="22"/>
        </w:rPr>
        <w:t>An old or pressured post typically fails PERMANENT, PUBLIC, and PROFESSIONAL — so the smart move is to pause, lock down, remove/untag what you control, and post positive content on purpose.</w:t>
      </w:r>
    </w:p>
    <w:p>
      <w:pPr>
        <w:pStyle w:val="Heading3"/>
      </w:pPr>
      <w:r>
        <w:t>Threat Recognition (Lesson 2)</w:t>
      </w:r>
    </w:p>
    <w:p>
      <w:pPr>
        <w:pStyle w:val="ListParagraph"/>
        <w:spacing w:after="40"/>
        <w:numPr>
          <w:ilvl w:val="0"/>
          <w:numId w:val="1"/>
        </w:numPr>
      </w:pPr>
      <w:r>
        <w:rPr>
          <w:rFonts w:ascii="Calibri" w:hAnsi="Calibri"/>
          <w:b w:val="0"/>
          <w:i w:val="0"/>
          <w:color w:val="444444"/>
          <w:sz w:val="22"/>
        </w:rPr>
        <w:t>The “confirm your password” text = phishing (urgency + authority). The “approve this sign-in” you didn’t start = account-takeover / MFA fatigue — deny + change password. The “send me the code” DM = familiarity scam — never share codes.</w:t>
      </w:r>
    </w:p>
    <w:p>
      <w:pPr>
        <w:pStyle w:val="ListParagraph"/>
        <w:spacing w:after="40"/>
        <w:numPr>
          <w:ilvl w:val="0"/>
          <w:numId w:val="1"/>
        </w:numPr>
      </w:pPr>
      <w:r>
        <w:rPr>
          <w:rFonts w:ascii="Calibri" w:hAnsi="Calibri"/>
          <w:b w:val="0"/>
          <w:i w:val="0"/>
          <w:color w:val="444444"/>
          <w:sz w:val="22"/>
        </w:rPr>
        <w:t>The mismatched celebrity video = likely deepfake (verify through a real, known source). The brand-new look-alike account = impersonation. The “pay a fee to claim a prize” = reward scam.</w:t>
      </w:r>
    </w:p>
    <w:p>
      <w:pPr>
        <w:pStyle w:val="ListParagraph"/>
        <w:spacing w:after="40"/>
        <w:numPr>
          <w:ilvl w:val="0"/>
          <w:numId w:val="1"/>
        </w:numPr>
      </w:pPr>
      <w:r>
        <w:rPr>
          <w:rFonts w:ascii="Calibri" w:hAnsi="Calibri"/>
          <w:b w:val="0"/>
          <w:i w:val="0"/>
          <w:color w:val="444444"/>
          <w:sz w:val="22"/>
        </w:rPr>
        <w:t>Every safe move follows STOP · VERIFY · ACT, and only enter payment info on secure, verified sites (CS.DCS.25).</w:t>
      </w:r>
    </w:p>
    <w:p>
      <w:pPr>
        <w:pStyle w:val="Heading3"/>
      </w:pPr>
      <w:r>
        <w:t>Report / Support / Preserve / Stop (Lesson 3)</w:t>
      </w:r>
    </w:p>
    <w:p>
      <w:pPr>
        <w:pStyle w:val="ListParagraph"/>
        <w:spacing w:after="40"/>
        <w:numPr>
          <w:ilvl w:val="0"/>
          <w:numId w:val="1"/>
        </w:numPr>
      </w:pPr>
      <w:r>
        <w:rPr>
          <w:rFonts w:ascii="Calibri" w:hAnsi="Calibri"/>
          <w:b w:val="0"/>
          <w:i w:val="0"/>
          <w:color w:val="444444"/>
          <w:sz w:val="22"/>
        </w:rPr>
        <w:t>Threats, coercion/sextortion, non-consensual sharing, impersonation, and deepfakes always include REPORT and PRESERVE.</w:t>
      </w:r>
    </w:p>
    <w:p>
      <w:pPr>
        <w:pStyle w:val="ListParagraph"/>
        <w:spacing w:after="40"/>
        <w:numPr>
          <w:ilvl w:val="0"/>
          <w:numId w:val="1"/>
        </w:numPr>
      </w:pPr>
      <w:r>
        <w:rPr>
          <w:rFonts w:ascii="Calibri" w:hAnsi="Calibri"/>
          <w:b w:val="0"/>
          <w:i w:val="0"/>
          <w:color w:val="444444"/>
          <w:sz w:val="22"/>
        </w:rPr>
        <w:t>Harmful chats and forwarding/reshare chains include STOP; a targeted or scared peer includes SUPPORT.</w:t>
      </w:r>
    </w:p>
    <w:p>
      <w:pPr>
        <w:pStyle w:val="ListParagraph"/>
        <w:spacing w:after="40"/>
        <w:numPr>
          <w:ilvl w:val="0"/>
          <w:numId w:val="1"/>
        </w:numPr>
      </w:pPr>
      <w:r>
        <w:rPr>
          <w:rFonts w:ascii="Calibri" w:hAnsi="Calibri"/>
          <w:b w:val="0"/>
          <w:i w:val="0"/>
          <w:color w:val="444444"/>
          <w:sz w:val="22"/>
        </w:rPr>
        <w:t>Most serious scenarios need all four: stop, support, preserve, and report — and never pay or comply.</w:t>
      </w:r>
    </w:p>
    <w:p>
      <w:pPr>
        <w:spacing w:after="80" w:before="160"/>
      </w:pPr>
      <w:r>
        <w:rPr>
          <w:rFonts w:ascii="Calibri" w:hAnsi="Calibri"/>
          <w:b/>
          <w:i w:val="0"/>
          <w:color w:val="1C6E7E"/>
          <w:sz w:val="20"/>
        </w:rPr>
        <w:t>End of Unit · CyberSWAT Grade 9 · Digital Footprint, Advanced Threats &amp; Personal Security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04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6E7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0A6916CC0054428A1B563C9E1D847E" ma:contentTypeVersion="3" ma:contentTypeDescription="Create a new document." ma:contentTypeScope="" ma:versionID="10ea2242063a99e91138254cb92189b8">
  <xsd:schema xmlns:xsd="http://www.w3.org/2001/XMLSchema" xmlns:xs="http://www.w3.org/2001/XMLSchema" xmlns:p="http://schemas.microsoft.com/office/2006/metadata/properties" xmlns:ns2="14615ecc-17b4-4e85-aaf4-441117114b7b" targetNamespace="http://schemas.microsoft.com/office/2006/metadata/properties" ma:root="true" ma:fieldsID="4c0fd4eb01a6732c2ccae24947f0835c" ns2:_="">
    <xsd:import namespace="14615ecc-17b4-4e85-aaf4-441117114b7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15ecc-17b4-4e85-aaf4-441117114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DB80704-BD4B-4009-9C59-603DE1CA685E}"/>
</file>

<file path=customXml/itemProps3.xml><?xml version="1.0" encoding="utf-8"?>
<ds:datastoreItem xmlns:ds="http://schemas.openxmlformats.org/officeDocument/2006/customXml" ds:itemID="{F8CF8D65-1956-43C9-82D3-02AEA76F3D6C}"/>
</file>

<file path=customXml/itemProps4.xml><?xml version="1.0" encoding="utf-8"?>
<ds:datastoreItem xmlns:ds="http://schemas.openxmlformats.org/officeDocument/2006/customXml" ds:itemID="{256A4596-4224-4DCD-8B42-B1AD18F0F29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0x010100840A6916CC0054428A1B563C9E1D847E</vt:lpwstr>
  </property>
</Properties>
</file>