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400"/>
        <w:jc w:val="center"/>
      </w:pPr>
      <w:r>
        <w:rPr>
          <w:b/>
          <w:bCs/>
          <w:color w:val="276B5D"/>
          <w:spacing w:val="8"/>
          <w:sz w:val="18"/>
          <w:szCs w:val="18"/>
        </w:rPr>
        <w:t xml:space="preserve">GRADE 4 · DIGITAL CITIZENSHIP &amp; ONLINE SAFETY</w:t>
      </w:r>
    </w:p>
    <w:p>
      <w:pPr>
        <w:spacing w:after="140"/>
        <w:jc w:val="center"/>
      </w:pPr>
      <w:r>
        <w:rPr>
          <w:rFonts w:ascii="Georgia" w:cs="Georgia" w:eastAsia="Georgia" w:hAnsi="Georgia"/>
          <w:b/>
          <w:bCs/>
          <w:color w:val="1B2B42"/>
          <w:sz w:val="66"/>
          <w:szCs w:val="66"/>
        </w:rPr>
        <w:t xml:space="preserve">CyberSWAT</w:t>
      </w:r>
    </w:p>
    <w:p>
      <w:pPr>
        <w:spacing w:after="60"/>
        <w:jc w:val="center"/>
      </w:pPr>
      <w:r>
        <w:rPr>
          <w:color w:val="1B2B42"/>
          <w:sz w:val="28"/>
          <w:szCs w:val="28"/>
        </w:rPr>
        <w:t xml:space="preserve">Good Digital Citizens</w:t>
      </w:r>
    </w:p>
    <w:p>
      <w:pPr>
        <w:spacing w:after="260"/>
        <w:jc w:val="center"/>
      </w:pPr>
      <w:r>
        <w:rPr>
          <w:i/>
          <w:iCs/>
          <w:color w:val="C9862F"/>
          <w:sz w:val="22"/>
          <w:szCs w:val="22"/>
        </w:rPr>
        <w:t xml:space="preserve">A Premium Teacher-Ready Unit</w:t>
      </w:r>
    </w:p>
    <w:p>
      <w:pPr>
        <w:pBdr>
          <w:top w:val="single" w:color="276B5D" w:sz="6"/>
          <w:bottom w:val="single" w:color="276B5D" w:sz="6"/>
        </w:pBdr>
        <w:spacing w:after="220"/>
      </w:pPr>
      <w:r>
        <w:rPr>
          <w:sz w:val="4"/>
          <w:szCs w:val="4"/>
        </w:rPr>
        <w:t xml:space="preserve"> </w:t>
      </w:r>
    </w:p>
    <w:p>
      <w:pPr>
        <w:spacing w:after="260"/>
        <w:jc w:val="center"/>
      </w:pPr>
      <w:r>
        <w:rPr>
          <w:b/>
          <w:bCs/>
          <w:color w:val="1B2B42"/>
          <w:sz w:val="19"/>
          <w:szCs w:val="19"/>
        </w:rPr>
        <w:t xml:space="preserve">Aligned to WV Senate Bill 466 (SWAT) · WV College- and Career-Readiness Standards for Technology &amp; ELA</w:t>
      </w:r>
    </w:p>
    <w:p>
      <w:pPr>
        <w:spacing w:after="60"/>
        <w:jc w:val="center"/>
      </w:pPr>
      <w:r>
        <w:rPr>
          <w:b/>
          <w:bCs/>
          <w:color w:val="276B5D"/>
          <w:sz w:val="19"/>
          <w:szCs w:val="19"/>
        </w:rPr>
        <w:t xml:space="preserve">Essential Question</w:t>
      </w:r>
    </w:p>
    <w:p>
      <w:pPr>
        <w:spacing w:after="260"/>
        <w:jc w:val="center"/>
      </w:pPr>
      <w:r>
        <w:rPr>
          <w:i/>
          <w:iCs/>
          <w:color w:val="1B2B42"/>
          <w:sz w:val="22"/>
          <w:szCs w:val="22"/>
        </w:rPr>
        <w:t xml:space="preserve">How can 4th grade students make good choices as members of an online community?</w:t>
      </w:r>
    </w:p>
    <w:p>
      <w:pPr>
        <w:spacing w:after="40"/>
        <w:jc w:val="center"/>
      </w:pPr>
      <w:r>
        <w:rPr>
          <w:color w:val="5A6B85"/>
          <w:sz w:val="17"/>
          <w:szCs w:val="17"/>
        </w:rPr>
        <w:t xml:space="preserve">Instructional Model: Bandura Social Cognitive Learning — Attention · Retention · Practice · Motivation</w:t>
      </w:r>
    </w:p>
    <w:p>
      <w:pPr>
        <w:spacing w:after="100"/>
        <w:jc w:val="center"/>
      </w:pPr>
      <w:r>
        <w:rPr>
          <w:color w:val="5A6B85"/>
          <w:sz w:val="17"/>
          <w:szCs w:val="17"/>
        </w:rPr>
        <w:t xml:space="preserve">3 Core Lessons · 4 Tabletop Exercises · Full Assessment Toolkit · Ready-to-Print Resources</w:t>
      </w:r>
    </w:p>
    <w:p>
      <w:r>
        <w:br w:type="page"/>
      </w:r>
    </w:p>
    <w:p>
      <w:pPr>
        <w:pStyle w:val="Heading1"/>
        <w:spacing w:after="140" w:before="280"/>
      </w:pPr>
      <w:r>
        <w:t xml:space="preserve">How to Use This Guide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This unit is built so any Grade 4 teacher — technology specialist or classroom generalist — can walk in and teach with confidence. Every lesson is scripted, timed, and paired with the exact printable resources you need. Nothing here requires you to be a cybersecurity expert. It requires you to facilitate discussion, model calm and correct responses, and give students room to practice.</w:t>
      </w:r>
    </w:p>
    <w:p>
      <w:pPr>
        <w:spacing w:after="60" w:before="120"/>
      </w:pPr>
      <w:r>
        <w:rPr>
          <w:b/>
          <w:bCs/>
          <w:color w:val="1B2B42"/>
          <w:sz w:val="22"/>
          <w:szCs w:val="22"/>
        </w:rPr>
        <w:t xml:space="preserve">What makes this a SWAT-compliant unit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WV Senate Bill 466 (SWAT) expects students to learn safe technology behavior the way people actually learn behavior — by watching, discussing, practicing, and reflecting, not by sitting through a slideshow. This unit is designed on Albert Bandura's social cognitive model, which the SWAT guidance emphasizes: students give attention to a modeled behavior, retain it, practice (produce) it, and are motivated to use it. Every lesson and tabletop in this guide includes a real scenario, peer discussion, a teacher- or peer-modeled response, student practice with safe language, and a written reflection.</w:t>
      </w:r>
    </w:p>
    <w:p>
      <w:pPr>
        <w:spacing w:after="60" w:before="120"/>
      </w:pPr>
      <w:r>
        <w:rPr>
          <w:b/>
          <w:bCs/>
          <w:color w:val="1B2B42"/>
          <w:sz w:val="22"/>
          <w:szCs w:val="22"/>
        </w:rPr>
        <w:t xml:space="preserve">Legend — icons used throughout</w:t>
      </w:r>
    </w:p>
    <w:tbl>
      <w:tblPr>
        <w:tblW w:type="dxa" w:w="9360"/>
        <w:tblBorders>
          <w:top w:val="single" w:color="DDD5C2" w:sz="2"/>
          <w:left w:val="single" w:color="DDD5C2" w:sz="2"/>
          <w:bottom w:val="single" w:color="DDD5C2" w:sz="2"/>
          <w:right w:val="single" w:color="DDD5C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B2B42"/>
                <w:sz w:val="20"/>
                <w:szCs w:val="20"/>
              </w:rPr>
              <w:t xml:space="preserve">PREP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What to gather or copy before class.</w:t>
            </w:r>
          </w:p>
          <w:p>
            <w:pPr>
              <w:spacing w:after="10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SAY: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Suggested teacher language you can read aloud or adapt.</w:t>
            </w:r>
          </w:p>
          <w:p>
            <w:pPr>
              <w:spacing w:after="10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DO: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A teacher move or action.</w:t>
            </w:r>
          </w:p>
          <w:p>
            <w:pPr>
              <w:spacing w:after="10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ASK: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A discussion question to pose to students.</w:t>
            </w:r>
          </w:p>
          <w:p>
            <w:pPr>
              <w:spacing w:after="1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MODEL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The safe response you demonstrate before students practice it.</w:t>
            </w:r>
          </w:p>
          <w:p>
            <w:pPr>
              <w:spacing w:after="1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DIFFERENTIATE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Supports for below-level, above-level, and multilingual learners.</w:t>
            </w:r>
          </w:p>
          <w:p>
            <w:pPr>
              <w:spacing w:after="100"/>
            </w:pPr>
            <w:r>
              <w:rPr>
                <w:b/>
                <w:bCs/>
                <w:color w:val="A8452F"/>
                <w:sz w:val="20"/>
                <w:szCs w:val="20"/>
              </w:rPr>
              <w:t xml:space="preserve">SAFETY NOTE  </w:t>
            </w:r>
            <w:r>
              <w:rPr>
                <w:b w:val="false"/>
                <w:bCs w:val="false"/>
                <w:color w:val="1B2B42"/>
                <w:sz w:val="20"/>
                <w:szCs w:val="20"/>
              </w:rPr>
              <w:t xml:space="preserve">Guidance for handling sensitive content and disclosures.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A WORD ON SENSITIVE TOPICS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Some scenarios touch on pressure, unkindness, and unsafe requests. Keep all examples fictional. Never ask students to share real personal experiences or name classmates. If a student discloses something concerning, follow your school's reporting procedure and involve your counselor or administrator. Reassure students consistently: asking for help is never "getting in trouble."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Unit Overview</w:t>
      </w:r>
    </w:p>
    <w:p>
      <w:pPr>
        <w:spacing w:after="100"/>
      </w:pPr>
      <w:r>
        <w:rPr>
          <w:b/>
          <w:bCs/>
          <w:color w:val="276B5D"/>
          <w:sz w:val="22"/>
          <w:szCs w:val="22"/>
        </w:rPr>
        <w:t xml:space="preserve">Grade level:  </w:t>
      </w:r>
      <w:r>
        <w:rPr>
          <w:color w:val="1B2B42"/>
          <w:sz w:val="22"/>
          <w:szCs w:val="22"/>
        </w:rPr>
        <w:t xml:space="preserve">Grade 4</w:t>
      </w:r>
    </w:p>
    <w:p>
      <w:pPr>
        <w:spacing w:after="100"/>
      </w:pPr>
      <w:r>
        <w:rPr>
          <w:b/>
          <w:bCs/>
          <w:color w:val="276B5D"/>
          <w:sz w:val="22"/>
          <w:szCs w:val="22"/>
        </w:rPr>
        <w:t xml:space="preserve">Subject:  </w:t>
      </w:r>
      <w:r>
        <w:rPr>
          <w:color w:val="1B2B42"/>
          <w:sz w:val="22"/>
          <w:szCs w:val="22"/>
        </w:rPr>
        <w:t xml:space="preserve">Technology / Digital Citizenship (integrates ELA speaking, listening, reading, and writing)</w:t>
      </w:r>
    </w:p>
    <w:p>
      <w:pPr>
        <w:spacing w:after="100"/>
      </w:pPr>
      <w:r>
        <w:rPr>
          <w:b/>
          <w:bCs/>
          <w:color w:val="276B5D"/>
          <w:sz w:val="22"/>
          <w:szCs w:val="22"/>
        </w:rPr>
        <w:t xml:space="preserve">Total unit length:  </w:t>
      </w:r>
      <w:r>
        <w:rPr>
          <w:color w:val="1B2B42"/>
          <w:sz w:val="22"/>
          <w:szCs w:val="22"/>
        </w:rPr>
        <w:t xml:space="preserve">3 core lessons (35–40 min each) + 4 tabletop exercises (10–15 min each). Delivers in 3–5 class periods depending on extensions.</w:t>
      </w:r>
    </w:p>
    <w:p>
      <w:pPr>
        <w:spacing w:after="220"/>
      </w:pPr>
      <w:r>
        <w:rPr>
          <w:b/>
          <w:bCs/>
          <w:color w:val="276B5D"/>
          <w:sz w:val="22"/>
          <w:szCs w:val="22"/>
        </w:rPr>
        <w:t xml:space="preserve">Compliance anchor:  </w:t>
      </w:r>
      <w:r>
        <w:rPr>
          <w:color w:val="1B2B42"/>
          <w:sz w:val="22"/>
          <w:szCs w:val="22"/>
        </w:rPr>
        <w:t xml:space="preserve">WV SB 466 (SWAT) — safe web and technology instruction using observational/peer-modeling delivery.</w:t>
      </w:r>
    </w:p>
    <w:p>
      <w:pPr>
        <w:spacing w:after="60"/>
      </w:pPr>
      <w:r>
        <w:rPr>
          <w:b/>
          <w:bCs/>
          <w:color w:val="1B2B42"/>
          <w:sz w:val="22"/>
          <w:szCs w:val="22"/>
        </w:rPr>
        <w:t xml:space="preserve">What students will be able to do by the end of the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Build and explain what makes a password strong.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Apply good netiquette in online messages and class chats.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Identify signs that online information might not be trustworthy.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Know to check with a trusted adult before believing or sharing something online.</w:t>
      </w:r>
    </w:p>
    <w:p>
      <w:pPr>
        <w:spacing w:after="60" w:before="160"/>
      </w:pPr>
      <w:r>
        <w:rPr>
          <w:b/>
          <w:bCs/>
          <w:color w:val="1B2B42"/>
          <w:sz w:val="22"/>
          <w:szCs w:val="22"/>
        </w:rPr>
        <w:t xml:space="preserve">Enduring understandings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Strong passwords protect more than just a game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The same manners that matter in person matter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Not everything online is true — it's smart to check.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Standards at a Glance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This map shows where each WV Technology &amp; Computer Science standard and ELA strand is addressed. Full standard language appears within each lesson.</w:t>
      </w:r>
    </w:p>
    <w:p>
      <w:pPr>
        <w:spacing w:after="60" w:before="100"/>
      </w:pPr>
      <w:r>
        <w:rPr>
          <w:b/>
          <w:bCs/>
          <w:color w:val="1B2B42"/>
          <w:sz w:val="22"/>
          <w:szCs w:val="22"/>
        </w:rPr>
        <w:t xml:space="preserve">WV Technology &amp; Computer Science (Grades 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416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60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addressed</w:t>
            </w:r>
          </w:p>
        </w:tc>
      </w:tr>
      <w:tr>
        <w:tc>
          <w:tcPr>
            <w:tcW w:type="dxa" w:w="16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T.3-5.5</w:t>
            </w:r>
          </w:p>
        </w:tc>
        <w:tc>
          <w:tcPr>
            <w:tcW w:type="dxa" w:w="416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Responsible, safe technology use</w:t>
            </w:r>
          </w:p>
        </w:tc>
        <w:tc>
          <w:tcPr>
            <w:tcW w:type="dxa" w:w="36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Lesson 1 · Tabletop 1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T.3-5.9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Protecting personal data &amp; passwords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Lesson 1 · Tabletop 1</w:t>
            </w:r>
          </w:p>
        </w:tc>
      </w:tr>
      <w:tr>
        <w:tc>
          <w:tcPr>
            <w:tcW w:type="dxa" w:w="16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T.3-5.6</w:t>
            </w:r>
          </w:p>
        </w:tc>
        <w:tc>
          <w:tcPr>
            <w:tcW w:type="dxa" w:w="416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Safe, legal &amp; ethical online behavior</w:t>
            </w:r>
          </w:p>
        </w:tc>
        <w:tc>
          <w:tcPr>
            <w:tcW w:type="dxa" w:w="36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Lesson 2 · Tabletop 4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T.3-5.3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Evaluating digital sources for accuracy &amp; credibility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Lesson 3 · Tabletops 2 &amp; 3</w:t>
            </w:r>
          </w:p>
        </w:tc>
      </w:tr>
      <w:tr>
        <w:tc>
          <w:tcPr>
            <w:tcW w:type="dxa" w:w="16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CS.3-5.8</w:t>
            </w:r>
          </w:p>
        </w:tc>
        <w:tc>
          <w:tcPr>
            <w:tcW w:type="dxa" w:w="416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Analyze &amp; communicate data to support or refute a claim</w:t>
            </w:r>
          </w:p>
        </w:tc>
        <w:tc>
          <w:tcPr>
            <w:tcW w:type="dxa" w:w="36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Lesson 3 · Tabletop 3</w:t>
            </w:r>
          </w:p>
        </w:tc>
      </w:tr>
    </w:tbl>
    <w:p>
      <w:pPr>
        <w:spacing w:before="100"/>
      </w:pPr>
      <w:r>
        <w:rPr>
          <w:i/>
          <w:iCs/>
          <w:color w:val="5A6B85"/>
          <w:sz w:val="16"/>
          <w:szCs w:val="16"/>
        </w:rPr>
        <w:t xml:space="preserve">Source: WV Board of Education Policy 2520.14, West Virginia College- and Career-Readiness Standards for Technology and Computer Science, Grades 3–5.</w:t>
      </w:r>
    </w:p>
    <w:p>
      <w:pPr>
        <w:spacing w:after="60" w:before="220"/>
      </w:pPr>
      <w:r>
        <w:rPr>
          <w:b/>
          <w:bCs/>
          <w:color w:val="1B2B42"/>
          <w:sz w:val="22"/>
          <w:szCs w:val="22"/>
        </w:rPr>
        <w:t xml:space="preserve">WV ELA (Grade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Strand</w:t>
            </w:r>
          </w:p>
        </w:tc>
        <w:tc>
          <w:tcPr>
            <w:tcW w:type="dxa" w:w="616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Application in this unit</w:t>
            </w:r>
          </w:p>
        </w:tc>
      </w:tr>
      <w:tr>
        <w:tc>
          <w:tcPr>
            <w:tcW w:type="dxa" w:w="32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Speaking &amp; Listening</w:t>
            </w:r>
          </w:p>
        </w:tc>
        <w:tc>
          <w:tcPr>
            <w:tcW w:type="dxa" w:w="616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Building a class netiquette agreement through structured discussion.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Reading Informational Text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Evaluating sample messages and claims for trustworthiness.</w:t>
            </w:r>
          </w:p>
        </w:tc>
      </w:tr>
      <w:tr>
        <w:tc>
          <w:tcPr>
            <w:tcW w:type="dxa" w:w="320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Writing</w:t>
            </w:r>
          </w:p>
        </w:tc>
        <w:tc>
          <w:tcPr>
            <w:tcW w:type="dxa" w:w="616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Rewriting an unkind message; completing the Password Power-Up worksheet.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Suggested Scope &amp; Sequence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 recommended path is below. Mix and match to fit your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560"/>
        <w:gridCol w:w="1200"/>
      </w:tblGrid>
      <w:tr>
        <w:tc>
          <w:tcPr>
            <w:tcW w:type="dxa" w:w="1400"/>
            <w:shd w:fill="1B2B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shd w:fill="1B2B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shd w:fill="1B2B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200"/>
            <w:shd w:fill="1B2B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Approx. time</w:t>
            </w:r>
          </w:p>
        </w:tc>
      </w:tr>
      <w:tr>
        <w:tc>
          <w:tcPr>
            <w:tcW w:type="dxa" w:w="14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Day 1</w:t>
            </w:r>
          </w:p>
        </w:tc>
        <w:tc>
          <w:tcPr>
            <w:tcW w:type="dxa" w:w="22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Lesson 1</w:t>
            </w:r>
          </w:p>
        </w:tc>
        <w:tc>
          <w:tcPr>
            <w:tcW w:type="dxa" w:w="456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Building strong passwords</w:t>
            </w:r>
          </w:p>
        </w:tc>
        <w:tc>
          <w:tcPr>
            <w:tcW w:type="dxa" w:w="12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35–40 min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Day 2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Tabletops 1 &amp; 2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The Shared Tablet + The Chain Message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20–25 min</w:t>
            </w:r>
          </w:p>
        </w:tc>
      </w:tr>
      <w:tr>
        <w:tc>
          <w:tcPr>
            <w:tcW w:type="dxa" w:w="14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Day 3</w:t>
            </w:r>
          </w:p>
        </w:tc>
        <w:tc>
          <w:tcPr>
            <w:tcW w:type="dxa" w:w="22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Lesson 2</w:t>
            </w:r>
          </w:p>
        </w:tc>
        <w:tc>
          <w:tcPr>
            <w:tcW w:type="dxa" w:w="456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Digital manners &amp; netiquette</w:t>
            </w:r>
          </w:p>
        </w:tc>
        <w:tc>
          <w:tcPr>
            <w:tcW w:type="dxa" w:w="12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35–40 min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Day 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Lesson 3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Spotting trustworthy information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35–40 min</w:t>
            </w:r>
          </w:p>
        </w:tc>
      </w:tr>
      <w:tr>
        <w:tc>
          <w:tcPr>
            <w:tcW w:type="dxa" w:w="14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Tabletops 3 &amp; 4</w:t>
            </w:r>
          </w:p>
        </w:tc>
        <w:tc>
          <w:tcPr>
            <w:tcW w:type="dxa" w:w="456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The Too-Good-To-Be-True Prize + The Group Project Chat</w:t>
            </w:r>
          </w:p>
        </w:tc>
        <w:tc>
          <w:tcPr>
            <w:tcW w:type="dxa" w:w="1200"/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B42"/>
                <w:sz w:val="18"/>
                <w:szCs w:val="18"/>
              </w:rPr>
              <w:t xml:space="preserve">20–25 min</w:t>
            </w:r>
          </w:p>
        </w:tc>
      </w:tr>
    </w:tbl>
    <w:p>
      <w:pPr>
        <w:spacing w:before="220"/>
      </w:pP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One-time prep for the whole unit</w:t>
            </w:r>
          </w:p>
          <w:p>
            <w:pPr>
              <w:spacing w:after="7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•  </w:t>
            </w:r>
            <w:r>
              <w:rPr>
                <w:color w:val="1B2B42"/>
                <w:sz w:val="20"/>
                <w:szCs w:val="20"/>
              </w:rPr>
              <w:t xml:space="preserve">Print the password sorting cards once; store in a labeled folder for reuse.</w:t>
            </w:r>
          </w:p>
          <w:p>
            <w:pPr>
              <w:spacing w:after="7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•  </w:t>
            </w:r>
            <w:r>
              <w:rPr>
                <w:color w:val="1B2B42"/>
                <w:sz w:val="20"/>
                <w:szCs w:val="20"/>
              </w:rPr>
              <w:t xml:space="preserve">Post blank chart paper for the class Netiquette Agreement you'll build together.</w:t>
            </w:r>
          </w:p>
          <w:p>
            <w:pPr>
              <w:spacing w:after="7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•  </w:t>
            </w:r>
            <w:r>
              <w:rPr>
                <w:color w:val="1B2B42"/>
                <w:sz w:val="20"/>
                <w:szCs w:val="20"/>
              </w:rPr>
              <w:t xml:space="preserve">Write your school's trusted-adult and reporting options on the board.</w:t>
            </w:r>
          </w:p>
          <w:p>
            <w:pPr>
              <w:spacing w:after="70"/>
            </w:pPr>
            <w:r>
              <w:rPr>
                <w:b/>
                <w:bCs/>
                <w:color w:val="276B5D"/>
                <w:sz w:val="20"/>
                <w:szCs w:val="20"/>
              </w:rPr>
              <w:t xml:space="preserve">•  </w:t>
            </w:r>
            <w:r>
              <w:rPr>
                <w:color w:val="1B2B42"/>
                <w:sz w:val="20"/>
                <w:szCs w:val="20"/>
              </w:rPr>
              <w:t xml:space="preserve">Decide your grouping strategy (groups of 3–4 work well for sorting activities).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Unit Vocabulary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Terms are introduced in context within each lesson. This master list is provided for a word wall or student glossary.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20"/>
            <w:shd w:fill="1B2B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Student-friendly meaning</w:t>
            </w:r>
          </w:p>
        </w:tc>
      </w:tr>
      <w:tr>
        <w:tc>
          <w:tcPr>
            <w:tcW w:type="dxa" w:w="234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Password</w:t>
            </w:r>
          </w:p>
        </w:tc>
        <w:tc>
          <w:tcPr>
            <w:tcW w:type="dxa" w:w="702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A secret code that protects your account.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Netiquette</w:t>
            </w:r>
          </w:p>
        </w:tc>
        <w:tc>
          <w:tcPr>
            <w:tcW w:type="dxa" w:w="70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Manners for the internet.</w:t>
            </w:r>
          </w:p>
        </w:tc>
      </w:tr>
      <w:tr>
        <w:tc>
          <w:tcPr>
            <w:tcW w:type="dxa" w:w="234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Scam</w:t>
            </w:r>
          </w:p>
        </w:tc>
        <w:tc>
          <w:tcPr>
            <w:tcW w:type="dxa" w:w="702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A trick designed to steal information or money.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Trustworthy</w:t>
            </w:r>
          </w:p>
        </w:tc>
        <w:tc>
          <w:tcPr>
            <w:tcW w:type="dxa" w:w="70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Able to be believed or relied on.</w:t>
            </w:r>
          </w:p>
        </w:tc>
      </w:tr>
      <w:tr>
        <w:tc>
          <w:tcPr>
            <w:tcW w:type="dxa" w:w="234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Forward</w:t>
            </w:r>
          </w:p>
        </w:tc>
        <w:tc>
          <w:tcPr>
            <w:tcW w:type="dxa" w:w="702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To send a message on to someone else.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Chain message</w:t>
            </w:r>
          </w:p>
        </w:tc>
        <w:tc>
          <w:tcPr>
            <w:tcW w:type="dxa" w:w="70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A message that asks you to send it to many others.</w:t>
            </w:r>
          </w:p>
        </w:tc>
      </w:tr>
      <w:tr>
        <w:tc>
          <w:tcPr>
            <w:tcW w:type="dxa" w:w="234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Credible</w:t>
            </w:r>
          </w:p>
        </w:tc>
        <w:tc>
          <w:tcPr>
            <w:tcW w:type="dxa" w:w="7020"/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Believable, based on facts.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Verify</w:t>
            </w:r>
          </w:p>
        </w:tc>
        <w:tc>
          <w:tcPr>
            <w:tcW w:type="dxa" w:w="70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B2B42"/>
                <w:sz w:val="19"/>
                <w:szCs w:val="19"/>
              </w:rPr>
              <w:t xml:space="preserve">To check whether something is true before acting on it.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Signature Frameworks &amp; SWAT Topics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SIGNATURE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Think Before You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Password Power-Up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Trusted vs. Untrusted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SWAT-ALIGNED 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Safe and responsible use of social media, messaging, and online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Risks of sharing personal information and importance of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Recognizing, avoiding, and reporting online scams</w:t>
      </w:r>
    </w:p>
    <w:p>
      <w:r>
        <w:br w:type="page"/>
      </w:r>
    </w:p>
    <w:p>
      <w:pPr>
        <w:pStyle w:val="Heading1"/>
        <w:spacing w:after="140" w:before="280"/>
      </w:pPr>
      <w:r>
        <w:t xml:space="preserve">Before You Teach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Print the tabletop scenario cards once; store in a labeled folder for reuse.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Post the essential question where students can see it all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Write your school's reporting pathway on the board (counselor, front office, or reporting tool).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Group students in pairs or small groups of 3-4 for discussion and role-play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Each lesson runs independently — teach in any order, or spread across a week.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Lessons</w:t>
      </w:r>
    </w:p>
    <w:p>
      <w:pPr>
        <w:pStyle w:val="Heading2"/>
        <w:spacing w:after="140" w:before="280"/>
      </w:pPr>
      <w:r>
        <w:t xml:space="preserve">Lesson 1: Building Strong Passwords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35–40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describe what makes a password strong and explain why passwords should be kept secret.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"Password Strength" sorting cards (weak vs. strong examples)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Password Power-Up worksheet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"Why do you think we use passwords at all? What are they protecting?"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Show 4-5 example passwords (e.g., "password123", "Tk9!mPz2"). As a class, sort them from weakest to strongest.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3 rules of a strong password: long, uses a mix of letters/numbers/symbols, and is never something easy to guess like a birthday or pet's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Discuss: a password is like a house key — you wouldn't hand your key to just anyone, and you wouldn't leave it under the doormat.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 keep my password secret, even from friends."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Students complete the Password Power-Up worksheet, practicing building one strong (practice) password.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 keep my password secret, even from friends."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Turn and talk: share one reason a strong password matters with a partner.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Lesson 2: Digital Manners &amp; Netiquette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35–40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apply the same manners they use in person to online messages and class chats.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Sample class-chat transcript (printed)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"Netiquette" class agreement poster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"What are some manners we use when we talk to someone face-to-face?"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Read the sample class-chat transcript aloud. Identify moments where someone used good manners and moments where someone didn't.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"netiquette" — manners for the internet. Typing in all caps can look like yelling; forwarding a private message without asking is unkind; jokes can be misread without a friendly tone of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 write online the way I'd want someone to write to 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As a class, build a "Netiquette Agreement" poster with 4-5 rules students choose themselves.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Practice rewriting one unkind chat message from the transcript into a kind one.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 write online the way I'd want someone to write to me."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Each student signs the class Netiquette Agreement poster.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Lesson 3: Spotting Trustworthy Information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35–40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identify signs that online information might not be trustworthy and know to check with an adult.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Two sample "claims" printed on cards — one obviously false, one that requires checking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Chart paper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"Have you ever read or heard something online that turned out not to be true? How did you find out?"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Show the two sample claim cards. Ask: how could we find out if each one is true?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simple trust checks for 4th graders: Does it seem too surprising to be true? Is it from a source you recognize? Could a grown-up help you check?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"I'll check with an adult before I believe or share this."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 small groups, students sort 4-5 more claim cards into "Trust it," "Check it," or "Probably not true."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Discuss as a class why it matters to check before sharing something with friends or family.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"I'll check with an adult before I believe or share this."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Exit ticket: write one question you could ask before believing something you read online.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Tabletop Exercises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Read each scenario aloud (or have students read in pairs), then work through the discussion questions as a class, in small groups, or as a quick-write.</w:t>
      </w:r>
    </w:p>
    <w:p>
      <w:pPr>
        <w:pStyle w:val="Heading2"/>
        <w:spacing w:after="140" w:before="280"/>
      </w:pPr>
      <w:r>
        <w:t xml:space="preserve">Tabletop 1: The Shared Tablet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Two students share a classroom tablet. One student is still logged into their account when the other student sits down to use it next.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should the first student have done before handing over the tablet?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should the second student do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Why does it matter to log out of shared devices?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2: The Chain Message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 gets a message that says, "Send this to 10 friends or something bad will happen!" The student is scared and wants to forward it right away.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Is this message likely to be true? How can you tell?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should the student do instead of forwarding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Who could the student show the message to?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3: The Too-Good-To-Be-True Prize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An ad pops up saying, "You are the 100th visitor! Enter your name and address to win a new bike!"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Why might this ad not be telling the truth?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is the ad really trying to get the student to 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should the student do with this pop-up?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4: The Group Project Chat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In a group chat for a class project, one student keeps sending jokes and off-topic messages instead of working.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How might this make the other group members feel?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netiquette rule is being broken?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a group member say to get the chat back on track?</w:t>
      </w:r>
    </w:p>
    <w:p>
      <w:r>
        <w:br w:type="page"/>
      </w:r>
    </w:p>
    <w:p>
      <w:pPr>
        <w:pStyle w:val="Heading1"/>
        <w:spacing w:after="140" w:before="280"/>
      </w:pPr>
      <w:r>
        <w:t xml:space="preserve">Quick Assessment / Reflection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Use as an exit ticket, quiz, or discussion prompt set — whichever fits your classroom.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1. </w:t>
      </w:r>
      <w:r>
        <w:rPr>
          <w:color w:val="1B2B42"/>
          <w:sz w:val="22"/>
          <w:szCs w:val="22"/>
        </w:rPr>
        <w:t xml:space="preserve">List two things that make a password strong.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2. </w:t>
      </w:r>
      <w:r>
        <w:rPr>
          <w:color w:val="1B2B42"/>
          <w:sz w:val="22"/>
          <w:szCs w:val="22"/>
        </w:rPr>
        <w:t xml:space="preserve">Why should you keep your password secret, even from friends?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3. </w:t>
      </w:r>
      <w:r>
        <w:rPr>
          <w:color w:val="1B2B42"/>
          <w:sz w:val="22"/>
          <w:szCs w:val="22"/>
        </w:rPr>
        <w:t xml:space="preserve">Rewrite this message using good netiquette: "UR PROJECT IS SO BAD lol"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4. </w:t>
      </w:r>
      <w:r>
        <w:rPr>
          <w:color w:val="1B2B42"/>
          <w:sz w:val="22"/>
          <w:szCs w:val="22"/>
        </w:rPr>
        <w:t xml:space="preserve">Name one question you can ask yourself to check if information online is trustworthy.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5. </w:t>
      </w:r>
      <w:r>
        <w:rPr>
          <w:color w:val="1B2B42"/>
          <w:sz w:val="22"/>
          <w:szCs w:val="22"/>
        </w:rPr>
        <w:t xml:space="preserve">What should you do if a message asks you to forward it to 10 friends or something bad will happen?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Printable Materials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Everything referenced in the lessons above — print, copy, or project directly from this section.</w:t>
      </w:r>
    </w:p>
    <w:p>
      <w:pPr>
        <w:pStyle w:val="Heading2"/>
        <w:spacing w:after="140" w:before="280"/>
      </w:pPr>
      <w:r>
        <w:t xml:space="preserve">"Password Strength" — Sorting Cards</w:t>
      </w:r>
    </w:p>
    <w:p>
      <w:pPr>
        <w:spacing w:after="60"/>
      </w:pPr>
      <w:r>
        <w:rPr>
          <w:i/>
          <w:iCs/>
          <w:color w:val="5A6B85"/>
          <w:sz w:val="19"/>
          <w:szCs w:val="19"/>
        </w:rPr>
        <w:t xml:space="preserve">Lesson 1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Cut apart and sort from weakest to strongest as a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password123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12345</w:t>
            </w:r>
          </w:p>
        </w:tc>
      </w:tr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iloveyou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myname2015</w:t>
            </w:r>
          </w:p>
        </w:tc>
      </w:tr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sunshine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Tk9!mPz2r</w:t>
            </w:r>
          </w:p>
        </w:tc>
      </w:tr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Xk7$qLp9!Zw2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Bl6#Nf3@Qs8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Password Power-Up Worksheet</w:t>
      </w:r>
    </w:p>
    <w:p>
      <w:pPr>
        <w:spacing w:after="60"/>
      </w:pPr>
      <w:r>
        <w:rPr>
          <w:i/>
          <w:iCs/>
          <w:color w:val="5A6B85"/>
          <w:sz w:val="19"/>
          <w:szCs w:val="19"/>
        </w:rPr>
        <w:t xml:space="preserve">Lesson 1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Build one strong PRACTICE password — never write down or share a real password. Check each box as you go.</w:t>
      </w:r>
    </w:p>
    <w:p>
      <w:pPr>
        <w:spacing w:after="140"/>
      </w:pPr>
      <w:r>
        <w:rPr>
          <w:color w:val="276B5D"/>
          <w:sz w:val="24"/>
          <w:szCs w:val="24"/>
        </w:rPr>
        <w:t xml:space="preserve">☐ </w:t>
      </w:r>
      <w:r>
        <w:rPr>
          <w:color w:val="1B2B42"/>
          <w:sz w:val="22"/>
          <w:szCs w:val="22"/>
        </w:rPr>
        <w:t xml:space="preserve">It is at least 8 characters long</w:t>
      </w:r>
    </w:p>
    <w:p>
      <w:pPr>
        <w:spacing w:after="140"/>
      </w:pPr>
      <w:r>
        <w:rPr>
          <w:color w:val="276B5D"/>
          <w:sz w:val="24"/>
          <w:szCs w:val="24"/>
        </w:rPr>
        <w:t xml:space="preserve">☐ </w:t>
      </w:r>
      <w:r>
        <w:rPr>
          <w:color w:val="1B2B42"/>
          <w:sz w:val="22"/>
          <w:szCs w:val="22"/>
        </w:rPr>
        <w:t xml:space="preserve">It uses a mix of letters, numbers, and symbols</w:t>
      </w:r>
    </w:p>
    <w:p>
      <w:pPr>
        <w:spacing w:after="140"/>
      </w:pPr>
      <w:r>
        <w:rPr>
          <w:color w:val="276B5D"/>
          <w:sz w:val="24"/>
          <w:szCs w:val="24"/>
        </w:rPr>
        <w:t xml:space="preserve">☐ </w:t>
      </w:r>
      <w:r>
        <w:rPr>
          <w:color w:val="1B2B42"/>
          <w:sz w:val="22"/>
          <w:szCs w:val="22"/>
        </w:rPr>
        <w:t xml:space="preserve">It is NOT a real word, name, or birthday</w:t>
      </w:r>
    </w:p>
    <w:p>
      <w:pPr>
        <w:spacing w:after="140"/>
      </w:pPr>
      <w:r>
        <w:rPr>
          <w:color w:val="276B5D"/>
          <w:sz w:val="24"/>
          <w:szCs w:val="24"/>
        </w:rPr>
        <w:t xml:space="preserve">☐ </w:t>
      </w:r>
      <w:r>
        <w:rPr>
          <w:color w:val="1B2B42"/>
          <w:sz w:val="22"/>
          <w:szCs w:val="22"/>
        </w:rPr>
        <w:t xml:space="preserve">I would never share it, even with a friend</w:t>
      </w:r>
    </w:p>
    <w:p>
      <w:pPr>
        <w:spacing w:before="200"/>
      </w:pPr>
      <w:r>
        <w:rPr>
          <w:color w:val="1B2B42"/>
          <w:sz w:val="22"/>
          <w:szCs w:val="22"/>
        </w:rPr>
        <w:t xml:space="preserve">My practice password: ________________________________</w:t>
      </w:r>
    </w:p>
    <w:p>
      <w:r>
        <w:br w:type="page"/>
      </w:r>
    </w:p>
    <w:p>
      <w:pPr>
        <w:pStyle w:val="Heading2"/>
        <w:spacing w:after="140" w:before="280"/>
      </w:pPr>
      <w:r>
        <w:t xml:space="preserve">Our Netiquette Agreement</w:t>
      </w:r>
    </w:p>
    <w:p>
      <w:pPr>
        <w:spacing w:after="60"/>
      </w:pPr>
      <w:r>
        <w:rPr>
          <w:i/>
          <w:iCs/>
          <w:color w:val="5A6B85"/>
          <w:sz w:val="19"/>
          <w:szCs w:val="19"/>
        </w:rPr>
        <w:t xml:space="preserve">Lesson 2 — class poster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 a class, fill in 5 rules for kind, respectful online communication, then have every student sign below.</w:t>
      </w:r>
    </w:p>
    <w:tbl>
      <w:tblPr>
        <w:tblW w:type="dxa" w:w="9360"/>
        <w:tblBorders>
          <w:top w:val="single" w:color="C9862F" w:sz="4"/>
          <w:left w:val="single" w:color="C9862F" w:sz="4"/>
          <w:bottom w:val="single" w:color="C9862F" w:sz="4"/>
          <w:right w:val="single" w:color="C9862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1. ________________________________________________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2. ________________________________________________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3. ________________________________________________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4. ________________________________________________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5. ________________________________________________</w:t>
            </w:r>
          </w:p>
        </w:tc>
      </w:tr>
    </w:tbl>
    <w:p>
      <w:r>
        <w:br w:type="page"/>
      </w:r>
    </w:p>
    <w:p>
      <w:pPr>
        <w:pBdr>
          <w:top w:val="single" w:color="DDD5C2" w:sz="4"/>
        </w:pBdr>
        <w:spacing w:before="400"/>
      </w:pPr>
      <w:r>
        <w:rPr>
          <w:i/>
          <w:iCs/>
          <w:color w:val="5A6B85"/>
          <w:sz w:val="18"/>
          <w:szCs w:val="18"/>
        </w:rPr>
        <w:t xml:space="preserve">Fictional scenarios only. Keeps students' real experiences private. Report concerns to a trusted adult.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color w:val="1B2B4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Georgia" w:cs="Georgia" w:eastAsia="Georgia" w:hAnsi="Georgia"/>
      <w:b/>
      <w:bCs/>
      <w:color w:val="1B2B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2026-08-21T12:53:11.483Z</dcterms:created>
  <dcterms:modified xsi:type="dcterms:W3CDTF">2026-08-21T12:53:11.483Z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