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Detecting Machine-Generated Text</w:t>
      </w:r>
    </w:p>
    <w:p>
      <w:pPr>
        <w:jc w:val="center"/>
      </w:pPr>
      <w:r>
        <w:rPr>
          <w:i/>
        </w:rPr>
        <w:t>50.007 Machine Learning, COLING 2026 GenAI Content Detection</w:t>
        <w:br/>
        <w:t>Task 4 report: the method, in the order we followed it</w:t>
      </w:r>
    </w:p>
    <w:p>
      <w:pPr>
        <w:jc w:val="center"/>
      </w:pPr>
      <w:r>
        <w:t>Cliffton, Brian, Jovyan, Koko, Vincent</w:t>
      </w:r>
    </w:p>
    <w:p>
      <w:r>
        <w:rPr>
          <w:b/>
          <w:color w:val="C00000"/>
        </w:rPr>
        <w:t>[TODO: registered Kaggle team name, which is how Task 3 marks are awarded]</w:t>
      </w:r>
    </w:p>
    <w:p>
      <w:pPr>
        <w:pStyle w:val="Heading1"/>
      </w:pPr>
      <w:r>
        <w:t>1. Summary</w:t>
      </w:r>
    </w:p>
    <w:p>
      <w:r>
        <w:rPr>
          <w:b w:val="0"/>
          <w:i w:val="0"/>
        </w:rPr>
        <w:t>Our best submission scores 0.80143 Macro F1 on the public leaderboard. It is a LightGBM classifier trained on 40,385 features built from the raw text, and its scores are turned into labels by thresholding the two visibly different populations in the test file separately rather than applying one global cut.</w:t>
      </w:r>
    </w:p>
    <w:p>
      <w:r>
        <w:rPr>
          <w:b w:val="0"/>
          <w:i w:val="0"/>
        </w:rPr>
        <w:t>This report is organised as a method rather than as a list of results. We worked through nine phases in order, and each one is written the same way: the options that were open to us at that point, the pros and cons of each, what we chose, and the tradeoff we knowingly accepted. Sections 2 to 10 are those nine phases and together they answer the brief's roadmap question. Section 11 gathers the final model in one place, section 12 covers the difficulties, section 13 what we learned beyond the course, and section 14 the limitations we did not resolve.</w:t>
      </w:r>
    </w:p>
    <w:p>
      <w:r>
        <w:rPr>
          <w:b w:val="0"/>
          <w:i w:val="0"/>
        </w:rPr>
        <w:t>Our first submission, a tuned LightGBM on the supplied features with the default 0.5 probability cut, scored 0.65738. The journey from there to 0.80143 is +0.14405, and it divides unevenly in a way we did not anticipate.</w:t>
      </w:r>
    </w:p>
    <w:tbl>
      <w:tblPr>
        <w:tblStyle w:val="LightGrid-Accent1"/>
        <w:tblW w:type="auto" w:w="0"/>
        <w:tblLook w:firstColumn="1" w:firstRow="1" w:lastColumn="0" w:lastRow="0" w:noHBand="0" w:noVBand="1" w:val="04A0"/>
      </w:tblPr>
      <w:tblGrid>
        <w:gridCol w:w="2880"/>
        <w:gridCol w:w="2880"/>
        <w:gridCol w:w="2880"/>
      </w:tblGrid>
      <w:tr>
        <w:tc>
          <w:tcPr>
            <w:tcW w:type="dxa" w:w="4608"/>
          </w:tcPr>
          <w:p>
            <w:r>
              <w:rPr>
                <w:b/>
              </w:rPr>
              <w:t>Change</w:t>
            </w:r>
          </w:p>
        </w:tc>
        <w:tc>
          <w:tcPr>
            <w:tcW w:type="dxa" w:w="1152"/>
          </w:tcPr>
          <w:p>
            <w:r>
              <w:rPr>
                <w:b/>
              </w:rPr>
              <w:t>Phase</w:t>
            </w:r>
          </w:p>
        </w:tc>
        <w:tc>
          <w:tcPr>
            <w:tcW w:type="dxa" w:w="3024"/>
          </w:tcPr>
          <w:p>
            <w:r>
              <w:rPr>
                <w:b/>
              </w:rPr>
              <w:t>Gain on the public leaderboard</w:t>
            </w:r>
          </w:p>
        </w:tc>
      </w:tr>
      <w:tr>
        <w:tc>
          <w:tcPr>
            <w:tcW w:type="dxa" w:w="4608"/>
          </w:tcPr>
          <w:p>
            <w:r>
              <w:t>Move off the default cut to a global predicted share</w:t>
            </w:r>
          </w:p>
        </w:tc>
        <w:tc>
          <w:tcPr>
            <w:tcW w:type="dxa" w:w="1152"/>
          </w:tcPr>
          <w:p>
            <w:r>
              <w:t>7</w:t>
            </w:r>
          </w:p>
        </w:tc>
        <w:tc>
          <w:tcPr>
            <w:tcW w:type="dxa" w:w="3024"/>
          </w:tcPr>
          <w:p>
            <w:r>
              <w:t>+0.07845</w:t>
            </w:r>
          </w:p>
        </w:tc>
      </w:tr>
      <w:tr>
        <w:tc>
          <w:tcPr>
            <w:tcW w:type="dxa" w:w="4608"/>
          </w:tcPr>
          <w:p>
            <w:r>
              <w:t>Rebuild the representation from raw text</w:t>
            </w:r>
          </w:p>
        </w:tc>
        <w:tc>
          <w:tcPr>
            <w:tcW w:type="dxa" w:w="1152"/>
          </w:tcPr>
          <w:p>
            <w:r>
              <w:t>8</w:t>
            </w:r>
          </w:p>
        </w:tc>
        <w:tc>
          <w:tcPr>
            <w:tcW w:type="dxa" w:w="3024"/>
          </w:tcPr>
          <w:p>
            <w:r>
              <w:t>+0.04359</w:t>
            </w:r>
          </w:p>
        </w:tc>
      </w:tr>
      <w:tr>
        <w:tc>
          <w:tcPr>
            <w:tcW w:type="dxa" w:w="4608"/>
          </w:tcPr>
          <w:p>
            <w:r>
              <w:t>Threshold the two test populations separately</w:t>
            </w:r>
          </w:p>
        </w:tc>
        <w:tc>
          <w:tcPr>
            <w:tcW w:type="dxa" w:w="1152"/>
          </w:tcPr>
          <w:p>
            <w:r>
              <w:t>9</w:t>
            </w:r>
          </w:p>
        </w:tc>
        <w:tc>
          <w:tcPr>
            <w:tcW w:type="dxa" w:w="3024"/>
          </w:tcPr>
          <w:p>
            <w:r>
              <w:t>+0.02201</w:t>
            </w:r>
          </w:p>
        </w:tc>
      </w:tr>
      <w:tr>
        <w:tc>
          <w:tcPr>
            <w:tcW w:type="dxa" w:w="4608"/>
          </w:tcPr>
          <w:p>
            <w:r>
              <w:t>Ensembling six models with four combiner families</w:t>
            </w:r>
          </w:p>
        </w:tc>
        <w:tc>
          <w:tcPr>
            <w:tcW w:type="dxa" w:w="1152"/>
          </w:tcPr>
          <w:p>
            <w:r>
              <w:t>6</w:t>
            </w:r>
          </w:p>
        </w:tc>
        <w:tc>
          <w:tcPr>
            <w:tcW w:type="dxa" w:w="3024"/>
          </w:tcPr>
          <w:p>
            <w:r>
              <w:t>+0.00171</w:t>
            </w:r>
          </w:p>
        </w:tc>
      </w:tr>
      <w:tr>
        <w:tc>
          <w:tcPr>
            <w:tcW w:type="dxa" w:w="4608"/>
          </w:tcPr>
          <w:p>
            <w:r>
              <w:t>Hyperparameter tuning</w:t>
            </w:r>
          </w:p>
        </w:tc>
        <w:tc>
          <w:tcPr>
            <w:tcW w:type="dxa" w:w="1152"/>
          </w:tcPr>
          <w:p>
            <w:r>
              <w:t>5</w:t>
            </w:r>
          </w:p>
        </w:tc>
        <w:tc>
          <w:tcPr>
            <w:tcW w:type="dxa" w:w="3024"/>
          </w:tcPr>
          <w:p>
            <w:r>
              <w:t>not measurable</w:t>
            </w:r>
          </w:p>
        </w:tc>
      </w:tr>
    </w:tbl>
    <w:p>
      <w:r>
        <w:rPr>
          <w:i/>
          <w:sz w:val="18"/>
        </w:rPr>
        <w:t>Table 1. Where the score came from. Roughly 70% of the total came from how scores are turned into labels, 30% from what the model sees, and nothing measurable from the model itself.</w:t>
      </w:r>
    </w:p>
    <w:p>
      <w:r>
        <w:rPr>
          <w:b w:val="0"/>
          <w:i w:val="0"/>
        </w:rPr>
        <w:t>That ordering is the honest summary of the project and it is not the one we expected. Two full phases spent on the model, tuning and ensembling, returned gains at or below what the leaderboard can resolve, and we report them as the nulls they were rather than dressing them up. The two phases that worked were the ones that questioned the decision rule and the input.</w:t>
      </w:r>
    </w:p>
    <w:p>
      <w:r>
        <w:rPr>
          <w:b w:val="0"/>
          <w:i w:val="0"/>
        </w:rPr>
        <w:t>One number governs every judgement below. On roughly 3,570 scored public rows at Macro F1 near 0.8, binomial sampling noise is about 0.0084. We computed this once and then held every claim to it, including several of our own apparent gains that did not survive the comparison.</w:t>
      </w:r>
    </w:p>
    <w:p>
      <w:pPr>
        <w:jc w:val="center"/>
      </w:pPr>
      <w:r>
        <w:drawing>
          <wp:inline xmlns:a="http://schemas.openxmlformats.org/drawingml/2006/main" xmlns:pic="http://schemas.openxmlformats.org/drawingml/2006/picture">
            <wp:extent cx="5760720" cy="4387890"/>
            <wp:docPr id="1" name="Picture 1"/>
            <wp:cNvGraphicFramePr>
              <a:graphicFrameLocks noChangeAspect="1"/>
            </wp:cNvGraphicFramePr>
            <a:graphic>
              <a:graphicData uri="http://schemas.openxmlformats.org/drawingml/2006/picture">
                <pic:pic>
                  <pic:nvPicPr>
                    <pic:cNvPr id="0" name="methodology_flow.png"/>
                    <pic:cNvPicPr/>
                  </pic:nvPicPr>
                  <pic:blipFill>
                    <a:blip r:embed="rId9"/>
                    <a:stretch>
                      <a:fillRect/>
                    </a:stretch>
                  </pic:blipFill>
                  <pic:spPr>
                    <a:xfrm>
                      <a:off x="0" y="0"/>
                      <a:ext cx="5760720" cy="4387890"/>
                    </a:xfrm>
                    <a:prstGeom prst="rect"/>
                  </pic:spPr>
                </pic:pic>
              </a:graphicData>
            </a:graphic>
          </wp:inline>
        </w:drawing>
      </w:r>
    </w:p>
    <w:p>
      <w:pPr>
        <w:jc w:val="center"/>
      </w:pPr>
      <w:r>
        <w:rPr>
          <w:i/>
          <w:sz w:val="18"/>
        </w:rPr>
        <w:t>Figure 1. The nine phases, in the order they happened, colour-coded by what each one returned. Four were foundations, two returned nothing measurable, and three moved the score.</w:t>
      </w:r>
    </w:p>
    <w:p>
      <w:pPr>
        <w:pStyle w:val="Heading1"/>
      </w:pPr>
      <w:r>
        <w:t>2. Phase 1: understand the data before modelling it</w:t>
      </w:r>
    </w:p>
    <w:p>
      <w:r>
        <w:rPr>
          <w:b w:val="0"/>
          <w:i w:val="0"/>
        </w:rPr>
        <w:t>No model was trained until we had measured the dataset. That was a deliberate sequencing choice, and three of the four measurements went on to constrain a later decision, so it repaid the time.</w:t>
      </w:r>
    </w:p>
    <w:p>
      <w:r>
        <w:rPr>
          <w:b/>
          <w:i w:val="0"/>
        </w:rPr>
        <w:t>Class balance.</w:t>
      </w:r>
    </w:p>
    <w:p>
      <w:r>
        <w:rPr>
          <w:b w:val="0"/>
          <w:i w:val="0"/>
        </w:rPr>
        <w:t>The training set is 12,504 machine documents against 7,496 human, so 62.52% against 37.48%. A predictor that answers machine every time scores 62.5% accuracy and 0.385 Macro F1. That single comparison settled two things immediately: the metric to trust is Macro F1 rather than accuracy, and every split and every cross-validation fold has to be stratified. It also justified passing class_weight="balanced" to every estimator that supports it, since Macro F1 averages the two per-class scores with equal weight and therefore punishes a model that quietly sacrifices the minority human class twice over.</w:t>
      </w:r>
    </w:p>
    <w:p>
      <w:r>
        <w:rPr>
          <w:b/>
          <w:i w:val="0"/>
        </w:rPr>
        <w:t>Sparsity.</w:t>
      </w:r>
    </w:p>
    <w:p>
      <w:r>
        <w:rPr>
          <w:b w:val="0"/>
          <w:i w:val="0"/>
        </w:rPr>
        <w:t>The supplied matrix is 98.64% zero. A document activates 67.8 of the 5,000 columns on average and 58 at the median, with a maximum of 573. No column is all-zero and none is near-constant, so there was nothing to prune. This is what made us short-list models that tolerate sparse high-dimensional input, and what made us sceptical of distance-based methods before we ever ran one.</w:t>
      </w:r>
    </w:p>
    <w:p>
      <w:r>
        <w:rPr>
          <w:b/>
          <w:i w:val="0"/>
        </w:rPr>
        <w:t>Length, and a first look at the test file.</w:t>
      </w:r>
    </w:p>
    <w:p>
      <w:r>
        <w:rPr>
          <w:b w:val="0"/>
          <w:i w:val="0"/>
        </w:rPr>
        <w:t>Document length differs between the classes but does not separate them cleanly on its own. More usefully, comparing train against test text showed the test file holds two visibly different populations. 1,999 rows carry UUID-style ids like the training rows; 5,000 carry numeric ids, run longer at a median 1,862 characters against 1,189, carry markdown bold at 2.52 occurrences per document against 0.44, and contain the word "reviewer" in 15.8% of documents against 0.2%. They are academic peer reviews. We recorded this and did nothing with it for six phases, which in hindsight was the single most expensive delay in the project.</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Option</w:t>
            </w:r>
          </w:p>
        </w:tc>
        <w:tc>
          <w:tcPr>
            <w:tcW w:type="dxa" w:w="3384"/>
          </w:tcPr>
          <w:p>
            <w:r>
              <w:rPr>
                <w:b/>
              </w:rPr>
              <w:t>Pros</w:t>
            </w:r>
          </w:p>
        </w:tc>
        <w:tc>
          <w:tcPr>
            <w:tcW w:type="dxa" w:w="3384"/>
          </w:tcPr>
          <w:p>
            <w:r>
              <w:rPr>
                <w:b/>
              </w:rPr>
              <w:t>Cons</w:t>
            </w:r>
          </w:p>
        </w:tc>
      </w:tr>
      <w:tr>
        <w:tc>
          <w:tcPr>
            <w:tcW w:type="dxa" w:w="2160"/>
          </w:tcPr>
          <w:p>
            <w:r>
              <w:t>Start modelling immediately</w:t>
            </w:r>
          </w:p>
        </w:tc>
        <w:tc>
          <w:tcPr>
            <w:tcW w:type="dxa" w:w="3384"/>
          </w:tcPr>
          <w:p>
            <w:r>
              <w:t>Fastest route to a leaderboard number; the brief supplies ready features</w:t>
            </w:r>
          </w:p>
        </w:tc>
        <w:tc>
          <w:tcPr>
            <w:tcW w:type="dxa" w:w="3384"/>
          </w:tcPr>
          <w:p>
            <w:r>
              <w:t>Every structural choice becomes a guess; no way to tell a bug from a property of the data</w:t>
            </w:r>
          </w:p>
        </w:tc>
      </w:tr>
      <w:tr>
        <w:tc>
          <w:tcPr>
            <w:tcW w:type="dxa" w:w="2160"/>
          </w:tcPr>
          <w:p>
            <w:r>
              <w:t>Full EDA first, then model</w:t>
            </w:r>
          </w:p>
        </w:tc>
        <w:tc>
          <w:tcPr>
            <w:tcW w:type="dxa" w:w="3384"/>
          </w:tcPr>
          <w:p>
            <w:r>
              <w:t>Stratification, class weighting and metric choice all become measured decisions; the test-file structure surfaces early</w:t>
            </w:r>
          </w:p>
        </w:tc>
        <w:tc>
          <w:tcPr>
            <w:tcW w:type="dxa" w:w="3384"/>
          </w:tcPr>
          <w:p>
            <w:r>
              <w:t>Costs a full notebook before any score exists</w:t>
            </w:r>
          </w:p>
        </w:tc>
      </w:tr>
      <w:tr>
        <w:tc>
          <w:tcPr>
            <w:tcW w:type="dxa" w:w="2160"/>
          </w:tcPr>
          <w:p>
            <w:r>
              <w:t>EDA in parallel with a first baseline</w:t>
            </w:r>
          </w:p>
        </w:tc>
        <w:tc>
          <w:tcPr>
            <w:tcW w:type="dxa" w:w="3384"/>
          </w:tcPr>
          <w:p>
            <w:r>
              <w:t>Both at once</w:t>
            </w:r>
          </w:p>
        </w:tc>
        <w:tc>
          <w:tcPr>
            <w:tcW w:type="dxa" w:w="3384"/>
          </w:tcPr>
          <w:p>
            <w:r>
              <w:t>The baseline gets built on assumptions the EDA is still testing, so it usually has to be rebuilt</w:t>
            </w:r>
          </w:p>
        </w:tc>
      </w:tr>
    </w:tbl>
    <w:p>
      <w:r>
        <w:rPr>
          <w:i/>
          <w:sz w:val="18"/>
        </w:rPr>
        <w:t>Table 2. What we considered at the start of the project.</w:t>
      </w:r>
    </w:p>
    <w:p>
      <w:r>
        <w:rPr>
          <w:b/>
          <w:color w:val="1F77B4"/>
        </w:rPr>
        <w:t xml:space="preserve">We chose: </w:t>
      </w:r>
      <w:r>
        <w:t>a full exploratory pass before training anything, in notebook 01.</w:t>
      </w:r>
    </w:p>
    <w:p>
      <w:r>
        <w:rPr>
          <w:b/>
        </w:rPr>
        <w:t xml:space="preserve">Tradeoff accepted: </w:t>
      </w:r>
      <w:r>
        <w:t>a notebook of work with no leaderboard score at the end of it, at a point in the project when a score would have been reassuring.</w:t>
      </w:r>
    </w:p>
    <w:p>
      <w:r>
        <w:rPr>
          <w:b/>
        </w:rPr>
        <w:t xml:space="preserve">Acceptable because: </w:t>
      </w:r>
      <w:r>
        <w:t>three of the four measurements turned into constraints we never had to revisit, and the fourth, the two id populations, turned out to be worth more than any model we trained. The alternative was not faster, it was the same work done later and with rework attached.</w:t>
      </w:r>
    </w:p>
    <w:p>
      <w:pPr>
        <w:jc w:val="center"/>
      </w:pPr>
      <w:r>
        <w:drawing>
          <wp:inline xmlns:a="http://schemas.openxmlformats.org/drawingml/2006/main" xmlns:pic="http://schemas.openxmlformats.org/drawingml/2006/picture">
            <wp:extent cx="4206240" cy="2804160"/>
            <wp:docPr id="2" name="Picture 2"/>
            <wp:cNvGraphicFramePr>
              <a:graphicFrameLocks noChangeAspect="1"/>
            </wp:cNvGraphicFramePr>
            <a:graphic>
              <a:graphicData uri="http://schemas.openxmlformats.org/drawingml/2006/picture">
                <pic:pic>
                  <pic:nvPicPr>
                    <pic:cNvPr id="0" name="class_balance.png"/>
                    <pic:cNvPicPr/>
                  </pic:nvPicPr>
                  <pic:blipFill>
                    <a:blip r:embed="rId10"/>
                    <a:stretch>
                      <a:fillRect/>
                    </a:stretch>
                  </pic:blipFill>
                  <pic:spPr>
                    <a:xfrm>
                      <a:off x="0" y="0"/>
                      <a:ext cx="4206240" cy="2804160"/>
                    </a:xfrm>
                    <a:prstGeom prst="rect"/>
                  </pic:spPr>
                </pic:pic>
              </a:graphicData>
            </a:graphic>
          </wp:inline>
        </w:drawing>
      </w:r>
    </w:p>
    <w:p>
      <w:pPr>
        <w:jc w:val="center"/>
      </w:pPr>
      <w:r>
        <w:rPr>
          <w:i/>
          <w:sz w:val="18"/>
        </w:rPr>
        <w:t>Figure 2. Class balance in the training set. The skew is what makes Macro F1 and stratification mandatory rather than optional.</w:t>
      </w:r>
    </w:p>
    <w:p>
      <w:pPr>
        <w:jc w:val="center"/>
      </w:pPr>
      <w:r>
        <w:drawing>
          <wp:inline xmlns:a="http://schemas.openxmlformats.org/drawingml/2006/main" xmlns:pic="http://schemas.openxmlformats.org/drawingml/2006/picture">
            <wp:extent cx="5120640" cy="3135523"/>
            <wp:docPr id="3" name="Picture 3"/>
            <wp:cNvGraphicFramePr>
              <a:graphicFrameLocks noChangeAspect="1"/>
            </wp:cNvGraphicFramePr>
            <a:graphic>
              <a:graphicData uri="http://schemas.openxmlformats.org/drawingml/2006/picture">
                <pic:pic>
                  <pic:nvPicPr>
                    <pic:cNvPr id="0" name="feature_sparsity.png"/>
                    <pic:cNvPicPr/>
                  </pic:nvPicPr>
                  <pic:blipFill>
                    <a:blip r:embed="rId11"/>
                    <a:stretch>
                      <a:fillRect/>
                    </a:stretch>
                  </pic:blipFill>
                  <pic:spPr>
                    <a:xfrm>
                      <a:off x="0" y="0"/>
                      <a:ext cx="5120640" cy="3135523"/>
                    </a:xfrm>
                    <a:prstGeom prst="rect"/>
                  </pic:spPr>
                </pic:pic>
              </a:graphicData>
            </a:graphic>
          </wp:inline>
        </w:drawing>
      </w:r>
    </w:p>
    <w:p>
      <w:pPr>
        <w:jc w:val="center"/>
      </w:pPr>
      <w:r>
        <w:rPr>
          <w:i/>
          <w:sz w:val="18"/>
        </w:rPr>
        <w:t>Figure 3. Non-zero features per document. The matrix is 98.64% zero, so a document is described by roughly 68 of the 5,000 available columns.</w:t>
      </w:r>
    </w:p>
    <w:p>
      <w:pPr>
        <w:jc w:val="center"/>
      </w:pPr>
      <w:r>
        <w:drawing>
          <wp:inline xmlns:a="http://schemas.openxmlformats.org/drawingml/2006/main" xmlns:pic="http://schemas.openxmlformats.org/drawingml/2006/picture">
            <wp:extent cx="5303520" cy="4222003"/>
            <wp:docPr id="4" name="Picture 4"/>
            <wp:cNvGraphicFramePr>
              <a:graphicFrameLocks noChangeAspect="1"/>
            </wp:cNvGraphicFramePr>
            <a:graphic>
              <a:graphicData uri="http://schemas.openxmlformats.org/drawingml/2006/picture">
                <pic:pic>
                  <pic:nvPicPr>
                    <pic:cNvPr id="0" name="text_length_distribution.png"/>
                    <pic:cNvPicPr/>
                  </pic:nvPicPr>
                  <pic:blipFill>
                    <a:blip r:embed="rId12"/>
                    <a:stretch>
                      <a:fillRect/>
                    </a:stretch>
                  </pic:blipFill>
                  <pic:spPr>
                    <a:xfrm>
                      <a:off x="0" y="0"/>
                      <a:ext cx="5303520" cy="4222003"/>
                    </a:xfrm>
                    <a:prstGeom prst="rect"/>
                  </pic:spPr>
                </pic:pic>
              </a:graphicData>
            </a:graphic>
          </wp:inline>
        </w:drawing>
      </w:r>
    </w:p>
    <w:p>
      <w:pPr>
        <w:jc w:val="center"/>
      </w:pPr>
      <w:r>
        <w:rPr>
          <w:i/>
          <w:sz w:val="18"/>
        </w:rPr>
        <w:t>Figure 4. Document length by class. Length does not separate the classes on its own, but it correlates with the label strongly enough that it later became the basis of our transfer-validation protocol in section 12.2.</w:t>
      </w:r>
    </w:p>
    <w:p>
      <w:pPr>
        <w:pStyle w:val="Heading1"/>
      </w:pPr>
      <w:r>
        <w:t>3. Phase 2: dimensionality reduction</w:t>
      </w:r>
    </w:p>
    <w:p>
      <w:r>
        <w:rPr>
          <w:b w:val="0"/>
          <w:i w:val="0"/>
        </w:rPr>
        <w:t>With 5,000 columns over 20,000 rows the obvious next question is whether the space can be compressed. The brief also requires it: Task 2 fixes a PCA plus K-nearest-neighbours pipeline at four component counts. We treated the graded task and the modelling question as one investigation.</w:t>
      </w:r>
    </w:p>
    <w:p>
      <w:pPr>
        <w:pStyle w:val="Heading2"/>
      </w:pPr>
      <w:r>
        <w:t>3.1 Task 1 deliverable: logistic regression from scratch</w:t>
      </w:r>
    </w:p>
    <w:p>
      <w:r>
        <w:rPr>
          <w:b w:val="0"/>
          <w:i w:val="0"/>
        </w:rPr>
        <w:t>Before either, notebook 02 implements logistic regression by hand, with no pre-built logistic regression package anywhere in the path, as the brief requires on pain of scoring zero. The implementation is the standard five pieces: a numerically stable sigmoid that branches on the sign of its input to avoid overflow, log loss, an analytic gradient, mini-batch gradient descent, and a predict step. The gradient of log loss with respect to the weights reduces to the transpose of the design matrix times the residual, divided by the batch size, so no numerical differentiation is needed and the whole training loop is a few lines of NumPy.</w:t>
      </w:r>
    </w:p>
    <w:p>
      <w:r>
        <w:rPr>
          <w:b w:val="0"/>
          <w:i w:val="0"/>
        </w:rPr>
        <w:t>Beyond satisfying the task, this was our reference point: it told us what a linear model on the supplied features can do, which is most of what the tuned linear models later achieved. The brief's top band asks for performance comparable to sklearn's implementation, so that comparison is the thing to report.</w:t>
      </w:r>
    </w:p>
    <w:p>
      <w:r>
        <w:rPr>
          <w:b/>
          <w:color w:val="C00000"/>
        </w:rPr>
        <w:t>[TODO: batch size, epochs and learning rate used, the validation Macro F1, and the same figure from sklearn's LogisticRegression for the side-by-side comparison the rubric asks for]</w:t>
      </w:r>
    </w:p>
    <w:p>
      <w:r>
        <w:rPr>
          <w:b/>
          <w:color w:val="C00000"/>
        </w:rPr>
        <w:t>[TODO: the prediction file. The course brief slide names it LogReg_predictions.csv while the written task sheet names it LogReg_Prediction.csv. Confirm the spelling against the Kaggle submission page before generating it, since the file does not exist yet]</w:t>
      </w:r>
    </w:p>
    <w:p>
      <w:pPr>
        <w:pStyle w:val="Heading2"/>
      </w:pPr>
      <w:r>
        <w:t>3.2 Task 2 deliverable: PCA and KNN at four component counts</w:t>
      </w:r>
    </w:p>
    <w:p>
      <w:r>
        <w:rPr>
          <w:b w:val="0"/>
          <w:i w:val="0"/>
        </w:rPr>
        <w:t>PCA at 2,000, 1,000, 500 and 100 components, each feeding a KNN classifier with n_neighbors fixed at 2. The component counts are set by the task, so this is the one place in the project where we did not choose a structural hyperparameter from a diagnostic. We still produced the diagnostic, because it explains the results.</w:t>
      </w:r>
    </w:p>
    <w:tbl>
      <w:tblPr>
        <w:tblStyle w:val="LightGrid-Accent1"/>
        <w:tblW w:type="auto" w:w="0"/>
        <w:tblLook w:firstColumn="1" w:firstRow="1" w:lastColumn="0" w:lastRow="0" w:noHBand="0" w:noVBand="1" w:val="04A0"/>
      </w:tblPr>
      <w:tblGrid>
        <w:gridCol w:w="4320"/>
        <w:gridCol w:w="4320"/>
      </w:tblGrid>
      <w:tr>
        <w:tc>
          <w:tcPr>
            <w:tcW w:type="dxa" w:w="2304"/>
          </w:tcPr>
          <w:p>
            <w:r>
              <w:rPr>
                <w:b/>
              </w:rPr>
              <w:t>Components</w:t>
            </w:r>
          </w:p>
        </w:tc>
        <w:tc>
          <w:tcPr>
            <w:tcW w:type="dxa" w:w="3744"/>
          </w:tcPr>
          <w:p>
            <w:r>
              <w:rPr>
                <w:b/>
              </w:rPr>
              <w:t>Cumulative explained variance</w:t>
            </w:r>
          </w:p>
        </w:tc>
      </w:tr>
      <w:tr>
        <w:tc>
          <w:tcPr>
            <w:tcW w:type="dxa" w:w="2304"/>
          </w:tcPr>
          <w:p>
            <w:r>
              <w:t>2,000</w:t>
            </w:r>
          </w:p>
        </w:tc>
        <w:tc>
          <w:tcPr>
            <w:tcW w:type="dxa" w:w="3744"/>
          </w:tcPr>
          <w:p>
            <w:r>
              <w:t>77.0%</w:t>
            </w:r>
          </w:p>
        </w:tc>
      </w:tr>
      <w:tr>
        <w:tc>
          <w:tcPr>
            <w:tcW w:type="dxa" w:w="2304"/>
          </w:tcPr>
          <w:p>
            <w:r>
              <w:t>1,000</w:t>
            </w:r>
          </w:p>
        </w:tc>
        <w:tc>
          <w:tcPr>
            <w:tcW w:type="dxa" w:w="3744"/>
          </w:tcPr>
          <w:p>
            <w:r>
              <w:t>56.4%</w:t>
            </w:r>
          </w:p>
        </w:tc>
      </w:tr>
      <w:tr>
        <w:tc>
          <w:tcPr>
            <w:tcW w:type="dxa" w:w="2304"/>
          </w:tcPr>
          <w:p>
            <w:r>
              <w:t>500</w:t>
            </w:r>
          </w:p>
        </w:tc>
        <w:tc>
          <w:tcPr>
            <w:tcW w:type="dxa" w:w="3744"/>
          </w:tcPr>
          <w:p>
            <w:r>
              <w:t>39.0%</w:t>
            </w:r>
          </w:p>
        </w:tc>
      </w:tr>
      <w:tr>
        <w:tc>
          <w:tcPr>
            <w:tcW w:type="dxa" w:w="2304"/>
          </w:tcPr>
          <w:p>
            <w:r>
              <w:t>100</w:t>
            </w:r>
          </w:p>
        </w:tc>
        <w:tc>
          <w:tcPr>
            <w:tcW w:type="dxa" w:w="3744"/>
          </w:tcPr>
          <w:p>
            <w:r>
              <w:t>15.8%</w:t>
            </w:r>
          </w:p>
        </w:tc>
      </w:tr>
    </w:tbl>
    <w:p>
      <w:r>
        <w:rPr>
          <w:i/>
          <w:sz w:val="18"/>
        </w:rPr>
        <w:t>Table 3. Variance retained at Task 2's four fixed counts, measured in notebook 01.</w:t>
      </w:r>
    </w:p>
    <w:p>
      <w:r>
        <w:rPr>
          <w:b w:val="0"/>
          <w:i w:val="0"/>
        </w:rPr>
        <w:t>The analysis the rubric asks for is in that table. This matrix resists compression badly. Two thousand components, 40% of the original width, still leave 23% of the variance behind, and none of the canonical 80%, 90%, 95% or 99% thresholds is reached within 2,000 components at all. The knee of the cumulative curve sits at 638 components, which retains only 44.5%. The reason is visible in phase 1: with 98.64% zeros and about 68 active columns per document, there is very little shared linear structure for a few directions to absorb. Variance is spread almost evenly across a very large number of directions, which is exactly the regime in which PCA has nothing to exploit.</w:t>
      </w:r>
    </w:p>
    <w:p>
      <w:r>
        <w:rPr>
          <w:b w:val="0"/>
          <w:i w:val="0"/>
        </w:rPr>
        <w:t>That also predicts the KNN result. Reducing to 100 components throws away 84% of the variance, and KNN then measures Euclidean distance in a space where most of what distinguished the documents has been discarded. Neighbourhoods in a sparse high-dimensional space are weakly defined to begin with, which is why KNN came tenth of twelve in phase 4 even at full width.</w:t>
      </w:r>
    </w:p>
    <w:p>
      <w:pPr>
        <w:jc w:val="center"/>
      </w:pPr>
      <w:r>
        <w:drawing>
          <wp:inline xmlns:a="http://schemas.openxmlformats.org/drawingml/2006/main" xmlns:pic="http://schemas.openxmlformats.org/drawingml/2006/picture">
            <wp:extent cx="5486400" cy="1899138"/>
            <wp:docPr id="5" name="Picture 5"/>
            <wp:cNvGraphicFramePr>
              <a:graphicFrameLocks noChangeAspect="1"/>
            </wp:cNvGraphicFramePr>
            <a:graphic>
              <a:graphicData uri="http://schemas.openxmlformats.org/drawingml/2006/picture">
                <pic:pic>
                  <pic:nvPicPr>
                    <pic:cNvPr id="0" name="scree_plot.png"/>
                    <pic:cNvPicPr/>
                  </pic:nvPicPr>
                  <pic:blipFill>
                    <a:blip r:embed="rId13"/>
                    <a:stretch>
                      <a:fillRect/>
                    </a:stretch>
                  </pic:blipFill>
                  <pic:spPr>
                    <a:xfrm>
                      <a:off x="0" y="0"/>
                      <a:ext cx="5486400" cy="1899138"/>
                    </a:xfrm>
                    <a:prstGeom prst="rect"/>
                  </pic:spPr>
                </pic:pic>
              </a:graphicData>
            </a:graphic>
          </wp:inline>
        </w:drawing>
      </w:r>
    </w:p>
    <w:p>
      <w:pPr>
        <w:jc w:val="center"/>
      </w:pPr>
      <w:r>
        <w:rPr>
          <w:i/>
          <w:sz w:val="18"/>
        </w:rPr>
        <w:t>Figure 5. Per-component and cumulative explained variance. The curve has no sharp knee, which is the signature of a matrix that does not compress.</w:t>
      </w:r>
    </w:p>
    <w:p>
      <w:r>
        <w:rPr>
          <w:b/>
          <w:color w:val="C00000"/>
        </w:rPr>
        <w:t>[TODO: the four test Macro F1 scores read back from Kaggle at 2000, 1000, 500 and 100 components, which is the graded deliverable for Task 2]</w:t>
      </w:r>
    </w:p>
    <w:p>
      <w:pPr>
        <w:pStyle w:val="Heading2"/>
      </w:pPr>
      <w:r>
        <w:t>3.3 The decision this phase settled for Task 3</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Option</w:t>
            </w:r>
          </w:p>
        </w:tc>
        <w:tc>
          <w:tcPr>
            <w:tcW w:type="dxa" w:w="3384"/>
          </w:tcPr>
          <w:p>
            <w:r>
              <w:rPr>
                <w:b/>
              </w:rPr>
              <w:t>Pros</w:t>
            </w:r>
          </w:p>
        </w:tc>
        <w:tc>
          <w:tcPr>
            <w:tcW w:type="dxa" w:w="3384"/>
          </w:tcPr>
          <w:p>
            <w:r>
              <w:rPr>
                <w:b/>
              </w:rPr>
              <w:t>Cons</w:t>
            </w:r>
          </w:p>
        </w:tc>
      </w:tr>
      <w:tr>
        <w:tc>
          <w:tcPr>
            <w:tcW w:type="dxa" w:w="2160"/>
          </w:tcPr>
          <w:p>
            <w:r>
              <w:t>PCA before every Task 3 model</w:t>
            </w:r>
          </w:p>
        </w:tc>
        <w:tc>
          <w:tcPr>
            <w:tcW w:type="dxa" w:w="3384"/>
          </w:tcPr>
          <w:p>
            <w:r>
              <w:t>Smaller, denser matrices; faster fits; standard practice on wide data</w:t>
            </w:r>
          </w:p>
        </w:tc>
        <w:tc>
          <w:tcPr>
            <w:tcW w:type="dxa" w:w="3384"/>
          </w:tcPr>
          <w:p>
            <w:r>
              <w:t>Only 77% of variance survives even at 2,000 components; destroys the sparsity that tree and Naive Bayes models exploit</w:t>
            </w:r>
          </w:p>
        </w:tc>
      </w:tr>
      <w:tr>
        <w:tc>
          <w:tcPr>
            <w:tcW w:type="dxa" w:w="2160"/>
          </w:tcPr>
          <w:p>
            <w:r>
              <w:t>TruncatedSVD, the sparse-friendly variant</w:t>
            </w:r>
          </w:p>
        </w:tc>
        <w:tc>
          <w:tcPr>
            <w:tcW w:type="dxa" w:w="3384"/>
          </w:tcPr>
          <w:p>
            <w:r>
              <w:t>Does not densify the matrix, so it is the right tool for TF-IDF</w:t>
            </w:r>
          </w:p>
        </w:tc>
        <w:tc>
          <w:tcPr>
            <w:tcW w:type="dxa" w:w="3384"/>
          </w:tcPr>
          <w:p>
            <w:r>
              <w:t>Same information loss; adds a component count to tune with no evidence it buys anything</w:t>
            </w:r>
          </w:p>
        </w:tc>
      </w:tr>
      <w:tr>
        <w:tc>
          <w:tcPr>
            <w:tcW w:type="dxa" w:w="2160"/>
          </w:tcPr>
          <w:p>
            <w:r>
              <w:t>Feature selection by chi-squared or mutual information</w:t>
            </w:r>
          </w:p>
        </w:tc>
        <w:tc>
          <w:tcPr>
            <w:tcW w:type="dxa" w:w="3384"/>
          </w:tcPr>
          <w:p>
            <w:r>
              <w:t>Keeps original interpretable columns; cheap</w:t>
            </w:r>
          </w:p>
        </w:tc>
        <w:tc>
          <w:tcPr>
            <w:tcW w:type="dxa" w:w="3384"/>
          </w:tcPr>
          <w:p>
            <w:r>
              <w:t>Nothing to remove: no column is all-zero or near-constant</w:t>
            </w:r>
          </w:p>
        </w:tc>
      </w:tr>
      <w:tr>
        <w:tc>
          <w:tcPr>
            <w:tcW w:type="dxa" w:w="2160"/>
          </w:tcPr>
          <w:p>
            <w:r>
              <w:t>No reduction for Task 3</w:t>
            </w:r>
          </w:p>
        </w:tc>
        <w:tc>
          <w:tcPr>
            <w:tcW w:type="dxa" w:w="3384"/>
          </w:tcPr>
          <w:p>
            <w:r>
              <w:t>Nothing discarded; boosted trees handle 5,000 sparse columns natively</w:t>
            </w:r>
          </w:p>
        </w:tc>
        <w:tc>
          <w:tcPr>
            <w:tcW w:type="dxa" w:w="3384"/>
          </w:tcPr>
          <w:p>
            <w:r>
              <w:t>Slower fits; no defence if a later model turns out to need dense input</w:t>
            </w:r>
          </w:p>
        </w:tc>
      </w:tr>
    </w:tbl>
    <w:p>
      <w:r>
        <w:rPr>
          <w:i/>
          <w:sz w:val="18"/>
        </w:rPr>
        <w:t>Table 4. Dimensionality reduction options for the Task 3 models.</w:t>
      </w:r>
    </w:p>
    <w:p>
      <w:r>
        <w:rPr>
          <w:b/>
          <w:color w:val="1F77B4"/>
        </w:rPr>
        <w:t xml:space="preserve">We chose: </w:t>
      </w:r>
      <w:r>
        <w:t>no dimensionality reduction for any Task 3 model. PCA appears only where Task 2 requires it.</w:t>
      </w:r>
    </w:p>
    <w:p>
      <w:r>
        <w:rPr>
          <w:b/>
        </w:rPr>
        <w:t xml:space="preserve">Tradeoff accepted: </w:t>
      </w:r>
      <w:r>
        <w:t>we gave up faster fits and the option of distance-based and dense-input models, and we carried 5,000 columns into every experiment when a compressed representation would have been cheaper to iterate on.</w:t>
      </w:r>
    </w:p>
    <w:p>
      <w:r>
        <w:rPr>
          <w:b/>
        </w:rPr>
        <w:t xml:space="preserve">Acceptable because: </w:t>
      </w:r>
      <w:r>
        <w:t>the scree curve says compression here is lossy rather than efficient. There is no elbow to exploit, so any component count is a straight trade of information for speed. The models that led our baselines were boosted trees, which take sparse input directly and select features internally as they split, so the compression would have cost accuracy to buy speed we did not need.</w:t>
      </w:r>
    </w:p>
    <w:p>
      <w:pPr>
        <w:pStyle w:val="Heading1"/>
      </w:pPr>
      <w:r>
        <w:t>4. Phase 3: lock the validation protocol</w:t>
      </w:r>
    </w:p>
    <w:p>
      <w:r>
        <w:rPr>
          <w:b w:val="0"/>
          <w:i w:val="0"/>
        </w:rPr>
        <w:t>Phase 1 said the classes are skewed, so this phase turned that measurement into a protocol and then froze it. The reasoning runs directly from the class balance: at 62.5% against 37.5%, an unstratified fold can differ from the population by several percentage points, and since Macro F1 weights both classes equally, fold scores would move for reasons that have nothing to do with the model.</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Option</w:t>
            </w:r>
          </w:p>
        </w:tc>
        <w:tc>
          <w:tcPr>
            <w:tcW w:type="dxa" w:w="3384"/>
          </w:tcPr>
          <w:p>
            <w:r>
              <w:rPr>
                <w:b/>
              </w:rPr>
              <w:t>Pros</w:t>
            </w:r>
          </w:p>
        </w:tc>
        <w:tc>
          <w:tcPr>
            <w:tcW w:type="dxa" w:w="3384"/>
          </w:tcPr>
          <w:p>
            <w:r>
              <w:rPr>
                <w:b/>
              </w:rPr>
              <w:t>Cons</w:t>
            </w:r>
          </w:p>
        </w:tc>
      </w:tr>
      <w:tr>
        <w:tc>
          <w:tcPr>
            <w:tcW w:type="dxa" w:w="2160"/>
          </w:tcPr>
          <w:p>
            <w:r>
              <w:t>Single random train and validation split</w:t>
            </w:r>
          </w:p>
        </w:tc>
        <w:tc>
          <w:tcPr>
            <w:tcW w:type="dxa" w:w="3384"/>
          </w:tcPr>
          <w:p>
            <w:r>
              <w:t>Cheapest; one number per model</w:t>
            </w:r>
          </w:p>
        </w:tc>
        <w:tc>
          <w:tcPr>
            <w:tcW w:type="dxa" w:w="3384"/>
          </w:tcPr>
          <w:p>
            <w:r>
              <w:t>One split of 20,000 rows on an imbalanced target is noisy enough to reorder adjacent candidates</w:t>
            </w:r>
          </w:p>
        </w:tc>
      </w:tr>
      <w:tr>
        <w:tc>
          <w:tcPr>
            <w:tcW w:type="dxa" w:w="2160"/>
          </w:tcPr>
          <w:p>
            <w:r>
              <w:t>Plain k-fold, unstratified</w:t>
            </w:r>
          </w:p>
        </w:tc>
        <w:tc>
          <w:tcPr>
            <w:tcW w:type="dxa" w:w="3384"/>
          </w:tcPr>
          <w:p>
            <w:r>
              <w:t>Uses all the data; standard</w:t>
            </w:r>
          </w:p>
        </w:tc>
        <w:tc>
          <w:tcPr>
            <w:tcW w:type="dxa" w:w="3384"/>
          </w:tcPr>
          <w:p>
            <w:r>
              <w:t>Fold class balance drifts, and Macro F1 is sensitive to exactly that drift</w:t>
            </w:r>
          </w:p>
        </w:tc>
      </w:tr>
      <w:tr>
        <w:tc>
          <w:tcPr>
            <w:tcW w:type="dxa" w:w="2160"/>
          </w:tcPr>
          <w:p>
            <w:r>
              <w:t>Stratified 5-fold cross-validation</w:t>
            </w:r>
          </w:p>
        </w:tc>
        <w:tc>
          <w:tcPr>
            <w:tcW w:type="dxa" w:w="3384"/>
          </w:tcPr>
          <w:p>
            <w:r>
              <w:t>Every fold matches the population balance; five estimates give a spread as well as a mean</w:t>
            </w:r>
          </w:p>
        </w:tc>
        <w:tc>
          <w:tcPr>
            <w:tcW w:type="dxa" w:w="3384"/>
          </w:tcPr>
          <w:p>
            <w:r>
              <w:t>Five fits per candidate; still trains and tests within the same corpora</w:t>
            </w:r>
          </w:p>
        </w:tc>
      </w:tr>
      <w:tr>
        <w:tc>
          <w:tcPr>
            <w:tcW w:type="dxa" w:w="2160"/>
          </w:tcPr>
          <w:p>
            <w:r>
              <w:t>Stratified 10-fold</w:t>
            </w:r>
          </w:p>
        </w:tc>
        <w:tc>
          <w:tcPr>
            <w:tcW w:type="dxa" w:w="3384"/>
          </w:tcPr>
          <w:p>
            <w:r>
              <w:t>Lower variance still</w:t>
            </w:r>
          </w:p>
        </w:tc>
        <w:tc>
          <w:tcPr>
            <w:tcW w:type="dxa" w:w="3384"/>
          </w:tcPr>
          <w:p>
            <w:r>
              <w:t>Twice the compute for a second-decimal improvement we could not use</w:t>
            </w:r>
          </w:p>
        </w:tc>
      </w:tr>
    </w:tbl>
    <w:p>
      <w:r>
        <w:rPr>
          <w:i/>
          <w:sz w:val="18"/>
        </w:rPr>
        <w:t>Table 5. Validation protocols considered in phase 3.</w:t>
      </w:r>
    </w:p>
    <w:p>
      <w:r>
        <w:rPr>
          <w:b/>
          <w:color w:val="1F77B4"/>
        </w:rPr>
        <w:t xml:space="preserve">We chose: </w:t>
      </w:r>
      <w:r>
        <w:t>stratified 5-fold cross-validation with shuffle enabled and random_state fixed at 42, scoring Macro F1, plus a separate 20% holdout of 4,000 rows split off once and saved to disk as index arrays so every notebook and every team member evaluates on identical rows.</w:t>
      </w:r>
    </w:p>
    <w:p>
      <w:r>
        <w:rPr>
          <w:b/>
        </w:rPr>
        <w:t xml:space="preserve">Tradeoff accepted: </w:t>
      </w:r>
      <w:r>
        <w:t>it trains and tests on the same source corpora, so it measures how well a model fits this data rather than how well it transfers to a different one. It later proved to overstate the leaderboard by roughly 0.10, and it can say nothing at all about the class balance of the test set.</w:t>
      </w:r>
    </w:p>
    <w:p>
      <w:r>
        <w:rPr>
          <w:b/>
        </w:rPr>
        <w:t xml:space="preserve">Acceptable because: </w:t>
      </w:r>
      <w:r>
        <w:t>at this stage we needed an instrument that ranks candidates, not one that forecasts a score, and for ranking it was right every time we checked it afterwards. Saving the split indices rather than reseeding a splitter also removed a whole category of silent inconsistency across a team of five. When transfer rather than ranking became the question, in phase 8, we replaced it with a grouped protocol rather than pretending this one could answer both.</w:t>
      </w:r>
    </w:p>
    <w:p>
      <w:pPr>
        <w:pStyle w:val="Heading1"/>
      </w:pPr>
      <w:r>
        <w:t>5. Phase 4: baselines before any tuning</w:t>
      </w:r>
    </w:p>
    <w:p>
      <w:r>
        <w:rPr>
          <w:b w:val="0"/>
          <w:i w:val="0"/>
        </w:rPr>
        <w:t>The next decision was where to spend tuning effort, and we refused to make it by reputation. Twelve model families were run at their library defaults under the phase 3 protocol, and only then did anything get tuned.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304"/>
          </w:tcPr>
          <w:p>
            <w:r>
              <w:rPr>
                <w:b/>
              </w:rPr>
              <w:t>Mean Macro F1</w:t>
            </w:r>
          </w:p>
        </w:tc>
        <w:tc>
          <w:tcPr>
            <w:tcW w:type="dxa" w:w="2304"/>
          </w:tcPr>
          <w:p>
            <w:r>
              <w:rPr>
                <w:b/>
              </w:rPr>
              <w:t>Std across folds</w:t>
            </w:r>
          </w:p>
        </w:tc>
      </w:tr>
      <w:tr>
        <w:tc>
          <w:tcPr>
            <w:tcW w:type="dxa" w:w="2880"/>
          </w:tcPr>
          <w:p>
            <w:r>
              <w:t>LightGBM</w:t>
            </w:r>
          </w:p>
        </w:tc>
        <w:tc>
          <w:tcPr>
            <w:tcW w:type="dxa" w:w="2304"/>
          </w:tcPr>
          <w:p>
            <w:r>
              <w:t>0.7391</w:t>
            </w:r>
          </w:p>
        </w:tc>
        <w:tc>
          <w:tcPr>
            <w:tcW w:type="dxa" w:w="2304"/>
          </w:tcPr>
          <w:p>
            <w:r>
              <w:t>0.0055</w:t>
            </w:r>
          </w:p>
        </w:tc>
      </w:tr>
      <w:tr>
        <w:tc>
          <w:tcPr>
            <w:tcW w:type="dxa" w:w="2880"/>
          </w:tcPr>
          <w:p>
            <w:r>
              <w:t>XGBoost</w:t>
            </w:r>
          </w:p>
        </w:tc>
        <w:tc>
          <w:tcPr>
            <w:tcW w:type="dxa" w:w="2304"/>
          </w:tcPr>
          <w:p>
            <w:r>
              <w:t>0.7289</w:t>
            </w:r>
          </w:p>
        </w:tc>
        <w:tc>
          <w:tcPr>
            <w:tcW w:type="dxa" w:w="2304"/>
          </w:tcPr>
          <w:p>
            <w:r>
              <w:t>0.0041</w:t>
            </w:r>
          </w:p>
        </w:tc>
      </w:tr>
      <w:tr>
        <w:tc>
          <w:tcPr>
            <w:tcW w:type="dxa" w:w="2880"/>
          </w:tcPr>
          <w:p>
            <w:r>
              <w:t>HistGB</w:t>
            </w:r>
          </w:p>
        </w:tc>
        <w:tc>
          <w:tcPr>
            <w:tcW w:type="dxa" w:w="2304"/>
          </w:tcPr>
          <w:p>
            <w:r>
              <w:t>0.7262</w:t>
            </w:r>
          </w:p>
        </w:tc>
        <w:tc>
          <w:tcPr>
            <w:tcW w:type="dxa" w:w="2304"/>
          </w:tcPr>
          <w:p>
            <w:r>
              <w:t>0.0091</w:t>
            </w:r>
          </w:p>
        </w:tc>
      </w:tr>
      <w:tr>
        <w:tc>
          <w:tcPr>
            <w:tcW w:type="dxa" w:w="2880"/>
          </w:tcPr>
          <w:p>
            <w:r>
              <w:t>LogReg_Ridge</w:t>
            </w:r>
          </w:p>
        </w:tc>
        <w:tc>
          <w:tcPr>
            <w:tcW w:type="dxa" w:w="2304"/>
          </w:tcPr>
          <w:p>
            <w:r>
              <w:t>0.7246</w:t>
            </w:r>
          </w:p>
        </w:tc>
        <w:tc>
          <w:tcPr>
            <w:tcW w:type="dxa" w:w="2304"/>
          </w:tcPr>
          <w:p>
            <w:r>
              <w:t>0.0038</w:t>
            </w:r>
          </w:p>
        </w:tc>
      </w:tr>
      <w:tr>
        <w:tc>
          <w:tcPr>
            <w:tcW w:type="dxa" w:w="2880"/>
          </w:tcPr>
          <w:p>
            <w:r>
              <w:t>LinearSVC</w:t>
            </w:r>
          </w:p>
        </w:tc>
        <w:tc>
          <w:tcPr>
            <w:tcW w:type="dxa" w:w="2304"/>
          </w:tcPr>
          <w:p>
            <w:r>
              <w:t>0.7228</w:t>
            </w:r>
          </w:p>
        </w:tc>
        <w:tc>
          <w:tcPr>
            <w:tcW w:type="dxa" w:w="2304"/>
          </w:tcPr>
          <w:p>
            <w:r>
              <w:t>0.0034</w:t>
            </w:r>
          </w:p>
        </w:tc>
      </w:tr>
      <w:tr>
        <w:tc>
          <w:tcPr>
            <w:tcW w:type="dxa" w:w="2880"/>
          </w:tcPr>
          <w:p>
            <w:r>
              <w:t>LogReg_ElasticNet</w:t>
            </w:r>
          </w:p>
        </w:tc>
        <w:tc>
          <w:tcPr>
            <w:tcW w:type="dxa" w:w="2304"/>
          </w:tcPr>
          <w:p>
            <w:r>
              <w:t>0.7196</w:t>
            </w:r>
          </w:p>
        </w:tc>
        <w:tc>
          <w:tcPr>
            <w:tcW w:type="dxa" w:w="2304"/>
          </w:tcPr>
          <w:p>
            <w:r>
              <w:t>0.0060</w:t>
            </w:r>
          </w:p>
        </w:tc>
      </w:tr>
      <w:tr>
        <w:tc>
          <w:tcPr>
            <w:tcW w:type="dxa" w:w="2880"/>
          </w:tcPr>
          <w:p>
            <w:r>
              <w:t>LogReg_Lasso</w:t>
            </w:r>
          </w:p>
        </w:tc>
        <w:tc>
          <w:tcPr>
            <w:tcW w:type="dxa" w:w="2304"/>
          </w:tcPr>
          <w:p>
            <w:r>
              <w:t>0.7112</w:t>
            </w:r>
          </w:p>
        </w:tc>
        <w:tc>
          <w:tcPr>
            <w:tcW w:type="dxa" w:w="2304"/>
          </w:tcPr>
          <w:p>
            <w:r>
              <w:t>0.0070</w:t>
            </w:r>
          </w:p>
        </w:tc>
      </w:tr>
      <w:tr>
        <w:tc>
          <w:tcPr>
            <w:tcW w:type="dxa" w:w="2880"/>
          </w:tcPr>
          <w:p>
            <w:r>
              <w:t>RandomForest</w:t>
            </w:r>
          </w:p>
        </w:tc>
        <w:tc>
          <w:tcPr>
            <w:tcW w:type="dxa" w:w="2304"/>
          </w:tcPr>
          <w:p>
            <w:r>
              <w:t>0.6871</w:t>
            </w:r>
          </w:p>
        </w:tc>
        <w:tc>
          <w:tcPr>
            <w:tcW w:type="dxa" w:w="2304"/>
          </w:tcPr>
          <w:p>
            <w:r>
              <w:t>0.0043</w:t>
            </w:r>
          </w:p>
        </w:tc>
      </w:tr>
      <w:tr>
        <w:tc>
          <w:tcPr>
            <w:tcW w:type="dxa" w:w="2880"/>
          </w:tcPr>
          <w:p>
            <w:r>
              <w:t>ComplementNB</w:t>
            </w:r>
          </w:p>
        </w:tc>
        <w:tc>
          <w:tcPr>
            <w:tcW w:type="dxa" w:w="2304"/>
          </w:tcPr>
          <w:p>
            <w:r>
              <w:t>0.6580</w:t>
            </w:r>
          </w:p>
        </w:tc>
        <w:tc>
          <w:tcPr>
            <w:tcW w:type="dxa" w:w="2304"/>
          </w:tcPr>
          <w:p>
            <w:r>
              <w:t>0.0067</w:t>
            </w:r>
          </w:p>
        </w:tc>
      </w:tr>
      <w:tr>
        <w:tc>
          <w:tcPr>
            <w:tcW w:type="dxa" w:w="2880"/>
          </w:tcPr>
          <w:p>
            <w:r>
              <w:t>KNN</w:t>
            </w:r>
          </w:p>
        </w:tc>
        <w:tc>
          <w:tcPr>
            <w:tcW w:type="dxa" w:w="2304"/>
          </w:tcPr>
          <w:p>
            <w:r>
              <w:t>0.6542</w:t>
            </w:r>
          </w:p>
        </w:tc>
        <w:tc>
          <w:tcPr>
            <w:tcW w:type="dxa" w:w="2304"/>
          </w:tcPr>
          <w:p>
            <w:r>
              <w:t>0.0131</w:t>
            </w:r>
          </w:p>
        </w:tc>
      </w:tr>
      <w:tr>
        <w:tc>
          <w:tcPr>
            <w:tcW w:type="dxa" w:w="2880"/>
          </w:tcPr>
          <w:p>
            <w:r>
              <w:t>MultinomialNB</w:t>
            </w:r>
          </w:p>
        </w:tc>
        <w:tc>
          <w:tcPr>
            <w:tcW w:type="dxa" w:w="2304"/>
          </w:tcPr>
          <w:p>
            <w:r>
              <w:t>0.6505</w:t>
            </w:r>
          </w:p>
        </w:tc>
        <w:tc>
          <w:tcPr>
            <w:tcW w:type="dxa" w:w="2304"/>
          </w:tcPr>
          <w:p>
            <w:r>
              <w:t>0.0046</w:t>
            </w:r>
          </w:p>
        </w:tc>
      </w:tr>
      <w:tr>
        <w:tc>
          <w:tcPr>
            <w:tcW w:type="dxa" w:w="2880"/>
          </w:tcPr>
          <w:p>
            <w:r>
              <w:t>AdaBoost</w:t>
            </w:r>
          </w:p>
        </w:tc>
        <w:tc>
          <w:tcPr>
            <w:tcW w:type="dxa" w:w="2304"/>
          </w:tcPr>
          <w:p>
            <w:r>
              <w:t>0.5978</w:t>
            </w:r>
          </w:p>
        </w:tc>
        <w:tc>
          <w:tcPr>
            <w:tcW w:type="dxa" w:w="2304"/>
          </w:tcPr>
          <w:p>
            <w:r>
              <w:t>0.0102</w:t>
            </w:r>
          </w:p>
        </w:tc>
      </w:tr>
    </w:tbl>
    <w:p>
      <w:r>
        <w:rPr>
          <w:i/>
          <w:sz w:val="18"/>
        </w:rPr>
        <w:t>Table 6. Twelve baselines at library defaults, stratified 5-fold, supplied features.</w:t>
      </w:r>
    </w:p>
    <w:p>
      <w:r>
        <w:rPr>
          <w:b w:val="0"/>
          <w:i w:val="0"/>
        </w:rPr>
        <w:t>Three things in that table shaped the rest of the project. Boosted trees took the top three places. The linear models clustered tightly just below them, within 0.013 of each other, which told us that choosing among them was not where the gain was. And the whole table spans only 0.14 while sitting far below what the task should permit, which was the first hint that the representation rather than the model was the binding constraint. We did not read it that way at the time.</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Option</w:t>
            </w:r>
          </w:p>
        </w:tc>
        <w:tc>
          <w:tcPr>
            <w:tcW w:type="dxa" w:w="3384"/>
          </w:tcPr>
          <w:p>
            <w:r>
              <w:rPr>
                <w:b/>
              </w:rPr>
              <w:t>Pros</w:t>
            </w:r>
          </w:p>
        </w:tc>
        <w:tc>
          <w:tcPr>
            <w:tcW w:type="dxa" w:w="3384"/>
          </w:tcPr>
          <w:p>
            <w:r>
              <w:rPr>
                <w:b/>
              </w:rPr>
              <w:t>Cons</w:t>
            </w:r>
          </w:p>
        </w:tc>
      </w:tr>
      <w:tr>
        <w:tc>
          <w:tcPr>
            <w:tcW w:type="dxa" w:w="2160"/>
          </w:tcPr>
          <w:p>
            <w:r>
              <w:t>Tune the model we expect to win</w:t>
            </w:r>
          </w:p>
        </w:tc>
        <w:tc>
          <w:tcPr>
            <w:tcW w:type="dxa" w:w="3384"/>
          </w:tcPr>
          <w:p>
            <w:r>
              <w:t>All effort on one candidate; fastest to a tuned number</w:t>
            </w:r>
          </w:p>
        </w:tc>
        <w:tc>
          <w:tcPr>
            <w:tcW w:type="dxa" w:w="3384"/>
          </w:tcPr>
          <w:p>
            <w:r>
              <w:t>The expectation is untested, and a wrong guess is expensive to discover</w:t>
            </w:r>
          </w:p>
        </w:tc>
      </w:tr>
      <w:tr>
        <w:tc>
          <w:tcPr>
            <w:tcW w:type="dxa" w:w="2160"/>
          </w:tcPr>
          <w:p>
            <w:r>
              <w:t>Baseline everything, then tune the top few</w:t>
            </w:r>
          </w:p>
        </w:tc>
        <w:tc>
          <w:tcPr>
            <w:tcW w:type="dxa" w:w="3384"/>
          </w:tcPr>
          <w:p>
            <w:r>
              <w:t>Ranking is measured; the spread shows how much model choice is worth at all</w:t>
            </w:r>
          </w:p>
        </w:tc>
        <w:tc>
          <w:tcPr>
            <w:tcW w:type="dxa" w:w="3384"/>
          </w:tcPr>
          <w:p>
            <w:r>
              <w:t>Twelve fits before any tuning starts</w:t>
            </w:r>
          </w:p>
        </w:tc>
      </w:tr>
      <w:tr>
        <w:tc>
          <w:tcPr>
            <w:tcW w:type="dxa" w:w="2160"/>
          </w:tcPr>
          <w:p>
            <w:r>
              <w:t>Baseline everything and tune everything</w:t>
            </w:r>
          </w:p>
        </w:tc>
        <w:tc>
          <w:tcPr>
            <w:tcW w:type="dxa" w:w="3384"/>
          </w:tcPr>
          <w:p>
            <w:r>
              <w:t>No candidate is prematurely discarded</w:t>
            </w:r>
          </w:p>
        </w:tc>
        <w:tc>
          <w:tcPr>
            <w:tcW w:type="dxa" w:w="3384"/>
          </w:tcPr>
          <w:p>
            <w:r>
              <w:t>Twelve searches for a table that spans 0.14; most of it would be spent on models 0.05 behind the leader</w:t>
            </w:r>
          </w:p>
        </w:tc>
      </w:tr>
    </w:tbl>
    <w:p>
      <w:r>
        <w:rPr>
          <w:i/>
          <w:sz w:val="18"/>
        </w:rPr>
        <w:t>Table 7. How to allocate tuning effort.</w:t>
      </w:r>
    </w:p>
    <w:p>
      <w:r>
        <w:rPr>
          <w:b/>
          <w:color w:val="1F77B4"/>
        </w:rPr>
        <w:t xml:space="preserve">We chose: </w:t>
      </w:r>
      <w:r>
        <w:t>a full twelve-model baseline sweep at defaults first, then tuning restricted to the leader and the strongest linear models.</w:t>
      </w:r>
    </w:p>
    <w:p>
      <w:r>
        <w:rPr>
          <w:b/>
        </w:rPr>
        <w:t xml:space="preserve">Tradeoff accepted: </w:t>
      </w:r>
      <w:r>
        <w:t>twelve fits before a single hyperparameter moved, and we still tuned five families rather than committing to one, so some of that search budget went on models that never became candidates.</w:t>
      </w:r>
    </w:p>
    <w:p>
      <w:r>
        <w:rPr>
          <w:b/>
        </w:rPr>
        <w:t xml:space="preserve">Acceptable because: </w:t>
      </w:r>
      <w:r>
        <w:t>the spread of the table was itself the finding. Knowing that twelve families span 0.14 and that the top four sit within 0.015 told us in advance that model choice was worth less than we hoped, which is the evidence we later used to stop tuning and stop ensembling rather than grinding at them. Tuning the linear models as well was cheap and gave us genuinely independent ensemble members in phase 6.</w:t>
      </w:r>
    </w:p>
    <w:p>
      <w:pPr>
        <w:jc w:val="center"/>
      </w:pPr>
      <w:r>
        <w:drawing>
          <wp:inline xmlns:a="http://schemas.openxmlformats.org/drawingml/2006/main" xmlns:pic="http://schemas.openxmlformats.org/drawingml/2006/picture">
            <wp:extent cx="5303520" cy="3889248"/>
            <wp:docPr id="6" name="Picture 6"/>
            <wp:cNvGraphicFramePr>
              <a:graphicFrameLocks noChangeAspect="1"/>
            </wp:cNvGraphicFramePr>
            <a:graphic>
              <a:graphicData uri="http://schemas.openxmlformats.org/drawingml/2006/picture">
                <pic:pic>
                  <pic:nvPicPr>
                    <pic:cNvPr id="0" name="baseline_models_cv_f1.png"/>
                    <pic:cNvPicPr/>
                  </pic:nvPicPr>
                  <pic:blipFill>
                    <a:blip r:embed="rId14"/>
                    <a:stretch>
                      <a:fillRect/>
                    </a:stretch>
                  </pic:blipFill>
                  <pic:spPr>
                    <a:xfrm>
                      <a:off x="0" y="0"/>
                      <a:ext cx="5303520" cy="3889248"/>
                    </a:xfrm>
                    <a:prstGeom prst="rect"/>
                  </pic:spPr>
                </pic:pic>
              </a:graphicData>
            </a:graphic>
          </wp:inline>
        </w:drawing>
      </w:r>
    </w:p>
    <w:p>
      <w:pPr>
        <w:jc w:val="center"/>
      </w:pPr>
      <w:r>
        <w:rPr>
          <w:i/>
          <w:sz w:val="18"/>
        </w:rPr>
        <w:t>Figure 6. The baseline sweep. LightGBM led, and it kept leading once we learned to compare models fairly in phase 7.</w:t>
      </w:r>
    </w:p>
    <w:p>
      <w:pPr>
        <w:pStyle w:val="Heading1"/>
      </w:pPr>
      <w:r>
        <w:t>6. Phase 5: tuning, and a first leaderboard result that went badly</w:t>
      </w:r>
    </w:p>
    <w:p>
      <w:r>
        <w:rPr>
          <w:b w:val="0"/>
          <w:i w:val="0"/>
        </w:rPr>
        <w:t>Five families were tuned with the same two-stage protocol: a coarse randomised search over a wide space, then a focused grid around the winner. Search spaces were documented in the notebook before the search ran, so the ranges were justified rather than reverse-engineered from the result.</w:t>
      </w:r>
    </w:p>
    <w:p>
      <w:r>
        <w:rPr>
          <w:b w:val="0"/>
          <w:i w:val="0"/>
        </w:rPr>
        <w:t>It worked, in the sense that the numbers moved. LightGBM went from 0.7391 to 0.7443 in cross-validation. The untouched holdout confirmed it at 0.7437, a gap of 0.0006, so we were not overfitting the search. Tuning the decision threshold on the holdout added a further 0.003. Every diagnostic we had said the model was in good shape.</w:t>
      </w:r>
    </w:p>
    <w:p>
      <w:r>
        <w:rPr>
          <w:b w:val="0"/>
          <w:i w:val="0"/>
        </w:rPr>
        <w:t>Then we submitted it and scored 0.65738 on the public leaderboard. Applying the holdout-tuned threshold instead gave 0.66502. Against a local 0.7437 on data the model had never seen, that is a gap of roughly 0.079, and the threshold we had carefully tuned locally moved the leaderboard by less than a hundredth.</w:t>
      </w:r>
    </w:p>
    <w:p>
      <w:r>
        <w:rPr>
          <w:b w:val="0"/>
          <w:i w:val="0"/>
        </w:rPr>
        <w:t>Two readings were available. Either something was broken, or the brief's warning about a deliberate train-to-test shift was simply true and local numbers do not transfer. We checked for the usual causes of a suspicious gap, found no leakage, no duplicate rows shared across splits and no preprocessing fitted on the test set, and accepted the second reading. What we did not spot for another two phases was that we were also comparing models at different predicted class balances, which made the leaderboard look anti-correlated with local validation when it was not. Section 12.1 covers that.</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Option</w:t>
            </w:r>
          </w:p>
        </w:tc>
        <w:tc>
          <w:tcPr>
            <w:tcW w:type="dxa" w:w="3384"/>
          </w:tcPr>
          <w:p>
            <w:r>
              <w:rPr>
                <w:b/>
              </w:rPr>
              <w:t>Pros</w:t>
            </w:r>
          </w:p>
        </w:tc>
        <w:tc>
          <w:tcPr>
            <w:tcW w:type="dxa" w:w="3384"/>
          </w:tcPr>
          <w:p>
            <w:r>
              <w:rPr>
                <w:b/>
              </w:rPr>
              <w:t>Cons</w:t>
            </w:r>
          </w:p>
        </w:tc>
      </w:tr>
      <w:tr>
        <w:tc>
          <w:tcPr>
            <w:tcW w:type="dxa" w:w="2160"/>
          </w:tcPr>
          <w:p>
            <w:r>
              <w:t>Trust the local numbers and keep tuning</w:t>
            </w:r>
          </w:p>
        </w:tc>
        <w:tc>
          <w:tcPr>
            <w:tcW w:type="dxa" w:w="3384"/>
          </w:tcPr>
          <w:p>
            <w:r>
              <w:t>Local validation was clean and reproducible; the holdout agreed with CV</w:t>
            </w:r>
          </w:p>
        </w:tc>
        <w:tc>
          <w:tcPr>
            <w:tcW w:type="dxa" w:w="3384"/>
          </w:tcPr>
          <w:p>
            <w:r>
              <w:t>Local and leaderboard disagreed by 0.079, so at least one of them was not measuring the target</w:t>
            </w:r>
          </w:p>
        </w:tc>
      </w:tr>
      <w:tr>
        <w:tc>
          <w:tcPr>
            <w:tcW w:type="dxa" w:w="2160"/>
          </w:tcPr>
          <w:p>
            <w:r>
              <w:t>Assume a bug and audit the pipeline</w:t>
            </w:r>
          </w:p>
        </w:tc>
        <w:tc>
          <w:tcPr>
            <w:tcW w:type="dxa" w:w="3384"/>
          </w:tcPr>
          <w:p>
            <w:r>
              <w:t>Cheap to check, and the failure mode is severe if real</w:t>
            </w:r>
          </w:p>
        </w:tc>
        <w:tc>
          <w:tcPr>
            <w:tcW w:type="dxa" w:w="3384"/>
          </w:tcPr>
          <w:p>
            <w:r>
              <w:t>The brief predicts this exact gap by design, so the prior on a bug is low</w:t>
            </w:r>
          </w:p>
        </w:tc>
      </w:tr>
      <w:tr>
        <w:tc>
          <w:tcPr>
            <w:tcW w:type="dxa" w:w="2160"/>
          </w:tcPr>
          <w:p>
            <w:r>
              <w:t>Take the leaderboard as ground truth and tune against it</w:t>
            </w:r>
          </w:p>
        </w:tc>
        <w:tc>
          <w:tcPr>
            <w:tcW w:type="dxa" w:w="3384"/>
          </w:tcPr>
          <w:p>
            <w:r>
              <w:t>It is the graded surface</w:t>
            </w:r>
          </w:p>
        </w:tc>
        <w:tc>
          <w:tcPr>
            <w:tcW w:type="dxa" w:w="3384"/>
          </w:tcPr>
          <w:p>
            <w:r>
              <w:t>Roughly 3,570 scored rows means a noise floor near 0.0084, and submissions are rationed; this is how leaderboard overfitting starts</w:t>
            </w:r>
          </w:p>
        </w:tc>
      </w:tr>
      <w:tr>
        <w:tc>
          <w:tcPr>
            <w:tcW w:type="dxa" w:w="2160"/>
          </w:tcPr>
          <w:p>
            <w:r>
              <w:t>Keep both, and quantify the leaderboard's precision</w:t>
            </w:r>
          </w:p>
        </w:tc>
        <w:tc>
          <w:tcPr>
            <w:tcW w:type="dxa" w:w="3384"/>
          </w:tcPr>
          <w:p>
            <w:r>
              <w:t>Makes the two instruments comparable and stops arguments about small differences</w:t>
            </w:r>
          </w:p>
        </w:tc>
        <w:tc>
          <w:tcPr>
            <w:tcW w:type="dxa" w:w="3384"/>
          </w:tcPr>
          <w:p>
            <w:r>
              <w:t>Requires spending submissions on measurement rather than on candidates</w:t>
            </w:r>
          </w:p>
        </w:tc>
      </w:tr>
    </w:tbl>
    <w:p>
      <w:r>
        <w:rPr>
          <w:i/>
          <w:sz w:val="18"/>
        </w:rPr>
        <w:t>Table 8. How to react to a 0.079 gap between local validation and the leaderboard.</w:t>
      </w:r>
    </w:p>
    <w:p>
      <w:r>
        <w:rPr>
          <w:b/>
          <w:color w:val="1F77B4"/>
        </w:rPr>
        <w:t xml:space="preserve">We chose: </w:t>
      </w:r>
      <w:r>
        <w:t>keep local validation as the ranking instrument, audit for leakage once, and compute the leaderboard's own noise floor at 0.0084 so that public differences could be judged rather than argued about.</w:t>
      </w:r>
    </w:p>
    <w:p>
      <w:r>
        <w:rPr>
          <w:b/>
        </w:rPr>
        <w:t xml:space="preserve">Tradeoff accepted: </w:t>
      </w:r>
      <w:r>
        <w:t>we accepted that our local numbers would stay roughly 0.08 above the leaderboard for the rest of the project, and we spent submissions on diagnostics instead of on candidates.</w:t>
      </w:r>
    </w:p>
    <w:p>
      <w:r>
        <w:rPr>
          <w:b/>
        </w:rPr>
        <w:t xml:space="preserve">Acceptable because: </w:t>
      </w:r>
      <w:r>
        <w:t>the brief states the shift is deliberate, so a large gap is the designed behaviour rather than evidence of a defect, and chasing it closed would have meant fitting the public rows. Quantifying the noise floor was the highest-value submission we ever spent: it later let us stop three searches at the right moment and disbelieve two of our own apparent gains.</w:t>
      </w:r>
    </w:p>
    <w:p>
      <w:pPr>
        <w:jc w:val="center"/>
      </w:pPr>
      <w:r>
        <w:drawing>
          <wp:inline xmlns:a="http://schemas.openxmlformats.org/drawingml/2006/main" xmlns:pic="http://schemas.openxmlformats.org/drawingml/2006/picture">
            <wp:extent cx="4937760" cy="3526971"/>
            <wp:docPr id="7" name="Picture 7"/>
            <wp:cNvGraphicFramePr>
              <a:graphicFrameLocks noChangeAspect="1"/>
            </wp:cNvGraphicFramePr>
            <a:graphic>
              <a:graphicData uri="http://schemas.openxmlformats.org/drawingml/2006/picture">
                <pic:pic>
                  <pic:nvPicPr>
                    <pic:cNvPr id="0" name="lightgbm_stage2_grid_heatmap.png"/>
                    <pic:cNvPicPr/>
                  </pic:nvPicPr>
                  <pic:blipFill>
                    <a:blip r:embed="rId15"/>
                    <a:stretch>
                      <a:fillRect/>
                    </a:stretch>
                  </pic:blipFill>
                  <pic:spPr>
                    <a:xfrm>
                      <a:off x="0" y="0"/>
                      <a:ext cx="4937760" cy="3526971"/>
                    </a:xfrm>
                    <a:prstGeom prst="rect"/>
                  </pic:spPr>
                </pic:pic>
              </a:graphicData>
            </a:graphic>
          </wp:inline>
        </w:drawing>
      </w:r>
    </w:p>
    <w:p>
      <w:pPr>
        <w:jc w:val="center"/>
      </w:pPr>
      <w:r>
        <w:rPr>
          <w:i/>
          <w:sz w:val="18"/>
        </w:rPr>
        <w:t>Figure 7. Stage two of the LightGBM search on the supplied features. The surface is flat across most of the grid, which is why tuning bought about 0.005.</w:t>
      </w:r>
    </w:p>
    <w:p>
      <w:pPr>
        <w:jc w:val="center"/>
      </w:pPr>
      <w:r>
        <w:drawing>
          <wp:inline xmlns:a="http://schemas.openxmlformats.org/drawingml/2006/main" xmlns:pic="http://schemas.openxmlformats.org/drawingml/2006/picture">
            <wp:extent cx="4937760" cy="2821577"/>
            <wp:docPr id="8" name="Picture 8"/>
            <wp:cNvGraphicFramePr>
              <a:graphicFrameLocks noChangeAspect="1"/>
            </wp:cNvGraphicFramePr>
            <a:graphic>
              <a:graphicData uri="http://schemas.openxmlformats.org/drawingml/2006/picture">
                <pic:pic>
                  <pic:nvPicPr>
                    <pic:cNvPr id="0" name="lightgbm_threshold_sweep.png"/>
                    <pic:cNvPicPr/>
                  </pic:nvPicPr>
                  <pic:blipFill>
                    <a:blip r:embed="rId16"/>
                    <a:stretch>
                      <a:fillRect/>
                    </a:stretch>
                  </pic:blipFill>
                  <pic:spPr>
                    <a:xfrm>
                      <a:off x="0" y="0"/>
                      <a:ext cx="4937760" cy="2821577"/>
                    </a:xfrm>
                    <a:prstGeom prst="rect"/>
                  </pic:spPr>
                </pic:pic>
              </a:graphicData>
            </a:graphic>
          </wp:inline>
        </w:drawing>
      </w:r>
    </w:p>
    <w:p>
      <w:pPr>
        <w:jc w:val="center"/>
      </w:pPr>
      <w:r>
        <w:rPr>
          <w:i/>
          <w:sz w:val="18"/>
        </w:rPr>
        <w:t>Figure 8. Threshold sweep on the holdout. The peak is real locally and moved the leaderboard by less than 0.01, which was the first sign that the decision rule needed a different kind of evidence.</w:t>
      </w:r>
    </w:p>
    <w:p>
      <w:pPr>
        <w:pStyle w:val="Heading1"/>
      </w:pPr>
      <w:r>
        <w:t>7. Phase 6: ensembling, and an honest null</w:t>
      </w:r>
    </w:p>
    <w:p>
      <w:r>
        <w:rPr>
          <w:b w:val="0"/>
          <w:i w:val="0"/>
        </w:rPr>
        <w:t>With one model tuned and the gap unexplained, the standard next move is to combine models. The baseline table supported it: boosted trees and linear models make different errors, so there was real diversity to exploit. We built six members and tried four families of combiner across forty-eight configurations, including weighted blending with hill-climbed weights, majority and soft voting, meta-learners stacked on out-of-fold predictions, and rank aggregation.</w:t>
      </w:r>
    </w:p>
    <w:p>
      <w:r>
        <w:rPr>
          <w:b w:val="0"/>
          <w:i w:val="0"/>
        </w:rPr>
        <w:t>Out-of-fold AUC improved by 0.0075. On the leaderboard the best combiner scored 0.73754 against 0.73583 for the single model, a gain of +0.00171, which is under a fifth of the 0.0084 noise floor. We report it as a tie, because that is what it is.</w:t>
      </w:r>
    </w:p>
    <w:p>
      <w:r>
        <w:rPr>
          <w:b w:val="0"/>
          <w:i w:val="0"/>
        </w:rPr>
        <w:t>Both of those submissions were made at a matched predicted share of 0.4996, which is the only reason the two numbers are comparable at all. That control comes out of the calibration work in phase 7, and the fact that we needed it here is part of why phase 7 is written the way it is.</w:t>
      </w:r>
    </w:p>
    <w:p>
      <w:r>
        <w:rPr>
          <w:b w:val="0"/>
          <w:i w:val="0"/>
        </w:rPr>
        <w:t>This is the phase where the noise floor earned its keep. Without it we would have read +0.0017 as a small win, kept the ensemble, and spent the next phase adding members. With it, the correct reading was that two consecutive phases of work on the model had returned nothing the leaderboard could distinguish from zero, and that the constraint therefore lay somewhere we had not touched.</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Option</w:t>
            </w:r>
          </w:p>
        </w:tc>
        <w:tc>
          <w:tcPr>
            <w:tcW w:type="dxa" w:w="3384"/>
          </w:tcPr>
          <w:p>
            <w:r>
              <w:rPr>
                <w:b/>
              </w:rPr>
              <w:t>Pros</w:t>
            </w:r>
          </w:p>
        </w:tc>
        <w:tc>
          <w:tcPr>
            <w:tcW w:type="dxa" w:w="3384"/>
          </w:tcPr>
          <w:p>
            <w:r>
              <w:rPr>
                <w:b/>
              </w:rPr>
              <w:t>Cons</w:t>
            </w:r>
          </w:p>
        </w:tc>
      </w:tr>
      <w:tr>
        <w:tc>
          <w:tcPr>
            <w:tcW w:type="dxa" w:w="2160"/>
          </w:tcPr>
          <w:p>
            <w:r>
              <w:t>Ship the ensemble anyway</w:t>
            </w:r>
          </w:p>
        </w:tc>
        <w:tc>
          <w:tcPr>
            <w:tcW w:type="dxa" w:w="3384"/>
          </w:tcPr>
          <w:p>
            <w:r>
              <w:t>It is nominally the best public score we have</w:t>
            </w:r>
          </w:p>
        </w:tc>
        <w:tc>
          <w:tcPr>
            <w:tcW w:type="dxa" w:w="3384"/>
          </w:tcPr>
          <w:p>
            <w:r>
              <w:t>A 0.0017 lead inside a 0.0084 noise floor is not evidence; and six models cost six times the compute to retrain and audit</w:t>
            </w:r>
          </w:p>
        </w:tc>
      </w:tr>
      <w:tr>
        <w:tc>
          <w:tcPr>
            <w:tcW w:type="dxa" w:w="2160"/>
          </w:tcPr>
          <w:p>
            <w:r>
              <w:t>Add more and more diverse members</w:t>
            </w:r>
          </w:p>
        </w:tc>
        <w:tc>
          <w:tcPr>
            <w:tcW w:type="dxa" w:w="3384"/>
          </w:tcPr>
          <w:p>
            <w:r>
              <w:t>Diversity is the usual lever when blending stalls</w:t>
            </w:r>
          </w:p>
        </w:tc>
        <w:tc>
          <w:tcPr>
            <w:tcW w:type="dxa" w:w="3384"/>
          </w:tcPr>
          <w:p>
            <w:r>
              <w:t>Diversity was already high; the members disagreed and the blend still did not move</w:t>
            </w:r>
          </w:p>
        </w:tc>
      </w:tr>
      <w:tr>
        <w:tc>
          <w:tcPr>
            <w:tcW w:type="dxa" w:w="2160"/>
          </w:tcPr>
          <w:p>
            <w:r>
              <w:t>Stop, and ask what we have not changed</w:t>
            </w:r>
          </w:p>
        </w:tc>
        <w:tc>
          <w:tcPr>
            <w:tcW w:type="dxa" w:w="3384"/>
          </w:tcPr>
          <w:p>
            <w:r>
              <w:t>Redirects effort to an untested axis</w:t>
            </w:r>
          </w:p>
        </w:tc>
        <w:tc>
          <w:tcPr>
            <w:tcW w:type="dxa" w:w="3384"/>
          </w:tcPr>
          <w:p>
            <w:r>
              <w:t>Abandons a phase of finished work, and the answer might have been that nothing else was available</w:t>
            </w:r>
          </w:p>
        </w:tc>
      </w:tr>
    </w:tbl>
    <w:p>
      <w:r>
        <w:rPr>
          <w:i/>
          <w:sz w:val="18"/>
        </w:rPr>
        <w:t>Table 9. What to do when a well-built ensemble returns nothing.</w:t>
      </w:r>
    </w:p>
    <w:p>
      <w:r>
        <w:rPr>
          <w:b/>
          <w:color w:val="1F77B4"/>
        </w:rPr>
        <w:t xml:space="preserve">We chose: </w:t>
      </w:r>
      <w:r>
        <w:t>stop ensembling, revert to a single LightGBM, and treat the null as diagnostic information rather than a failure.</w:t>
      </w:r>
    </w:p>
    <w:p>
      <w:r>
        <w:rPr>
          <w:b/>
        </w:rPr>
        <w:t xml:space="preserve">Tradeoff accepted: </w:t>
      </w:r>
      <w:r>
        <w:t>we gave up the standard route to a last fraction of a point, and our final submission has no model diversity to fall back on if the private rows behave differently from the public ones.</w:t>
      </w:r>
    </w:p>
    <w:p>
      <w:r>
        <w:rPr>
          <w:b/>
        </w:rPr>
        <w:t xml:space="preserve">Acceptable because: </w:t>
      </w:r>
      <w:r>
        <w:t>we had measured what that fraction was worth here and it was below what the leaderboard can resolve. Two phases of model work returning nothing is a strong signal about where the constraint is, and acting on it led directly to phase 8, which returned 0.044. Shipping one model also kept the pipeline simple enough to attribute later gains precisely, which mattered a great deal in phases 7 and 9.</w:t>
      </w:r>
    </w:p>
    <w:p>
      <w:pPr>
        <w:jc w:val="center"/>
      </w:pPr>
      <w:r>
        <w:drawing>
          <wp:inline xmlns:a="http://schemas.openxmlformats.org/drawingml/2006/main" xmlns:pic="http://schemas.openxmlformats.org/drawingml/2006/picture">
            <wp:extent cx="5303520" cy="2039815"/>
            <wp:docPr id="9" name="Picture 9"/>
            <wp:cNvGraphicFramePr>
              <a:graphicFrameLocks noChangeAspect="1"/>
            </wp:cNvGraphicFramePr>
            <a:graphic>
              <a:graphicData uri="http://schemas.openxmlformats.org/drawingml/2006/picture">
                <pic:pic>
                  <pic:nvPicPr>
                    <pic:cNvPr id="0" name="ensemble_combiner_leaderboard.png"/>
                    <pic:cNvPicPr/>
                  </pic:nvPicPr>
                  <pic:blipFill>
                    <a:blip r:embed="rId17"/>
                    <a:stretch>
                      <a:fillRect/>
                    </a:stretch>
                  </pic:blipFill>
                  <pic:spPr>
                    <a:xfrm>
                      <a:off x="0" y="0"/>
                      <a:ext cx="5303520" cy="2039815"/>
                    </a:xfrm>
                    <a:prstGeom prst="rect"/>
                  </pic:spPr>
                </pic:pic>
              </a:graphicData>
            </a:graphic>
          </wp:inline>
        </w:drawing>
      </w:r>
    </w:p>
    <w:p>
      <w:pPr>
        <w:jc w:val="center"/>
      </w:pPr>
      <w:r>
        <w:rPr>
          <w:i/>
          <w:sz w:val="18"/>
        </w:rPr>
        <w:t>Figure 9. Forty-eight combiner configurations across four families. The spread between the best and the single model is smaller than the leaderboard can measure.</w:t>
      </w:r>
    </w:p>
    <w:p>
      <w:pPr>
        <w:pStyle w:val="Heading1"/>
      </w:pPr>
      <w:r>
        <w:t>8. Phase 7: threshold calibration</w:t>
      </w:r>
    </w:p>
    <w:p>
      <w:r>
        <w:rPr>
          <w:b w:val="0"/>
          <w:i w:val="0"/>
        </w:rPr>
        <w:t>If the model was not the constraint, the next candidate was the decision rule. A classifier emits a probability; turning it into a label needs a cut, and we had been using 0.5 by default, which inherits the training prior of 62.5% machine. If the test set has a different balance, that cut is wrong no matter how good the model is.</w:t>
      </w:r>
    </w:p>
    <w:p>
      <w:r>
        <w:rPr>
          <w:b w:val="0"/>
          <w:i w:val="0"/>
        </w:rPr>
        <w:t>The first attempt tuned the threshold on the local holdout. It moved the leaderboard from 0.65738 to 0.66502, and it moved it in the wrong direction relative to what later turned out to be optimal. The reason is structural rather than incidental: our dev and holdout splits are both carved from training data and inherit its class balance, so no amount of local data can tell us what fraction of the test set is machine-generated. This is the one quantity in the project that local validation is constitutionally unable to estimate.</w:t>
      </w:r>
    </w:p>
    <w:p>
      <w:r>
        <w:rPr>
          <w:b w:val="0"/>
          <w:i w:val="0"/>
        </w:rPr>
        <w:t>So we changed the parameterisation. Instead of choosing a probability threshold, we sorted the test rows by score and labelled a fixed share of them machine. The share is directly interpretable as a prediction about the test set's class balance, it is comparable across models where a raw threshold is not, and it can be swept systematically. Sweeping it on the linear model gave 0.71783 at share 0.55 and 0.71314 at share 0.45, locating a peak far from where the default threshold had been putting us.</w:t>
      </w:r>
    </w:p>
    <w:p>
      <w:r>
        <w:rPr>
          <w:b w:val="0"/>
          <w:i w:val="0"/>
        </w:rPr>
        <w:t>Applied to the tuned LightGBM, moving from the default cut to a global share of 0.4996 took the leaderboard from 0.65738 to 0.73583. That is +0.07845 from changing nothing but the cut, and it is the largest single gain in the project, nearly twice what rebuilding the entire representation was worth. It is also the cheapest: one line of code and one submission.</w:t>
      </w:r>
    </w:p>
    <w:p>
      <w:r>
        <w:rPr>
          <w:b w:val="0"/>
          <w:i w:val="0"/>
        </w:rPr>
        <w:t>That reparameterisation also exposed a mistake we had been making since phase 5. Each model had been submitted at whatever predicted share its own default threshold happened to produce, so every model comparison on the leaderboard had been confounded with a calibration comparison. Re-testing at a matched share of 0.4996, LightGBM scored 0.73583 against 0.71691 for ElasticNet and 0.71424 for LinearSVC. LightGBM led by 0.0189, in the same direction and roughly the same magnitude as its local lead. Local validation had never been anti-correlated with the leaderboard. We had been asking two questions as though they were one.</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Option</w:t>
            </w:r>
          </w:p>
        </w:tc>
        <w:tc>
          <w:tcPr>
            <w:tcW w:type="dxa" w:w="3384"/>
          </w:tcPr>
          <w:p>
            <w:r>
              <w:rPr>
                <w:b/>
              </w:rPr>
              <w:t>Pros</w:t>
            </w:r>
          </w:p>
        </w:tc>
        <w:tc>
          <w:tcPr>
            <w:tcW w:type="dxa" w:w="3384"/>
          </w:tcPr>
          <w:p>
            <w:r>
              <w:rPr>
                <w:b/>
              </w:rPr>
              <w:t>Cons</w:t>
            </w:r>
          </w:p>
        </w:tc>
      </w:tr>
      <w:tr>
        <w:tc>
          <w:tcPr>
            <w:tcW w:type="dxa" w:w="2160"/>
          </w:tcPr>
          <w:p>
            <w:r>
              <w:t>Keep the 0.5 default</w:t>
            </w:r>
          </w:p>
        </w:tc>
        <w:tc>
          <w:tcPr>
            <w:tcW w:type="dxa" w:w="3384"/>
          </w:tcPr>
          <w:p>
            <w:r>
              <w:t>No fitting to the leaderboard at all; nothing to overfit</w:t>
            </w:r>
          </w:p>
        </w:tc>
        <w:tc>
          <w:tcPr>
            <w:tcW w:type="dxa" w:w="3384"/>
          </w:tcPr>
          <w:p>
            <w:r>
              <w:t>It silently assumes the test balance equals the training balance of 62.5%, which the brief says is false</w:t>
            </w:r>
          </w:p>
        </w:tc>
      </w:tr>
      <w:tr>
        <w:tc>
          <w:tcPr>
            <w:tcW w:type="dxa" w:w="2160"/>
          </w:tcPr>
          <w:p>
            <w:r>
              <w:t>Tune the threshold on the local holdout</w:t>
            </w:r>
          </w:p>
        </w:tc>
        <w:tc>
          <w:tcPr>
            <w:tcW w:type="dxa" w:w="3384"/>
          </w:tcPr>
          <w:p>
            <w:r>
              <w:t>Uses held-out data; the standard, defensible procedure</w:t>
            </w:r>
          </w:p>
        </w:tc>
        <w:tc>
          <w:tcPr>
            <w:tcW w:type="dxa" w:w="3384"/>
          </w:tcPr>
          <w:p>
            <w:r>
              <w:t>The holdout inherits the training balance, so it optimises for the wrong distribution; measured at 0.66502, worse than useless here</w:t>
            </w:r>
          </w:p>
        </w:tc>
      </w:tr>
      <w:tr>
        <w:tc>
          <w:tcPr>
            <w:tcW w:type="dxa" w:w="2160"/>
          </w:tcPr>
          <w:p>
            <w:r>
              <w:t>Sweep predicted share on the leaderboard</w:t>
            </w:r>
          </w:p>
        </w:tc>
        <w:tc>
          <w:tcPr>
            <w:tcW w:type="dxa" w:w="3384"/>
          </w:tcPr>
          <w:p>
            <w:r>
              <w:t>Directly parameterises the quantity we cannot estimate locally; comparable across models</w:t>
            </w:r>
          </w:p>
        </w:tc>
        <w:tc>
          <w:tcPr>
            <w:tcW w:type="dxa" w:w="3384"/>
          </w:tcPr>
          <w:p>
            <w:r>
              <w:t>Fits to the public rows, which are noisy and rationed</w:t>
            </w:r>
          </w:p>
        </w:tc>
      </w:tr>
      <w:tr>
        <w:tc>
          <w:tcPr>
            <w:tcW w:type="dxa" w:w="2160"/>
          </w:tcPr>
          <w:p>
            <w:r>
              <w:t>Estimate the test balance from the paper and set the share once</w:t>
            </w:r>
          </w:p>
        </w:tc>
        <w:tc>
          <w:tcPr>
            <w:tcW w:type="dxa" w:w="3384"/>
          </w:tcPr>
          <w:p>
            <w:r>
              <w:t>One submission, no search, no leaderboard fitting</w:t>
            </w:r>
          </w:p>
        </w:tc>
        <w:tc>
          <w:tcPr>
            <w:tcW w:type="dxa" w:w="3384"/>
          </w:tcPr>
          <w:p>
            <w:r>
              <w:t>The paper's figure covers the full shared-task test set, and the course uses a subsample of under 5% of it</w:t>
            </w:r>
          </w:p>
        </w:tc>
      </w:tr>
    </w:tbl>
    <w:p>
      <w:r>
        <w:rPr>
          <w:i/>
          <w:sz w:val="18"/>
        </w:rPr>
        <w:t>Table 10. How to convert model scores into labels.</w:t>
      </w:r>
    </w:p>
    <w:p>
      <w:r>
        <w:rPr>
          <w:b/>
          <w:color w:val="1F77B4"/>
        </w:rPr>
        <w:t xml:space="preserve">We chose: </w:t>
      </w:r>
      <w:r>
        <w:t>parameterise the decision rule as a predicted share rather than a probability threshold, and locate it by sweeping the leaderboard, using the paper's figure as a starting bracket rather than as an answer.</w:t>
      </w:r>
    </w:p>
    <w:p>
      <w:r>
        <w:rPr>
          <w:b/>
        </w:rPr>
        <w:t xml:space="preserve">Tradeoff accepted: </w:t>
      </w:r>
      <w:r>
        <w:t>the share is fitted to the public leaderboard, which no local data can validate, and a search on a noisy objective can manufacture apparent gain that does not exist on the private rows.</w:t>
      </w:r>
    </w:p>
    <w:p>
      <w:r>
        <w:rPr>
          <w:b/>
        </w:rPr>
        <w:t xml:space="preserve">Acceptable because: </w:t>
      </w:r>
      <w:r>
        <w:t>there is no alternative that is not simply wrong. The default cut encodes a training prior the brief tells us does not hold, and the holdout-tuned cut encodes the same prior with extra steps, which we measured. We managed the risk instead of pretending it away: every share claim is judged against the noise floor, we stop refining once inside a flat region, and our final picks pair the best public point with a more central one.</w:t>
      </w:r>
    </w:p>
    <w:p>
      <w:pPr>
        <w:jc w:val="center"/>
      </w:pPr>
      <w:r>
        <w:drawing>
          <wp:inline xmlns:a="http://schemas.openxmlformats.org/drawingml/2006/main" xmlns:pic="http://schemas.openxmlformats.org/drawingml/2006/picture">
            <wp:extent cx="4937760" cy="3394710"/>
            <wp:docPr id="10" name="Picture 10"/>
            <wp:cNvGraphicFramePr>
              <a:graphicFrameLocks noChangeAspect="1"/>
            </wp:cNvGraphicFramePr>
            <a:graphic>
              <a:graphicData uri="http://schemas.openxmlformats.org/drawingml/2006/picture">
                <pic:pic>
                  <pic:nvPicPr>
                    <pic:cNvPr id="0" name="class_balance_curve_round2.png"/>
                    <pic:cNvPicPr/>
                  </pic:nvPicPr>
                  <pic:blipFill>
                    <a:blip r:embed="rId18"/>
                    <a:stretch>
                      <a:fillRect/>
                    </a:stretch>
                  </pic:blipFill>
                  <pic:spPr>
                    <a:xfrm>
                      <a:off x="0" y="0"/>
                      <a:ext cx="4937760" cy="3394710"/>
                    </a:xfrm>
                    <a:prstGeom prst="rect"/>
                  </pic:spPr>
                </pic:pic>
              </a:graphicData>
            </a:graphic>
          </wp:inline>
        </w:drawing>
      </w:r>
    </w:p>
    <w:p>
      <w:pPr>
        <w:jc w:val="center"/>
      </w:pPr>
      <w:r>
        <w:rPr>
          <w:i/>
          <w:sz w:val="18"/>
        </w:rPr>
        <w:t>Figure 10. The global predicted-share curve. Flat across a wide band, which we read at the time as share being exhausted. Phase 9 shows why that reading was wrong.</w:t>
      </w:r>
    </w:p>
    <w:p>
      <w:pPr>
        <w:pStyle w:val="Heading1"/>
      </w:pPr>
      <w:r>
        <w:t>9. Phase 8: the pivot to raw-text features</w:t>
      </w:r>
    </w:p>
    <w:p>
      <w:r>
        <w:rPr>
          <w:b w:val="0"/>
          <w:i w:val="0"/>
        </w:rPr>
        <w:t>We were now stuck for a different reason. Tuning had gained 0.005 locally and little on the leaderboard, ensembling had gained 0.0017, and calibration, which had produced the largest gain of the project, had run out of room: sweeping global share further came back flat. Every one of those phases had changed the model or the decision rule while holding the input fixed, and the input was the one thing we had never questioned.</w:t>
      </w:r>
    </w:p>
    <w:p>
      <w:r>
        <w:rPr>
          <w:b w:val="0"/>
          <w:i w:val="0"/>
        </w:rPr>
        <w:t>What changed our minds was reading the shared-task paper properly rather than skimming its abstract. Its data section says the training corpora are HC3, M4GT and MAGE, and the test corpora are CUDRT, IELTS, NLPeer, PeerSum and MixSet, with no overlap between them. It also gives the class balance of each: 62.6% machine in training against 53.1% in test, which matches the 62.52% we had measured and the roughly 0.53 we had inferred from the share sweep. The test file is not a held-out sample of the same distribution. It is different sources entirely.</w:t>
      </w:r>
    </w:p>
    <w:p>
      <w:r>
        <w:rPr>
          <w:b w:val="0"/>
          <w:i w:val="0"/>
        </w:rPr>
        <w:t>That reframed the supplied features. They are top-5,000 TF-IDF over lemmas with stop words removed. Lemmatising and dropping stop words deliberately strips out function words and inflection and keeps content vocabulary, which is a sensible default for topic classification and close to the worst possible choice here, because content vocabulary is precisely what changes when the corpus changes. A model trained on those columns learns what training-set machine text is about, not how machine text is written. Meanwhile the raw text had been sitting in train.csv, essentially untouched through seven notebooks apart from one length summary.</w:t>
      </w:r>
    </w:p>
    <w:p>
      <w:r>
        <w:rPr>
          <w:b w:val="0"/>
          <w:i w:val="0"/>
        </w:rPr>
        <w:t>So we rebuilt the representation from the raw text: rates of 318 function words, punctuation and symbol rates per thousand characters, casing patterns, layout and structure such as newlines and bullets and markdown, length and burstiness moments, lexical diversity measures, readability, and character and word n-gram TF-IDF with stop words kept and no lemmatisation. Eleven blocks in total, from which eight were selected.</w:t>
      </w:r>
    </w:p>
    <w:tbl>
      <w:tblPr>
        <w:tblStyle w:val="LightGrid-Accent1"/>
        <w:tblW w:type="auto" w:w="0"/>
        <w:tblLook w:firstColumn="1" w:firstRow="1" w:lastColumn="0" w:lastRow="0" w:noHBand="0" w:noVBand="1" w:val="04A0"/>
      </w:tblPr>
      <w:tblGrid>
        <w:gridCol w:w="4320"/>
        <w:gridCol w:w="4320"/>
      </w:tblGrid>
      <w:tr>
        <w:tc>
          <w:tcPr>
            <w:tcW w:type="dxa" w:w="5184"/>
          </w:tcPr>
          <w:p>
            <w:r>
              <w:rPr>
                <w:b/>
              </w:rPr>
              <w:t>Representation</w:t>
            </w:r>
          </w:p>
        </w:tc>
        <w:tc>
          <w:tcPr>
            <w:tcW w:type="dxa" w:w="3168"/>
          </w:tcPr>
          <w:p>
            <w:r>
              <w:rPr>
                <w:b/>
              </w:rPr>
              <w:t>Best Macro F1 (stratified 5-fold)</w:t>
            </w:r>
          </w:p>
        </w:tc>
      </w:tr>
      <w:tr>
        <w:tc>
          <w:tcPr>
            <w:tcW w:type="dxa" w:w="5184"/>
          </w:tcPr>
          <w:p>
            <w:r>
              <w:t>Supplied 5,000-column TF-IDF (the control)</w:t>
            </w:r>
          </w:p>
        </w:tc>
        <w:tc>
          <w:tcPr>
            <w:tcW w:type="dxa" w:w="3168"/>
          </w:tcPr>
          <w:p>
            <w:r>
              <w:t>0.7303</w:t>
            </w:r>
          </w:p>
        </w:tc>
      </w:tr>
      <w:tr>
        <w:tc>
          <w:tcPr>
            <w:tcW w:type="dxa" w:w="5184"/>
          </w:tcPr>
          <w:p>
            <w:r>
              <w:t>Character n-grams alone (block H)</w:t>
            </w:r>
          </w:p>
        </w:tc>
        <w:tc>
          <w:tcPr>
            <w:tcW w:type="dxa" w:w="3168"/>
          </w:tcPr>
          <w:p>
            <w:r>
              <w:t>0.8188</w:t>
            </w:r>
          </w:p>
        </w:tc>
      </w:tr>
      <w:tr>
        <w:tc>
          <w:tcPr>
            <w:tcW w:type="dxa" w:w="5184"/>
          </w:tcPr>
          <w:p>
            <w:r>
              <w:t>Word n-grams alone (block I)</w:t>
            </w:r>
          </w:p>
        </w:tc>
        <w:tc>
          <w:tcPr>
            <w:tcW w:type="dxa" w:w="3168"/>
          </w:tcPr>
          <w:p>
            <w:r>
              <w:t>0.7676</w:t>
            </w:r>
          </w:p>
        </w:tc>
      </w:tr>
      <w:tr>
        <w:tc>
          <w:tcPr>
            <w:tcW w:type="dxa" w:w="5184"/>
          </w:tcPr>
          <w:p>
            <w:r>
              <w:t>All cheap per-document style blocks (A to G)</w:t>
            </w:r>
          </w:p>
        </w:tc>
        <w:tc>
          <w:tcPr>
            <w:tcW w:type="dxa" w:w="3168"/>
          </w:tcPr>
          <w:p>
            <w:r>
              <w:t>0.8458</w:t>
            </w:r>
          </w:p>
        </w:tc>
      </w:tr>
      <w:tr>
        <w:tc>
          <w:tcPr>
            <w:tcW w:type="dxa" w:w="5184"/>
          </w:tcPr>
          <w:p>
            <w:r>
              <w:t>Supplied plus style blocks</w:t>
            </w:r>
          </w:p>
        </w:tc>
        <w:tc>
          <w:tcPr>
            <w:tcW w:type="dxa" w:w="3168"/>
          </w:tcPr>
          <w:p>
            <w:r>
              <w:t>0.8584</w:t>
            </w:r>
          </w:p>
        </w:tc>
      </w:tr>
      <w:tr>
        <w:tc>
          <w:tcPr>
            <w:tcW w:type="dxa" w:w="5184"/>
          </w:tcPr>
          <w:p>
            <w:r>
              <w:t>Supplied plus everything</w:t>
            </w:r>
          </w:p>
        </w:tc>
        <w:tc>
          <w:tcPr>
            <w:tcW w:type="dxa" w:w="3168"/>
          </w:tcPr>
          <w:p>
            <w:r>
              <w:t>0.8795</w:t>
            </w:r>
          </w:p>
        </w:tc>
      </w:tr>
      <w:tr>
        <w:tc>
          <w:tcPr>
            <w:tcW w:type="dxa" w:w="5184"/>
          </w:tcPr>
          <w:p>
            <w:r>
              <w:t>All raw-text blocks</w:t>
            </w:r>
          </w:p>
        </w:tc>
        <w:tc>
          <w:tcPr>
            <w:tcW w:type="dxa" w:w="3168"/>
          </w:tcPr>
          <w:p>
            <w:r>
              <w:t>0.8811</w:t>
            </w:r>
          </w:p>
        </w:tc>
      </w:tr>
    </w:tbl>
    <w:p>
      <w:r>
        <w:rPr>
          <w:i/>
          <w:sz w:val="18"/>
        </w:rPr>
        <w:t>Table 11. Best model per representation, all measured in the same session against the same supplied-feature control.</w:t>
      </w:r>
    </w:p>
    <w:p>
      <w:r>
        <w:rPr>
          <w:b w:val="0"/>
          <w:i w:val="0"/>
        </w:rPr>
        <w:t>The control reproduced at 0.7303 and the full raw-text set reached 0.8811, a local gain of 0.1508. Adding the supplied features back on top gave 0.8795, a tie using 5,000 more columns, so the supplied features contribute nothing once raw text is present. On the leaderboard, measured against the same supplied-feature LightGBM, the change was worth +0.038 immediately and +0.044 after the ablation below.</w:t>
      </w:r>
    </w:p>
    <w:p>
      <w:r>
        <w:rPr>
          <w:b w:val="0"/>
          <w:i w:val="0"/>
        </w:rPr>
        <w:t>Two follow-up notebooks then pruned and stress-tested the set. Each family was dropped in turn and the model re-scored on a held-out document type, so the measurement is what that family is worth for transfer rather than for fitting the training domains.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Pr>
                <w:b/>
              </w:rPr>
              <w:t>Family dropped</w:t>
            </w:r>
          </w:p>
        </w:tc>
        <w:tc>
          <w:tcPr>
            <w:tcW w:type="dxa" w:w="2448"/>
          </w:tcPr>
          <w:p>
            <w:r>
              <w:rPr>
                <w:b/>
              </w:rPr>
              <w:t>Macro F1 given up</w:t>
            </w:r>
          </w:p>
        </w:tc>
        <w:tc>
          <w:tcPr>
            <w:tcW w:type="dxa" w:w="1728"/>
          </w:tcPr>
          <w:p>
            <w:r>
              <w:rPr>
                <w:b/>
              </w:rPr>
              <w:t>Columns</w:t>
            </w:r>
          </w:p>
        </w:tc>
      </w:tr>
      <w:tr>
        <w:tc>
          <w:tcPr>
            <w:tcW w:type="dxa" w:w="3168"/>
          </w:tcPr>
          <w:p>
            <w:r>
              <w:t>F_diversity</w:t>
            </w:r>
          </w:p>
        </w:tc>
        <w:tc>
          <w:tcPr>
            <w:tcW w:type="dxa" w:w="2448"/>
          </w:tcPr>
          <w:p>
            <w:r>
              <w:t>+0.0510</w:t>
            </w:r>
          </w:p>
        </w:tc>
        <w:tc>
          <w:tcPr>
            <w:tcW w:type="dxa" w:w="1728"/>
          </w:tcPr>
          <w:p>
            <w:r>
              <w:t>5</w:t>
            </w:r>
          </w:p>
        </w:tc>
      </w:tr>
      <w:tr>
        <w:tc>
          <w:tcPr>
            <w:tcW w:type="dxa" w:w="3168"/>
          </w:tcPr>
          <w:p>
            <w:r>
              <w:t>H_char_ngrams</w:t>
            </w:r>
          </w:p>
        </w:tc>
        <w:tc>
          <w:tcPr>
            <w:tcW w:type="dxa" w:w="2448"/>
          </w:tcPr>
          <w:p>
            <w:r>
              <w:t>+0.0299</w:t>
            </w:r>
          </w:p>
        </w:tc>
        <w:tc>
          <w:tcPr>
            <w:tcW w:type="dxa" w:w="1728"/>
          </w:tcPr>
          <w:p>
            <w:r>
              <w:t>20,000</w:t>
            </w:r>
          </w:p>
        </w:tc>
      </w:tr>
      <w:tr>
        <w:tc>
          <w:tcPr>
            <w:tcW w:type="dxa" w:w="3168"/>
          </w:tcPr>
          <w:p>
            <w:r>
              <w:t>E_length</w:t>
            </w:r>
          </w:p>
        </w:tc>
        <w:tc>
          <w:tcPr>
            <w:tcW w:type="dxa" w:w="2448"/>
          </w:tcPr>
          <w:p>
            <w:r>
              <w:t>+0.0177</w:t>
            </w:r>
          </w:p>
        </w:tc>
        <w:tc>
          <w:tcPr>
            <w:tcW w:type="dxa" w:w="1728"/>
          </w:tcPr>
          <w:p>
            <w:r>
              <w:t>10</w:t>
            </w:r>
          </w:p>
        </w:tc>
      </w:tr>
      <w:tr>
        <w:tc>
          <w:tcPr>
            <w:tcW w:type="dxa" w:w="3168"/>
          </w:tcPr>
          <w:p>
            <w:r>
              <w:t>C_casing</w:t>
            </w:r>
          </w:p>
        </w:tc>
        <w:tc>
          <w:tcPr>
            <w:tcW w:type="dxa" w:w="2448"/>
          </w:tcPr>
          <w:p>
            <w:r>
              <w:t>+0.0129</w:t>
            </w:r>
          </w:p>
        </w:tc>
        <w:tc>
          <w:tcPr>
            <w:tcW w:type="dxa" w:w="1728"/>
          </w:tcPr>
          <w:p>
            <w:r>
              <w:t>5</w:t>
            </w:r>
          </w:p>
        </w:tc>
      </w:tr>
      <w:tr>
        <w:tc>
          <w:tcPr>
            <w:tcW w:type="dxa" w:w="3168"/>
          </w:tcPr>
          <w:p>
            <w:r>
              <w:t>I_word_ngrams</w:t>
            </w:r>
          </w:p>
        </w:tc>
        <w:tc>
          <w:tcPr>
            <w:tcW w:type="dxa" w:w="2448"/>
          </w:tcPr>
          <w:p>
            <w:r>
              <w:t>+0.0123</w:t>
            </w:r>
          </w:p>
        </w:tc>
        <w:tc>
          <w:tcPr>
            <w:tcW w:type="dxa" w:w="1728"/>
          </w:tcPr>
          <w:p>
            <w:r>
              <w:t>20,000</w:t>
            </w:r>
          </w:p>
        </w:tc>
      </w:tr>
      <w:tr>
        <w:tc>
          <w:tcPr>
            <w:tcW w:type="dxa" w:w="3168"/>
          </w:tcPr>
          <w:p>
            <w:r>
              <w:t>D_structure</w:t>
            </w:r>
          </w:p>
        </w:tc>
        <w:tc>
          <w:tcPr>
            <w:tcW w:type="dxa" w:w="2448"/>
          </w:tcPr>
          <w:p>
            <w:r>
              <w:t>+0.0012</w:t>
            </w:r>
          </w:p>
        </w:tc>
        <w:tc>
          <w:tcPr>
            <w:tcW w:type="dxa" w:w="1728"/>
          </w:tcPr>
          <w:p>
            <w:r>
              <w:t>10</w:t>
            </w:r>
          </w:p>
        </w:tc>
      </w:tr>
      <w:tr>
        <w:tc>
          <w:tcPr>
            <w:tcW w:type="dxa" w:w="3168"/>
          </w:tcPr>
          <w:p>
            <w:r>
              <w:t>B_punctuation</w:t>
            </w:r>
          </w:p>
        </w:tc>
        <w:tc>
          <w:tcPr>
            <w:tcW w:type="dxa" w:w="2448"/>
          </w:tcPr>
          <w:p>
            <w:r>
              <w:t>+0.0011</w:t>
            </w:r>
          </w:p>
        </w:tc>
        <w:tc>
          <w:tcPr>
            <w:tcW w:type="dxa" w:w="1728"/>
          </w:tcPr>
          <w:p>
            <w:r>
              <w:t>37</w:t>
            </w:r>
          </w:p>
        </w:tc>
      </w:tr>
      <w:tr>
        <w:tc>
          <w:tcPr>
            <w:tcW w:type="dxa" w:w="3168"/>
          </w:tcPr>
          <w:p>
            <w:r>
              <w:t>A_function_words</w:t>
            </w:r>
          </w:p>
        </w:tc>
        <w:tc>
          <w:tcPr>
            <w:tcW w:type="dxa" w:w="2448"/>
          </w:tcPr>
          <w:p>
            <w:r>
              <w:t>+0.0002</w:t>
            </w:r>
          </w:p>
        </w:tc>
        <w:tc>
          <w:tcPr>
            <w:tcW w:type="dxa" w:w="1728"/>
          </w:tcPr>
          <w:p>
            <w:r>
              <w:t>318</w:t>
            </w:r>
          </w:p>
        </w:tc>
      </w:tr>
      <w:tr>
        <w:tc>
          <w:tcPr>
            <w:tcW w:type="dxa" w:w="3168"/>
          </w:tcPr>
          <w:p>
            <w:r>
              <w:t>G_readability</w:t>
            </w:r>
          </w:p>
        </w:tc>
        <w:tc>
          <w:tcPr>
            <w:tcW w:type="dxa" w:w="2448"/>
          </w:tcPr>
          <w:p>
            <w:r>
              <w:t>-0.0001</w:t>
            </w:r>
          </w:p>
        </w:tc>
        <w:tc>
          <w:tcPr>
            <w:tcW w:type="dxa" w:w="1728"/>
          </w:tcPr>
          <w:p>
            <w:r>
              <w:t>5</w:t>
            </w:r>
          </w:p>
        </w:tc>
      </w:tr>
      <w:tr>
        <w:tc>
          <w:tcPr>
            <w:tcW w:type="dxa" w:w="3168"/>
          </w:tcPr>
          <w:p>
            <w:r>
              <w:t>tfidf_supplied</w:t>
            </w:r>
          </w:p>
        </w:tc>
        <w:tc>
          <w:tcPr>
            <w:tcW w:type="dxa" w:w="2448"/>
          </w:tcPr>
          <w:p>
            <w:r>
              <w:t>-0.0074</w:t>
            </w:r>
          </w:p>
        </w:tc>
        <w:tc>
          <w:tcPr>
            <w:tcW w:type="dxa" w:w="1728"/>
          </w:tcPr>
          <w:p>
            <w:r>
              <w:t>5,000</w:t>
            </w:r>
          </w:p>
        </w:tc>
      </w:tr>
    </w:tbl>
    <w:p>
      <w:r>
        <w:rPr>
          <w:i/>
          <w:sz w:val="18"/>
        </w:rPr>
        <w:t>Table 12. Leave-one-family-out ablation under the grouped protocol. A negative value means the model improves when that family is removed.</w:t>
      </w:r>
    </w:p>
    <w:p>
      <w:r>
        <w:rPr>
          <w:b w:val="0"/>
          <w:i w:val="0"/>
        </w:rPr>
        <w:t>Readability contributed nothing and the supplied TF-IDF was actively harmful, costing 0.0074 of held-out-domain Macro F1 by being present. Both were dropped, leaving the 40,385-column set in section 11. Note also that the diversity block returns more than character n-grams from five columns against 20,000, which is what prompted the expansion attempt reported in section 12.4.</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Option</w:t>
            </w:r>
          </w:p>
        </w:tc>
        <w:tc>
          <w:tcPr>
            <w:tcW w:type="dxa" w:w="3384"/>
          </w:tcPr>
          <w:p>
            <w:r>
              <w:rPr>
                <w:b/>
              </w:rPr>
              <w:t>Pros</w:t>
            </w:r>
          </w:p>
        </w:tc>
        <w:tc>
          <w:tcPr>
            <w:tcW w:type="dxa" w:w="3384"/>
          </w:tcPr>
          <w:p>
            <w:r>
              <w:rPr>
                <w:b/>
              </w:rPr>
              <w:t>Cons</w:t>
            </w:r>
          </w:p>
        </w:tc>
      </w:tr>
      <w:tr>
        <w:tc>
          <w:tcPr>
            <w:tcW w:type="dxa" w:w="2160"/>
          </w:tcPr>
          <w:p>
            <w:r>
              <w:t>Keep using the supplied features only</w:t>
            </w:r>
          </w:p>
        </w:tc>
        <w:tc>
          <w:tcPr>
            <w:tcW w:type="dxa" w:w="3384"/>
          </w:tcPr>
          <w:p>
            <w:r>
              <w:t>Zero extra engineering; guaranteed comparable to other teams; the brief says no further work is required</w:t>
            </w:r>
          </w:p>
        </w:tc>
        <w:tc>
          <w:tcPr>
            <w:tcW w:type="dxa" w:w="3384"/>
          </w:tcPr>
          <w:p>
            <w:r>
              <w:t>Lemmatised with stop words removed, so the surviving signal is content vocabulary, which is exactly what differs between the train and test corpora</w:t>
            </w:r>
          </w:p>
        </w:tc>
      </w:tr>
      <w:tr>
        <w:tc>
          <w:tcPr>
            <w:tcW w:type="dxa" w:w="2160"/>
          </w:tcPr>
          <w:p>
            <w:r>
              <w:t>Add a handful of cheap style features to the supplied ones</w:t>
            </w:r>
          </w:p>
        </w:tc>
        <w:tc>
          <w:tcPr>
            <w:tcW w:type="dxa" w:w="3384"/>
          </w:tcPr>
          <w:p>
            <w:r>
              <w:t>Small, safe, easy to describe</w:t>
            </w:r>
          </w:p>
        </w:tc>
        <w:tc>
          <w:tcPr>
            <w:tcW w:type="dxa" w:w="3384"/>
          </w:tcPr>
          <w:p>
            <w:r>
              <w:t>Measured at 0.8584, below raw text alone, and it keeps the harmful supplied columns</w:t>
            </w:r>
          </w:p>
        </w:tc>
      </w:tr>
      <w:tr>
        <w:tc>
          <w:tcPr>
            <w:tcW w:type="dxa" w:w="2160"/>
          </w:tcPr>
          <w:p>
            <w:r>
              <w:t>Rebuild n-grams only, without hand-built style blocks</w:t>
            </w:r>
          </w:p>
        </w:tc>
        <w:tc>
          <w:tcPr>
            <w:tcW w:type="dxa" w:w="3384"/>
          </w:tcPr>
          <w:p>
            <w:r>
              <w:t>Much less code; character n-grams alone reach 0.8188</w:t>
            </w:r>
          </w:p>
        </w:tc>
        <w:tc>
          <w:tcPr>
            <w:tcW w:type="dxa" w:w="3384"/>
          </w:tcPr>
          <w:p>
            <w:r>
              <w:t>Gives up 0.06; character n-grams also proved less valuable for transfer than the five-column diversity block</w:t>
            </w:r>
          </w:p>
        </w:tc>
      </w:tr>
      <w:tr>
        <w:tc>
          <w:tcPr>
            <w:tcW w:type="dxa" w:w="2160"/>
          </w:tcPr>
          <w:p>
            <w:r>
              <w:t>Rebuild the representation fully from raw text</w:t>
            </w:r>
          </w:p>
        </w:tc>
        <w:tc>
          <w:tcPr>
            <w:tcW w:type="dxa" w:w="3384"/>
          </w:tcPr>
          <w:p>
            <w:r>
              <w:t>Best measured result at 0.8811; captures how text is written rather than what it is about</w:t>
            </w:r>
          </w:p>
        </w:tc>
        <w:tc>
          <w:tcPr>
            <w:tcW w:type="dxa" w:w="3384"/>
          </w:tcPr>
          <w:p>
            <w:r>
              <w:t>40,385 hand-built columns, far more code, a pipeline that would need rebuilding for any new corpus, and no extra marks for the effort</w:t>
            </w:r>
          </w:p>
        </w:tc>
      </w:tr>
    </w:tbl>
    <w:p>
      <w:r>
        <w:rPr>
          <w:i/>
          <w:sz w:val="18"/>
        </w:rPr>
        <w:t>Table 13. Representation options once the paper made the corpus shift concrete.</w:t>
      </w:r>
    </w:p>
    <w:p>
      <w:r>
        <w:rPr>
          <w:b/>
          <w:color w:val="1F77B4"/>
        </w:rPr>
        <w:t xml:space="preserve">We chose: </w:t>
      </w:r>
      <w:r>
        <w:t>rebuild the representation from raw text, keeping the eight blocks the ablation supported, for 40,385 columns in total.</w:t>
      </w:r>
    </w:p>
    <w:p>
      <w:r>
        <w:rPr>
          <w:b/>
        </w:rPr>
        <w:t xml:space="preserve">Tradeoff accepted: </w:t>
      </w:r>
      <w:r>
        <w:t>we hand-build 40,385 features where the course supplies 5,000 ready to use. That is far more engineering, far more code to get wrong, and the brief is explicit that own preprocessing earns no extra marks.</w:t>
      </w:r>
    </w:p>
    <w:p>
      <w:r>
        <w:rPr>
          <w:b/>
        </w:rPr>
        <w:t xml:space="preserve">Acceptable because: </w:t>
      </w:r>
      <w:r>
        <w:t>it was worth +0.044 on the graded surface, which is more than everything else we did to the model combined, and marks for Task 3 come from the leaderboard rather than from the effort. The supplied preprocessing deletes function words, punctuation, casing and layout, and those are precisely the properties that survive a corpus change, which the ablation then confirmed family by family. The brief permits own preprocessing provided it is described in full, and this section plus section 11 is that description.</w:t>
      </w:r>
    </w:p>
    <w:p>
      <w:pPr>
        <w:jc w:val="center"/>
      </w:pPr>
      <w:r>
        <w:drawing>
          <wp:inline xmlns:a="http://schemas.openxmlformats.org/drawingml/2006/main" xmlns:pic="http://schemas.openxmlformats.org/drawingml/2006/picture">
            <wp:extent cx="5486400" cy="3048000"/>
            <wp:docPr id="11" name="Picture 11"/>
            <wp:cNvGraphicFramePr>
              <a:graphicFrameLocks noChangeAspect="1"/>
            </wp:cNvGraphicFramePr>
            <a:graphic>
              <a:graphicData uri="http://schemas.openxmlformats.org/drawingml/2006/picture">
                <pic:pic>
                  <pic:nvPicPr>
                    <pic:cNvPr id="0" name="representation_comparison.png"/>
                    <pic:cNvPicPr/>
                  </pic:nvPicPr>
                  <pic:blipFill>
                    <a:blip r:embed="rId19"/>
                    <a:stretch>
                      <a:fillRect/>
                    </a:stretch>
                  </pic:blipFill>
                  <pic:spPr>
                    <a:xfrm>
                      <a:off x="0" y="0"/>
                      <a:ext cx="5486400" cy="3048000"/>
                    </a:xfrm>
                    <a:prstGeom prst="rect"/>
                  </pic:spPr>
                </pic:pic>
              </a:graphicData>
            </a:graphic>
          </wp:inline>
        </w:drawing>
      </w:r>
    </w:p>
    <w:p>
      <w:pPr>
        <w:jc w:val="center"/>
      </w:pPr>
      <w:r>
        <w:rPr>
          <w:i/>
          <w:sz w:val="18"/>
        </w:rPr>
        <w:t>Figure 11. Each representation against the supplied-feature control re-run in the same session. Every dense block scores below the control alone; together they beat it by 0.115.</w:t>
      </w:r>
    </w:p>
    <w:p>
      <w:pPr>
        <w:pStyle w:val="Heading1"/>
      </w:pPr>
      <w:r>
        <w:t>10. Phase 9: calibration revisited, per group</w:t>
      </w:r>
    </w:p>
    <w:p>
      <w:r>
        <w:rPr>
          <w:b w:val="0"/>
          <w:i w:val="0"/>
        </w:rPr>
        <w:t>With the representation settled we returned to the decision rule, and found the most useful result in the project sitting in a measurement we had already taken and misread.</w:t>
      </w:r>
    </w:p>
    <w:p>
      <w:r>
        <w:rPr>
          <w:b w:val="0"/>
          <w:i w:val="0"/>
        </w:rPr>
        <w:t>We had swept global predicted share twice, in two different phases and on two different models, and both sweeps came back flat. On the raw-text model, share 0.4996 gave 0.77349 and share 0.5299 gave 0.77231, a difference well inside the noise floor. The obvious conclusion was that share was exhausted. That conclusion was correct about the quantity we had measured and wrong about the question we thought we were answering.</w:t>
      </w:r>
    </w:p>
    <w:p>
      <w:r>
        <w:rPr>
          <w:b w:val="0"/>
          <w:i w:val="0"/>
        </w:rPr>
        <w:t>The test file is a mixture of two populations, as phase 1 had recorded. A global cut moves both of them in the same direction. It turned out they needed corrections in opposite directions: the UUID rows wanted a higher predicted machine share and the numeric peer-review rows wanted a lower one. A global sweep was therefore pushing one group toward its optimum while pushing the other away, and the two effects, each worth roughly 0.019, were cancelling in the average. The flat curve was not evidence of a flat optimum. It was evidence of a mixture.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3312"/>
          </w:tcPr>
          <w:p>
            <w:r>
              <w:rPr>
                <w:b/>
              </w:rPr>
              <w:t>Submission</w:t>
            </w:r>
          </w:p>
        </w:tc>
        <w:tc>
          <w:tcPr>
            <w:tcW w:type="dxa" w:w="1872"/>
          </w:tcPr>
          <w:p>
            <w:r>
              <w:rPr>
                <w:b/>
              </w:rPr>
              <w:t>UUID share</w:t>
            </w:r>
          </w:p>
        </w:tc>
        <w:tc>
          <w:tcPr>
            <w:tcW w:type="dxa" w:w="1872"/>
          </w:tcPr>
          <w:p>
            <w:r>
              <w:rPr>
                <w:b/>
              </w:rPr>
              <w:t>Numeric share</w:t>
            </w:r>
          </w:p>
        </w:tc>
        <w:tc>
          <w:tcPr>
            <w:tcW w:type="dxa" w:w="2016"/>
          </w:tcPr>
          <w:p>
            <w:r>
              <w:rPr>
                <w:b/>
              </w:rPr>
              <w:t>Public Macro F1</w:t>
            </w:r>
          </w:p>
        </w:tc>
      </w:tr>
      <w:tr>
        <w:tc>
          <w:tcPr>
            <w:tcW w:type="dxa" w:w="3312"/>
          </w:tcPr>
          <w:p>
            <w:r>
              <w:t>chosen_pergroup62_48</w:t>
            </w:r>
          </w:p>
        </w:tc>
        <w:tc>
          <w:tcPr>
            <w:tcW w:type="dxa" w:w="1872"/>
          </w:tcPr>
          <w:p>
            <w:r>
              <w:t>0.6198</w:t>
            </w:r>
          </w:p>
        </w:tc>
        <w:tc>
          <w:tcPr>
            <w:tcW w:type="dxa" w:w="1872"/>
          </w:tcPr>
          <w:p>
            <w:r>
              <w:t>0.4756</w:t>
            </w:r>
          </w:p>
        </w:tc>
        <w:tc>
          <w:tcPr>
            <w:tcW w:type="dxa" w:w="2016"/>
          </w:tcPr>
          <w:p>
            <w:r>
              <w:t>0.80143</w:t>
            </w:r>
          </w:p>
        </w:tc>
      </w:tr>
      <w:tr>
        <w:tc>
          <w:tcPr>
            <w:tcW w:type="dxa" w:w="3312"/>
          </w:tcPr>
          <w:p>
            <w:r>
              <w:t>chosen_uuid62</w:t>
            </w:r>
          </w:p>
        </w:tc>
        <w:tc>
          <w:tcPr>
            <w:tcW w:type="dxa" w:w="1872"/>
          </w:tcPr>
          <w:p>
            <w:r>
              <w:t>0.6198</w:t>
            </w:r>
          </w:p>
        </w:tc>
        <w:tc>
          <w:tcPr>
            <w:tcW w:type="dxa" w:w="1872"/>
          </w:tcPr>
          <w:p>
            <w:r>
              <w:t>0.5120</w:t>
            </w:r>
          </w:p>
        </w:tc>
        <w:tc>
          <w:tcPr>
            <w:tcW w:type="dxa" w:w="2016"/>
          </w:tcPr>
          <w:p>
            <w:r>
              <w:t>0.80049</w:t>
            </w:r>
          </w:p>
        </w:tc>
      </w:tr>
      <w:tr>
        <w:tc>
          <w:tcPr>
            <w:tcW w:type="dxa" w:w="3312"/>
          </w:tcPr>
          <w:p>
            <w:r>
              <w:t>chosen_uuid56</w:t>
            </w:r>
          </w:p>
        </w:tc>
        <w:tc>
          <w:tcPr>
            <w:tcW w:type="dxa" w:w="1872"/>
          </w:tcPr>
          <w:p>
            <w:r>
              <w:t>0.5598</w:t>
            </w:r>
          </w:p>
        </w:tc>
        <w:tc>
          <w:tcPr>
            <w:tcW w:type="dxa" w:w="1872"/>
          </w:tcPr>
          <w:p>
            <w:r>
              <w:t>0.5120</w:t>
            </w:r>
          </w:p>
        </w:tc>
        <w:tc>
          <w:tcPr>
            <w:tcW w:type="dxa" w:w="2016"/>
          </w:tcPr>
          <w:p>
            <w:r>
              <w:t>0.79706</w:t>
            </w:r>
          </w:p>
        </w:tc>
      </w:tr>
      <w:tr>
        <w:tc>
          <w:tcPr>
            <w:tcW w:type="dxa" w:w="3312"/>
          </w:tcPr>
          <w:p>
            <w:r>
              <w:t>chosen_pergroup62_55</w:t>
            </w:r>
          </w:p>
        </w:tc>
        <w:tc>
          <w:tcPr>
            <w:tcW w:type="dxa" w:w="1872"/>
          </w:tcPr>
          <w:p>
            <w:r>
              <w:t>0.6198</w:t>
            </w:r>
          </w:p>
        </w:tc>
        <w:tc>
          <w:tcPr>
            <w:tcW w:type="dxa" w:w="1872"/>
          </w:tcPr>
          <w:p>
            <w:r>
              <w:t>0.5484</w:t>
            </w:r>
          </w:p>
        </w:tc>
        <w:tc>
          <w:tcPr>
            <w:tcW w:type="dxa" w:w="2016"/>
          </w:tcPr>
          <w:p>
            <w:r>
              <w:t>0.79123</w:t>
            </w:r>
          </w:p>
        </w:tc>
      </w:tr>
      <w:tr>
        <w:tc>
          <w:tcPr>
            <w:tcW w:type="dxa" w:w="3312"/>
          </w:tcPr>
          <w:p>
            <w:r>
              <w:t>round5_features_share50</w:t>
            </w:r>
          </w:p>
        </w:tc>
        <w:tc>
          <w:tcPr>
            <w:tcW w:type="dxa" w:w="1872"/>
          </w:tcPr>
          <w:p>
            <w:r>
              <w:t>0.4687</w:t>
            </w:r>
          </w:p>
        </w:tc>
        <w:tc>
          <w:tcPr>
            <w:tcW w:type="dxa" w:w="1872"/>
          </w:tcPr>
          <w:p>
            <w:r>
              <w:t>0.5120</w:t>
            </w:r>
          </w:p>
        </w:tc>
        <w:tc>
          <w:tcPr>
            <w:tcW w:type="dxa" w:w="2016"/>
          </w:tcPr>
          <w:p>
            <w:r>
              <w:t>0.77942</w:t>
            </w:r>
          </w:p>
        </w:tc>
      </w:tr>
    </w:tbl>
    <w:p>
      <w:r>
        <w:rPr>
          <w:i/>
          <w:sz w:val="18"/>
        </w:rPr>
        <w:t>Table 14. Walking the two share axes separately. Each row is one submission.</w:t>
      </w:r>
    </w:p>
    <w:p>
      <w:r>
        <w:rPr>
          <w:b w:val="0"/>
          <w:i w:val="0"/>
        </w:rPr>
        <w:t>Correcting the UUID axis alone took the score from 0.77942 to 0.79706 and then to 0.80049 at its vertex. Correcting the numeric axis as well reached 0.80143. A deliberate probe in the wrong direction lost 0.00926. Both the upward step and the wrong-direction step clear the noise floor, which is what makes the direction certain even though the last decimal of each coordinate is not.</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Option</w:t>
            </w:r>
          </w:p>
        </w:tc>
        <w:tc>
          <w:tcPr>
            <w:tcW w:type="dxa" w:w="3384"/>
          </w:tcPr>
          <w:p>
            <w:r>
              <w:rPr>
                <w:b/>
              </w:rPr>
              <w:t>Pros</w:t>
            </w:r>
          </w:p>
        </w:tc>
        <w:tc>
          <w:tcPr>
            <w:tcW w:type="dxa" w:w="3384"/>
          </w:tcPr>
          <w:p>
            <w:r>
              <w:rPr>
                <w:b/>
              </w:rPr>
              <w:t>Cons</w:t>
            </w:r>
          </w:p>
        </w:tc>
      </w:tr>
      <w:tr>
        <w:tc>
          <w:tcPr>
            <w:tcW w:type="dxa" w:w="2160"/>
          </w:tcPr>
          <w:p>
            <w:r>
              <w:t>One global share for all 6,999 rows</w:t>
            </w:r>
          </w:p>
        </w:tc>
        <w:tc>
          <w:tcPr>
            <w:tcW w:type="dxa" w:w="3384"/>
          </w:tcPr>
          <w:p>
            <w:r>
              <w:t>One parameter, one submission per point, nothing group-specific to justify</w:t>
            </w:r>
          </w:p>
        </w:tc>
        <w:tc>
          <w:tcPr>
            <w:tcW w:type="dxa" w:w="3384"/>
          </w:tcPr>
          <w:p>
            <w:r>
              <w:t>Measured flat twice, because it averages two opposite corrections</w:t>
            </w:r>
          </w:p>
        </w:tc>
      </w:tr>
      <w:tr>
        <w:tc>
          <w:tcPr>
            <w:tcW w:type="dxa" w:w="2160"/>
          </w:tcPr>
          <w:p>
            <w:r>
              <w:t>Separate shares per id group</w:t>
            </w:r>
          </w:p>
        </w:tc>
        <w:tc>
          <w:tcPr>
            <w:tcW w:type="dxa" w:w="3384"/>
          </w:tcPr>
          <w:p>
            <w:r>
              <w:t>Breaks the cancellation; worth +0.022 with no change to the model at all</w:t>
            </w:r>
          </w:p>
        </w:tc>
        <w:tc>
          <w:tcPr>
            <w:tcW w:type="dxa" w:w="3384"/>
          </w:tcPr>
          <w:p>
            <w:r>
              <w:t>Two coordinates to fit on a noisy surface, and it relies on the id format genuinely marking a distinct population</w:t>
            </w:r>
          </w:p>
        </w:tc>
      </w:tr>
      <w:tr>
        <w:tc>
          <w:tcPr>
            <w:tcW w:type="dxa" w:w="2160"/>
          </w:tcPr>
          <w:p>
            <w:r>
              <w:t>Train a separate model per group</w:t>
            </w:r>
          </w:p>
        </w:tc>
        <w:tc>
          <w:tcPr>
            <w:tcW w:type="dxa" w:w="3384"/>
          </w:tcPr>
          <w:p>
            <w:r>
              <w:t>Would let the model itself adapt to peer-review text</w:t>
            </w:r>
          </w:p>
        </w:tc>
        <w:tc>
          <w:tcPr>
            <w:tcW w:type="dxa" w:w="3384"/>
          </w:tcPr>
          <w:p>
            <w:r>
              <w:t>Only 1,999 UUID test rows and no labels for either group; nothing to train on</w:t>
            </w:r>
          </w:p>
        </w:tc>
      </w:tr>
      <w:tr>
        <w:tc>
          <w:tcPr>
            <w:tcW w:type="dxa" w:w="2160"/>
          </w:tcPr>
          <w:p>
            <w:r>
              <w:t>Domain adaptation on the unlabelled test text</w:t>
            </w:r>
          </w:p>
        </w:tc>
        <w:tc>
          <w:tcPr>
            <w:tcW w:type="dxa" w:w="3384"/>
          </w:tcPr>
          <w:p>
            <w:r>
              <w:t>Uses the test distribution without using its labels</w:t>
            </w:r>
          </w:p>
        </w:tc>
        <w:tc>
          <w:tcPr>
            <w:tcW w:type="dxa" w:w="3384"/>
          </w:tcPr>
          <w:p>
            <w:r>
              <w:t>Substantially more machinery, and our transfer protocol is not precise enough to tell whether it helped</w:t>
            </w:r>
          </w:p>
        </w:tc>
      </w:tr>
    </w:tbl>
    <w:p>
      <w:r>
        <w:rPr>
          <w:i/>
          <w:sz w:val="18"/>
        </w:rPr>
        <w:t>Table 15. Decision-rule options once the mixture was understood.</w:t>
      </w:r>
    </w:p>
    <w:p>
      <w:r>
        <w:rPr>
          <w:b/>
          <w:color w:val="1F77B4"/>
        </w:rPr>
        <w:t xml:space="preserve">We chose: </w:t>
      </w:r>
      <w:r>
        <w:t>separate predicted shares of 0.6198 for the UUID rows and 0.4756 for the numeric rows.</w:t>
      </w:r>
    </w:p>
    <w:p>
      <w:r>
        <w:rPr>
          <w:b/>
        </w:rPr>
        <w:t xml:space="preserve">Tradeoff accepted: </w:t>
      </w:r>
      <w:r>
        <w:t>both coordinates are fitted entirely to the public leaderboard, seven submissions went into locating them, and a coordinate search that size on a noisy objective can manufacture 0.005 to 0.010 of gain that is not present on the private rows.</w:t>
      </w:r>
    </w:p>
    <w:p>
      <w:r>
        <w:rPr>
          <w:b/>
        </w:rPr>
        <w:t xml:space="preserve">Acceptable because: </w:t>
      </w:r>
      <w:r>
        <w:t>the shape of the surface is solid even where the last decimal is not. The first correction gained 0.01764 and the deliberate wrong-direction probe lost 0.00926, both several times the noise floor, and the same correction reproduced on a completely different model. The grouping is not a leaderboard artifact either: the two populations differ in length, markdown density and vocabulary in ways we measured in phase 1, long before we knew the leaderboard would reward splitting them.</w:t>
      </w:r>
    </w:p>
    <w:p>
      <w:pPr>
        <w:jc w:val="center"/>
      </w:pPr>
      <w:r>
        <w:drawing>
          <wp:inline xmlns:a="http://schemas.openxmlformats.org/drawingml/2006/main" xmlns:pic="http://schemas.openxmlformats.org/drawingml/2006/picture">
            <wp:extent cx="5486400" cy="1995055"/>
            <wp:docPr id="12" name="Picture 12"/>
            <wp:cNvGraphicFramePr>
              <a:graphicFrameLocks noChangeAspect="1"/>
            </wp:cNvGraphicFramePr>
            <a:graphic>
              <a:graphicData uri="http://schemas.openxmlformats.org/drawingml/2006/picture">
                <pic:pic>
                  <pic:nvPicPr>
                    <pic:cNvPr id="0" name="share_surface.png"/>
                    <pic:cNvPicPr/>
                  </pic:nvPicPr>
                  <pic:blipFill>
                    <a:blip r:embed="rId20"/>
                    <a:stretch>
                      <a:fillRect/>
                    </a:stretch>
                  </pic:blipFill>
                  <pic:spPr>
                    <a:xfrm>
                      <a:off x="0" y="0"/>
                      <a:ext cx="5486400" cy="1995055"/>
                    </a:xfrm>
                    <a:prstGeom prst="rect"/>
                  </pic:spPr>
                </pic:pic>
              </a:graphicData>
            </a:graphic>
          </wp:inline>
        </w:drawing>
      </w:r>
    </w:p>
    <w:p>
      <w:pPr>
        <w:jc w:val="center"/>
      </w:pPr>
      <w:r>
        <w:rPr>
          <w:i/>
          <w:sz w:val="18"/>
        </w:rPr>
        <w:t>Figure 12. The per-group share surface. Both axes are at their fitted vertices, and the numeric axis is asymmetric.</w:t>
      </w:r>
    </w:p>
    <w:p>
      <w:pPr>
        <w:pStyle w:val="Heading2"/>
      </w:pPr>
      <w:r>
        <w:t>10.1 Hyperparameters on the new representation</w:t>
      </w:r>
    </w:p>
    <w:p>
      <w:r>
        <w:rPr>
          <w:b w:val="0"/>
          <w:i w:val="0"/>
        </w:rPr>
        <w:t>One thread is still open and we report it as open. Every hyperparameter search in this project ran against the supplied 5,000 features. Nothing has been tuned on the 40,385-column raw-text matrix, which is a different problem in shape: eight times wider, sparser, and three quarters character n-grams. The shipped model therefore runs on LightGBM defaults with only class_weight set.</w:t>
      </w:r>
    </w:p>
    <w:p>
      <w:r>
        <w:rPr>
          <w:b w:val="0"/>
          <w:i w:val="0"/>
        </w:rPr>
        <w:t>The search is designed and split five ways across the team over 400 seeded configurations, sampling learning rate, tree count, leaf count, depth, minimum child samples, column and row subsampling and both regularisation terms. It selects on paired per-fold differences against the default configuration rather than on raw means, requires a candidate to improve on every fold, and confirms the winner on a protocol the search never selected on. Based on the equivalent search on the supplied features, we expect it to be worth about 0.005.</w:t>
      </w:r>
    </w:p>
    <w:p>
      <w:r>
        <w:rPr>
          <w:b/>
          <w:color w:val="C00000"/>
        </w:rPr>
        <w:t>[TODO: result of the notebook 17 hyperparameter search once the team has run it, including the winning configuration and its paired per-fold margin]</w:t>
      </w:r>
    </w:p>
    <w:p>
      <w:pPr>
        <w:pStyle w:val="Heading1"/>
      </w:pPr>
      <w:r>
        <w:t>11. The final model, end to end</w:t>
      </w:r>
    </w:p>
    <w:p>
      <w:r>
        <w:rPr>
          <w:b w:val="0"/>
          <w:i w:val="0"/>
        </w:rPr>
        <w:t>This section answers the brief's first question in one place, gathering what the nine phases arrived at.</w:t>
      </w:r>
    </w:p>
    <w:p>
      <w:pPr>
        <w:pStyle w:val="Heading2"/>
      </w:pPr>
      <w:r>
        <w:t>11.1 The classifier</w:t>
      </w:r>
    </w:p>
    <w:p>
      <w:r>
        <w:rPr>
          <w:b w:val="0"/>
          <w:i w:val="0"/>
        </w:rPr>
        <w:t>LightGBM is a gradient-boosted decision tree ensemble. It fits trees in sequence, each trained on the gradient of the loss left over by the trees before it, so every tree corrects its predecessors rather than voting independently. Its leaf-wise growth strategy splits whichever leaf promises the largest loss reduction, rather than growing the tree level by level, which is what makes it efficient on very wide sparse inputs. It also handles sparse columns natively and performs its own feature selection through split gain, which is why phase 2 could safely decline dimensionality reduction.</w:t>
      </w:r>
    </w:p>
    <w:p>
      <w:r>
        <w:rPr>
          <w:b w:val="0"/>
          <w:i w:val="0"/>
        </w:rPr>
        <w:t>We pass class_weight="balanced" so the 62/38 split does not let the minority human class be outvoted. Every other hyperparameter is at its default, for the reason given in section 10.1.</w:t>
      </w:r>
    </w:p>
    <w:p>
      <w:pPr>
        <w:pStyle w:val="Heading2"/>
      </w:pPr>
      <w:r>
        <w:t>11.2 The features</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Block</w:t>
            </w:r>
          </w:p>
        </w:tc>
        <w:tc>
          <w:tcPr>
            <w:tcW w:type="dxa" w:w="1296"/>
          </w:tcPr>
          <w:p>
            <w:r>
              <w:rPr>
                <w:b/>
              </w:rPr>
              <w:t>Columns</w:t>
            </w:r>
          </w:p>
        </w:tc>
        <w:tc>
          <w:tcPr>
            <w:tcW w:type="dxa" w:w="5328"/>
          </w:tcPr>
          <w:p>
            <w:r>
              <w:rPr>
                <w:b/>
              </w:rPr>
              <w:t>What it measures</w:t>
            </w:r>
          </w:p>
        </w:tc>
      </w:tr>
      <w:tr>
        <w:tc>
          <w:tcPr>
            <w:tcW w:type="dxa" w:w="2160"/>
          </w:tcPr>
          <w:p>
            <w:r>
              <w:t>A function words</w:t>
            </w:r>
          </w:p>
        </w:tc>
        <w:tc>
          <w:tcPr>
            <w:tcW w:type="dxa" w:w="1296"/>
          </w:tcPr>
          <w:p>
            <w:r>
              <w:t>318</w:t>
            </w:r>
          </w:p>
        </w:tc>
        <w:tc>
          <w:tcPr>
            <w:tcW w:type="dxa" w:w="5328"/>
          </w:tcPr>
          <w:p>
            <w:r>
              <w:t>rates of 318 English stop words</w:t>
            </w:r>
          </w:p>
        </w:tc>
      </w:tr>
      <w:tr>
        <w:tc>
          <w:tcPr>
            <w:tcW w:type="dxa" w:w="2160"/>
          </w:tcPr>
          <w:p>
            <w:r>
              <w:t>B punctuation</w:t>
            </w:r>
          </w:p>
        </w:tc>
        <w:tc>
          <w:tcPr>
            <w:tcW w:type="dxa" w:w="1296"/>
          </w:tcPr>
          <w:p>
            <w:r>
              <w:t>37</w:t>
            </w:r>
          </w:p>
        </w:tc>
        <w:tc>
          <w:tcPr>
            <w:tcW w:type="dxa" w:w="5328"/>
          </w:tcPr>
          <w:p>
            <w:r>
              <w:t>per-1000-character symbol rates, plus markdown counts</w:t>
            </w:r>
          </w:p>
        </w:tc>
      </w:tr>
      <w:tr>
        <w:tc>
          <w:tcPr>
            <w:tcW w:type="dxa" w:w="2160"/>
          </w:tcPr>
          <w:p>
            <w:r>
              <w:t>C casing</w:t>
            </w:r>
          </w:p>
        </w:tc>
        <w:tc>
          <w:tcPr>
            <w:tcW w:type="dxa" w:w="1296"/>
          </w:tcPr>
          <w:p>
            <w:r>
              <w:t>5</w:t>
            </w:r>
          </w:p>
        </w:tc>
        <w:tc>
          <w:tcPr>
            <w:tcW w:type="dxa" w:w="5328"/>
          </w:tcPr>
          <w:p>
            <w:r>
              <w:t>uppercase, ALL-CAPS, Titlecase, internal-capital rates</w:t>
            </w:r>
          </w:p>
        </w:tc>
      </w:tr>
      <w:tr>
        <w:tc>
          <w:tcPr>
            <w:tcW w:type="dxa" w:w="2160"/>
          </w:tcPr>
          <w:p>
            <w:r>
              <w:t>D structure</w:t>
            </w:r>
          </w:p>
        </w:tc>
        <w:tc>
          <w:tcPr>
            <w:tcW w:type="dxa" w:w="1296"/>
          </w:tcPr>
          <w:p>
            <w:r>
              <w:t>10</w:t>
            </w:r>
          </w:p>
        </w:tc>
        <w:tc>
          <w:tcPr>
            <w:tcW w:type="dxa" w:w="5328"/>
          </w:tcPr>
          <w:p>
            <w:r>
              <w:t>newlines, line lengths, bullets, headers, hard-wrap</w:t>
            </w:r>
          </w:p>
        </w:tc>
      </w:tr>
      <w:tr>
        <w:tc>
          <w:tcPr>
            <w:tcW w:type="dxa" w:w="2160"/>
          </w:tcPr>
          <w:p>
            <w:r>
              <w:t>E length</w:t>
            </w:r>
          </w:p>
        </w:tc>
        <w:tc>
          <w:tcPr>
            <w:tcW w:type="dxa" w:w="1296"/>
          </w:tcPr>
          <w:p>
            <w:r>
              <w:t>10</w:t>
            </w:r>
          </w:p>
        </w:tc>
        <w:tc>
          <w:tcPr>
            <w:tcW w:type="dxa" w:w="5328"/>
          </w:tcPr>
          <w:p>
            <w:r>
              <w:t>log counts, word and sentence length moments, burstiness</w:t>
            </w:r>
          </w:p>
        </w:tc>
      </w:tr>
      <w:tr>
        <w:tc>
          <w:tcPr>
            <w:tcW w:type="dxa" w:w="2160"/>
          </w:tcPr>
          <w:p>
            <w:r>
              <w:t>F diversity</w:t>
            </w:r>
          </w:p>
        </w:tc>
        <w:tc>
          <w:tcPr>
            <w:tcW w:type="dxa" w:w="1296"/>
          </w:tcPr>
          <w:p>
            <w:r>
              <w:t>5</w:t>
            </w:r>
          </w:p>
        </w:tc>
        <w:tc>
          <w:tcPr>
            <w:tcW w:type="dxa" w:w="5328"/>
          </w:tcPr>
          <w:p>
            <w:r>
              <w:t>TTR, hapax rate, Yule's K, MATTR over a 100-word window</w:t>
            </w:r>
          </w:p>
        </w:tc>
      </w:tr>
      <w:tr>
        <w:tc>
          <w:tcPr>
            <w:tcW w:type="dxa" w:w="2160"/>
          </w:tcPr>
          <w:p>
            <w:r>
              <w:t>H char n-grams</w:t>
            </w:r>
          </w:p>
        </w:tc>
        <w:tc>
          <w:tcPr>
            <w:tcW w:type="dxa" w:w="1296"/>
          </w:tcPr>
          <w:p>
            <w:r>
              <w:t>20,000</w:t>
            </w:r>
          </w:p>
        </w:tc>
        <w:tc>
          <w:tcPr>
            <w:tcW w:type="dxa" w:w="5328"/>
          </w:tcPr>
          <w:p>
            <w:r>
              <w:t>char_wb 2-5 TF-IDF, sublinear</w:t>
            </w:r>
          </w:p>
        </w:tc>
      </w:tr>
      <w:tr>
        <w:tc>
          <w:tcPr>
            <w:tcW w:type="dxa" w:w="2160"/>
          </w:tcPr>
          <w:p>
            <w:r>
              <w:t>I word n-grams</w:t>
            </w:r>
          </w:p>
        </w:tc>
        <w:tc>
          <w:tcPr>
            <w:tcW w:type="dxa" w:w="1296"/>
          </w:tcPr>
          <w:p>
            <w:r>
              <w:t>20,000</w:t>
            </w:r>
          </w:p>
        </w:tc>
        <w:tc>
          <w:tcPr>
            <w:tcW w:type="dxa" w:w="5328"/>
          </w:tcPr>
          <w:p>
            <w:r>
              <w:t>word 1-2 TF-IDF, stop words kept, no lemmatisation</w:t>
            </w:r>
          </w:p>
        </w:tc>
      </w:tr>
    </w:tbl>
    <w:p>
      <w:r>
        <w:rPr>
          <w:i/>
          <w:sz w:val="18"/>
        </w:rPr>
        <w:t>Table 16. The 40,385 columns the final model sees. Blocks A to F are per-document statistics that cannot leak; H and I are vectorizers fitted on training text alone.</w:t>
      </w:r>
    </w:p>
    <w:p>
      <w:pPr>
        <w:pStyle w:val="Heading2"/>
      </w:pPr>
      <w:r>
        <w:t>11.3 The decision rule</w:t>
      </w:r>
    </w:p>
    <w:p>
      <w:r>
        <w:rPr>
          <w:b w:val="0"/>
          <w:i w:val="0"/>
        </w:rPr>
        <w:t>The model emits a probability per row. We sort the rows by that probability and label the top 61.98% of the UUID rows and the top 47.56% of the numeric rows as machine, taking an exact count rather than a quantile so the realised share matches the target on ties.</w:t>
      </w:r>
    </w:p>
    <w:p>
      <w:pPr>
        <w:pStyle w:val="Heading2"/>
      </w:pPr>
      <w:r>
        <w:t>11.4 What it scores</w:t>
      </w:r>
    </w:p>
    <w:tbl>
      <w:tblPr>
        <w:tblStyle w:val="LightGrid-Accent1"/>
        <w:tblW w:type="auto" w:w="0"/>
        <w:tblLook w:firstColumn="1" w:firstRow="1" w:lastColumn="0" w:lastRow="0" w:noHBand="0" w:noVBand="1" w:val="04A0"/>
      </w:tblPr>
      <w:tblGrid>
        <w:gridCol w:w="4320"/>
        <w:gridCol w:w="4320"/>
      </w:tblGrid>
      <w:tr>
        <w:tc>
          <w:tcPr>
            <w:tcW w:type="dxa" w:w="4896"/>
          </w:tcPr>
          <w:p>
            <w:r>
              <w:rPr>
                <w:b/>
              </w:rPr>
              <w:t>Measurement</w:t>
            </w:r>
          </w:p>
        </w:tc>
        <w:tc>
          <w:tcPr>
            <w:tcW w:type="dxa" w:w="2448"/>
          </w:tcPr>
          <w:p>
            <w:r>
              <w:rPr>
                <w:b/>
              </w:rPr>
              <w:t>Macro F1</w:t>
            </w:r>
          </w:p>
        </w:tc>
      </w:tr>
      <w:tr>
        <w:tc>
          <w:tcPr>
            <w:tcW w:type="dxa" w:w="4896"/>
          </w:tcPr>
          <w:p>
            <w:r>
              <w:t>Stratified 5-fold cross-validation</w:t>
            </w:r>
          </w:p>
        </w:tc>
        <w:tc>
          <w:tcPr>
            <w:tcW w:type="dxa" w:w="2448"/>
          </w:tcPr>
          <w:p>
            <w:r>
              <w:t>0.8764</w:t>
            </w:r>
          </w:p>
        </w:tc>
      </w:tr>
      <w:tr>
        <w:tc>
          <w:tcPr>
            <w:tcW w:type="dxa" w:w="4896"/>
          </w:tcPr>
          <w:p>
            <w:r>
              <w:t>Grouped cross-validation, held-out document type</w:t>
            </w:r>
          </w:p>
        </w:tc>
        <w:tc>
          <w:tcPr>
            <w:tcW w:type="dxa" w:w="2448"/>
          </w:tcPr>
          <w:p>
            <w:r>
              <w:t>0.8089</w:t>
            </w:r>
          </w:p>
        </w:tc>
      </w:tr>
      <w:tr>
        <w:tc>
          <w:tcPr>
            <w:tcW w:type="dxa" w:w="4896"/>
          </w:tcPr>
          <w:p>
            <w:r>
              <w:t>Kaggle public leaderboard</w:t>
            </w:r>
          </w:p>
        </w:tc>
        <w:tc>
          <w:tcPr>
            <w:tcW w:type="dxa" w:w="2448"/>
          </w:tcPr>
          <w:p>
            <w:r>
              <w:t>0.80143</w:t>
            </w:r>
          </w:p>
        </w:tc>
      </w:tr>
    </w:tbl>
    <w:p>
      <w:r>
        <w:rPr>
          <w:i/>
          <w:sz w:val="18"/>
        </w:rPr>
        <w:t>Table 17. The same model measured three ways. The spread between them is the subject of section 12.2.</w:t>
      </w:r>
    </w:p>
    <w:p>
      <w:pPr>
        <w:jc w:val="center"/>
      </w:pPr>
      <w:r>
        <w:drawing>
          <wp:inline xmlns:a="http://schemas.openxmlformats.org/drawingml/2006/main" xmlns:pic="http://schemas.openxmlformats.org/drawingml/2006/picture">
            <wp:extent cx="5577840" cy="2636797"/>
            <wp:docPr id="13" name="Picture 13"/>
            <wp:cNvGraphicFramePr>
              <a:graphicFrameLocks noChangeAspect="1"/>
            </wp:cNvGraphicFramePr>
            <a:graphic>
              <a:graphicData uri="http://schemas.openxmlformats.org/drawingml/2006/picture">
                <pic:pic>
                  <pic:nvPicPr>
                    <pic:cNvPr id="0" name="kaggle_journey.png"/>
                    <pic:cNvPicPr/>
                  </pic:nvPicPr>
                  <pic:blipFill>
                    <a:blip r:embed="rId21"/>
                    <a:stretch>
                      <a:fillRect/>
                    </a:stretch>
                  </pic:blipFill>
                  <pic:spPr>
                    <a:xfrm>
                      <a:off x="0" y="0"/>
                      <a:ext cx="5577840" cy="2636797"/>
                    </a:xfrm>
                    <a:prstGeom prst="rect"/>
                  </pic:spPr>
                </pic:pic>
              </a:graphicData>
            </a:graphic>
          </wp:inline>
        </w:drawing>
      </w:r>
    </w:p>
    <w:p>
      <w:pPr>
        <w:jc w:val="center"/>
      </w:pPr>
      <w:r>
        <w:rPr>
          <w:i/>
          <w:sz w:val="18"/>
        </w:rPr>
        <w:t>Figure 13. Public Macro F1 across the milestone submissions, with the noise band drawn around the final score. Three steps clear it: the first global share calibration, the representation change, and the first per-group correction. Everything flat is a phase spent on the model.</w:t>
      </w:r>
    </w:p>
    <w:p>
      <w:pPr>
        <w:pStyle w:val="Heading1"/>
      </w:pPr>
      <w:r>
        <w:t>12. Difficulties, and what each one cost</w:t>
      </w:r>
    </w:p>
    <w:p>
      <w:r>
        <w:rPr>
          <w:b w:val="0"/>
          <w:i/>
        </w:rPr>
        <w:t>Every item here is a mistake we made and then caught. The cost is included because the cost is the part that taught us something.</w:t>
      </w:r>
    </w:p>
    <w:p>
      <w:pPr>
        <w:pStyle w:val="Heading2"/>
      </w:pPr>
      <w:r>
        <w:t>12.1 We compared models along an axis we had not held fixed</w:t>
      </w:r>
    </w:p>
    <w:p>
      <w:r>
        <w:rPr>
          <w:b w:val="0"/>
          <w:i w:val="0"/>
        </w:rPr>
        <w:t>For three notebooks we believed local validation was anti-correlated with the leaderboard. LightGBM had the best cross-validation and holdout scores of anything we tried and the worst leaderboard score, so we wrote it off and spent a phase on linear models instead.</w:t>
      </w:r>
    </w:p>
    <w:p>
      <w:r>
        <w:rPr>
          <w:b w:val="0"/>
          <w:i w:val="0"/>
        </w:rPr>
        <w:t>The inversion was an artifact of the confound described in section 8. Once we re-tested at a matched predicted share, LightGBM beat ElasticNet by 0.0189, in the same direction and roughly the same magnitude as its local lead. What fixed it was designing a test that could overturn our own written conclusion, and writing down in advance what each possible outcome would mean. We kept that habit for the rest of the project, and it caught two more errors.</w:t>
      </w:r>
    </w:p>
    <w:p>
      <w:pPr>
        <w:pStyle w:val="Heading2"/>
      </w:pPr>
      <w:r>
        <w:t>12.2 A validation protocol that would not reproduce</w:t>
      </w:r>
    </w:p>
    <w:p>
      <w:r>
        <w:rPr>
          <w:b w:val="0"/>
          <w:i w:val="0"/>
        </w:rPr>
        <w:t>Once transfer became the question, stratified cross-validation was no longer enough, because it trains and tests within the same corpora. We built domain clusters with k-means on the style features and gated everything downstream on a stability check. It passed at adjusted Rand index 0.9703 on one machine and failed at 0.5991 on another, from identical code and identical seeds, then fell to 0.1043 across five seeds. The cause was a 460,000-fold spread in column scales feeding a decomposition that ran before standardisation, on a partition that is genuinely multi-modal.</w:t>
      </w:r>
    </w:p>
    <w:p>
      <w:r>
        <w:rPr>
          <w:b w:val="0"/>
          <w:i w:val="0"/>
        </w:rPr>
        <w:t>Rather than discard the idea we tested whether the transfer gap depended on the labelling at all, including a deliberately random grouping as a control.</w:t>
      </w:r>
    </w:p>
    <w:tbl>
      <w:tblPr>
        <w:tblStyle w:val="LightGrid-Accent1"/>
        <w:tblW w:type="auto" w:w="0"/>
        <w:tblLook w:firstColumn="1" w:firstRow="1" w:lastColumn="0" w:lastRow="0" w:noHBand="0" w:noVBand="1" w:val="04A0"/>
      </w:tblPr>
      <w:tblGrid>
        <w:gridCol w:w="2880"/>
        <w:gridCol w:w="2880"/>
        <w:gridCol w:w="2880"/>
      </w:tblGrid>
      <w:tr>
        <w:tc>
          <w:tcPr>
            <w:tcW w:type="dxa" w:w="3744"/>
          </w:tcPr>
          <w:p>
            <w:r>
              <w:rPr>
                <w:b/>
              </w:rPr>
              <w:t>Grouping of the training rows</w:t>
            </w:r>
          </w:p>
        </w:tc>
        <w:tc>
          <w:tcPr>
            <w:tcW w:type="dxa" w:w="2304"/>
          </w:tcPr>
          <w:p>
            <w:r>
              <w:rPr>
                <w:b/>
              </w:rPr>
              <w:t>Held-out Macro F1</w:t>
            </w:r>
          </w:p>
        </w:tc>
        <w:tc>
          <w:tcPr>
            <w:tcW w:type="dxa" w:w="1584"/>
          </w:tcPr>
          <w:p>
            <w:r>
              <w:rPr>
                <w:b/>
              </w:rPr>
              <w:t>Usable folds</w:t>
            </w:r>
          </w:p>
        </w:tc>
      </w:tr>
      <w:tr>
        <w:tc>
          <w:tcPr>
            <w:tcW w:type="dxa" w:w="3744"/>
          </w:tcPr>
          <w:p>
            <w:r>
              <w:t>k-means, seed 42</w:t>
            </w:r>
          </w:p>
        </w:tc>
        <w:tc>
          <w:tcPr>
            <w:tcW w:type="dxa" w:w="2304"/>
          </w:tcPr>
          <w:p>
            <w:r>
              <w:t>0.7894</w:t>
            </w:r>
          </w:p>
        </w:tc>
        <w:tc>
          <w:tcPr>
            <w:tcW w:type="dxa" w:w="1584"/>
          </w:tcPr>
          <w:p>
            <w:r>
              <w:t>2</w:t>
            </w:r>
          </w:p>
        </w:tc>
      </w:tr>
      <w:tr>
        <w:tc>
          <w:tcPr>
            <w:tcW w:type="dxa" w:w="3744"/>
          </w:tcPr>
          <w:p>
            <w:r>
              <w:t>k-means, seed 43</w:t>
            </w:r>
          </w:p>
        </w:tc>
        <w:tc>
          <w:tcPr>
            <w:tcW w:type="dxa" w:w="2304"/>
          </w:tcPr>
          <w:p>
            <w:r>
              <w:t>0.8051</w:t>
            </w:r>
          </w:p>
        </w:tc>
        <w:tc>
          <w:tcPr>
            <w:tcW w:type="dxa" w:w="1584"/>
          </w:tcPr>
          <w:p>
            <w:r>
              <w:t>2</w:t>
            </w:r>
          </w:p>
        </w:tc>
      </w:tr>
      <w:tr>
        <w:tc>
          <w:tcPr>
            <w:tcW w:type="dxa" w:w="3744"/>
          </w:tcPr>
          <w:p>
            <w:r>
              <w:t>length terciles</w:t>
            </w:r>
          </w:p>
        </w:tc>
        <w:tc>
          <w:tcPr>
            <w:tcW w:type="dxa" w:w="2304"/>
          </w:tcPr>
          <w:p>
            <w:r>
              <w:t>0.8089</w:t>
            </w:r>
          </w:p>
        </w:tc>
        <w:tc>
          <w:tcPr>
            <w:tcW w:type="dxa" w:w="1584"/>
          </w:tcPr>
          <w:p>
            <w:r>
              <w:t>3</w:t>
            </w:r>
          </w:p>
        </w:tc>
      </w:tr>
      <w:tr>
        <w:tc>
          <w:tcPr>
            <w:tcW w:type="dxa" w:w="3744"/>
          </w:tcPr>
          <w:p>
            <w:r>
              <w:t>random 3-way (control)</w:t>
            </w:r>
          </w:p>
        </w:tc>
        <w:tc>
          <w:tcPr>
            <w:tcW w:type="dxa" w:w="2304"/>
          </w:tcPr>
          <w:p>
            <w:r>
              <w:t>0.8742</w:t>
            </w:r>
          </w:p>
        </w:tc>
        <w:tc>
          <w:tcPr>
            <w:tcW w:type="dxa" w:w="1584"/>
          </w:tcPr>
          <w:p>
            <w:r>
              <w:t>3</w:t>
            </w:r>
          </w:p>
        </w:tc>
      </w:tr>
      <w:tr>
        <w:tc>
          <w:tcPr>
            <w:tcW w:type="dxa" w:w="3744"/>
          </w:tcPr>
          <w:p>
            <w:r>
              <w:t>Standard 5-fold, for reference</w:t>
            </w:r>
          </w:p>
        </w:tc>
        <w:tc>
          <w:tcPr>
            <w:tcW w:type="dxa" w:w="2304"/>
          </w:tcPr>
          <w:p>
            <w:r>
              <w:t>0.8764</w:t>
            </w:r>
          </w:p>
        </w:tc>
        <w:tc>
          <w:tcPr>
            <w:tcW w:type="dxa" w:w="1584"/>
          </w:tcPr>
          <w:p>
            <w:r>
              <w:t>5</w:t>
            </w:r>
          </w:p>
        </w:tc>
      </w:tr>
    </w:tbl>
    <w:p>
      <w:r>
        <w:rPr>
          <w:i/>
          <w:sz w:val="18"/>
        </w:rPr>
        <w:t>Table 18. The random grouping is the load-bearing row: a meaningless split reproduces standard cross-validation, so the gap under structured groupings comes from domain structure and not from training on fewer rows.</w:t>
      </w:r>
    </w:p>
    <w:p>
      <w:r>
        <w:rPr>
          <w:b w:val="0"/>
          <w:i w:val="0"/>
        </w:rPr>
        <w:t>We replaced k-means with deterministic length bands, which every team member computes identically. The absolute level remains untrustworthy to better than about 0.03, so we use the protocol to rank candidates rather than to forecast a score.</w:t>
      </w:r>
    </w:p>
    <w:p>
      <w:pPr>
        <w:jc w:val="center"/>
      </w:pPr>
      <w:r>
        <w:drawing>
          <wp:inline xmlns:a="http://schemas.openxmlformats.org/drawingml/2006/main" xmlns:pic="http://schemas.openxmlformats.org/drawingml/2006/picture">
            <wp:extent cx="5577840" cy="2138172"/>
            <wp:docPr id="14" name="Picture 14"/>
            <wp:cNvGraphicFramePr>
              <a:graphicFrameLocks noChangeAspect="1"/>
            </wp:cNvGraphicFramePr>
            <a:graphic>
              <a:graphicData uri="http://schemas.openxmlformats.org/drawingml/2006/picture">
                <pic:pic>
                  <pic:nvPicPr>
                    <pic:cNvPr id="0" name="local_vs_kaggle.png"/>
                    <pic:cNvPicPr/>
                  </pic:nvPicPr>
                  <pic:blipFill>
                    <a:blip r:embed="rId22"/>
                    <a:stretch>
                      <a:fillRect/>
                    </a:stretch>
                  </pic:blipFill>
                  <pic:spPr>
                    <a:xfrm>
                      <a:off x="0" y="0"/>
                      <a:ext cx="5577840" cy="2138172"/>
                    </a:xfrm>
                    <a:prstGeom prst="rect"/>
                  </pic:spPr>
                </pic:pic>
              </a:graphicData>
            </a:graphic>
          </wp:inline>
        </w:drawing>
      </w:r>
    </w:p>
    <w:p>
      <w:pPr>
        <w:jc w:val="center"/>
      </w:pPr>
      <w:r>
        <w:rPr>
          <w:i/>
          <w:sz w:val="18"/>
        </w:rPr>
        <w:t>Figure 14. Standard cross-validation, grouped cross-validation and the leaderboard for three milestone models. Grouped validation is not unbiased, but its error is several times smaller.</w:t>
      </w:r>
    </w:p>
    <w:p>
      <w:pPr>
        <w:pStyle w:val="Heading2"/>
      </w:pPr>
      <w:r>
        <w:t>12.3 A diagnostic that silently contaminated itself</w:t>
      </w:r>
    </w:p>
    <w:p>
      <w:r>
        <w:rPr>
          <w:b w:val="0"/>
          <w:i w:val="0"/>
        </w:rPr>
        <w:t>We built a submission to test whether the public leaderboard scores the UUID rows, by changing only those rows and holding the numeric rows fixed. The first version pinned the numeric group to the global share of 0.4996, in the belief that this held them constant. Their realised share under the baseline was 0.5482, so the probe silently moved 243 rows it was supposed to freeze, which would have made its answer unreadable in either direction.</w:t>
      </w:r>
    </w:p>
    <w:p>
      <w:r>
        <w:rPr>
          <w:b w:val="0"/>
          <w:i w:val="0"/>
        </w:rPr>
        <w:t>The general lesson: setting a knob to the value a baseline used is not the same as leaving those rows alone, and the two coincide only when the knob is applied at the same granularity. Every later per-group file asserts that the held group is byte-identical rather than trusting the share to imply it.</w:t>
      </w:r>
    </w:p>
    <w:p>
      <w:pPr>
        <w:pStyle w:val="Heading2"/>
      </w:pPr>
      <w:r>
        <w:t>12.4 Two predictions we made, and both were wrong</w:t>
      </w:r>
    </w:p>
    <w:p>
      <w:r>
        <w:rPr>
          <w:b w:val="0"/>
          <w:i w:val="0"/>
        </w:rPr>
        <w:t>We predicted that the formatting features were dataset fingerprints that would not survive the corpus change, since machine text in training carries markdown bold at roughly ten times the human rate and the peer-review test rows carry it at five times the machine rate. We built a stripped-down feature set of function words and character n-grams only to test it. Removing those blocks cost 0.04944 on the leaderboard, six times the noise floor, in the opposite direction from the prediction.</w:t>
      </w:r>
    </w:p>
    <w:p>
      <w:r>
        <w:rPr>
          <w:b w:val="0"/>
          <w:i w:val="0"/>
        </w:rPr>
        <w:t>We then predicted that the diversity block had more to give, since it returned the largest transfer value of any family from only five columns. We added fourteen further diversity measures and twelve variability measures.</w:t>
      </w:r>
    </w:p>
    <w:tbl>
      <w:tblPr>
        <w:tblStyle w:val="LightGrid-Accent1"/>
        <w:tblW w:type="auto" w:w="0"/>
        <w:tblLook w:firstColumn="1" w:firstRow="1" w:lastColumn="0" w:lastRow="0" w:noHBand="0" w:noVBand="1" w:val="04A0"/>
      </w:tblPr>
      <w:tblGrid>
        <w:gridCol w:w="4320"/>
        <w:gridCol w:w="4320"/>
      </w:tblGrid>
      <w:tr>
        <w:tc>
          <w:tcPr>
            <w:tcW w:type="dxa" w:w="4608"/>
          </w:tcPr>
          <w:p>
            <w:r>
              <w:rPr>
                <w:b/>
              </w:rPr>
              <w:t>Feature idea</w:t>
            </w:r>
          </w:p>
        </w:tc>
        <w:tc>
          <w:tcPr>
            <w:tcW w:type="dxa" w:w="3456"/>
          </w:tcPr>
          <w:p>
            <w:r>
              <w:rPr>
                <w:b/>
              </w:rPr>
              <w:t>Change in held-out-domain Macro F1</w:t>
            </w:r>
          </w:p>
        </w:tc>
      </w:tr>
      <w:tr>
        <w:tc>
          <w:tcPr>
            <w:tcW w:type="dxa" w:w="4608"/>
          </w:tcPr>
          <w:p>
            <w:r>
              <w:t>extended diversity (J, 14 cols)</w:t>
            </w:r>
          </w:p>
        </w:tc>
        <w:tc>
          <w:tcPr>
            <w:tcW w:type="dxa" w:w="3456"/>
          </w:tcPr>
          <w:p>
            <w:r>
              <w:t>-0.0022</w:t>
            </w:r>
          </w:p>
        </w:tc>
      </w:tr>
      <w:tr>
        <w:tc>
          <w:tcPr>
            <w:tcW w:type="dxa" w:w="4608"/>
          </w:tcPr>
          <w:p>
            <w:r>
              <w:t>variability (K, 12 cols)</w:t>
            </w:r>
          </w:p>
        </w:tc>
        <w:tc>
          <w:tcPr>
            <w:tcW w:type="dxa" w:w="3456"/>
          </w:tcPr>
          <w:p>
            <w:r>
              <w:t>+0.0049</w:t>
            </w:r>
          </w:p>
        </w:tc>
      </w:tr>
      <w:tr>
        <w:tc>
          <w:tcPr>
            <w:tcW w:type="dxa" w:w="4608"/>
          </w:tcPr>
          <w:p>
            <w:r>
              <w:t>J and K together</w:t>
            </w:r>
          </w:p>
        </w:tc>
        <w:tc>
          <w:tcPr>
            <w:tcW w:type="dxa" w:w="3456"/>
          </w:tcPr>
          <w:p>
            <w:r>
              <w:t>+0.0011</w:t>
            </w:r>
          </w:p>
        </w:tc>
      </w:tr>
      <w:tr>
        <w:tc>
          <w:tcPr>
            <w:tcW w:type="dxa" w:w="4608"/>
          </w:tcPr>
          <w:p>
            <w:r>
              <w:t>char n-grams at 5x capacity</w:t>
            </w:r>
          </w:p>
        </w:tc>
        <w:tc>
          <w:tcPr>
            <w:tcW w:type="dxa" w:w="3456"/>
          </w:tcPr>
          <w:p>
            <w:r>
              <w:t>+0.0023</w:t>
            </w:r>
          </w:p>
        </w:tc>
      </w:tr>
    </w:tbl>
    <w:p>
      <w:r>
        <w:rPr>
          <w:i/>
          <w:sz w:val="18"/>
        </w:rPr>
        <w:t>Table 19. Four expansion attempts, all inside the selection bar. Extended diversity made transfer worse while improving same-domain fit, which is the signature of a feature that memorises rather than generalises.</w:t>
      </w:r>
    </w:p>
    <w:p>
      <w:r>
        <w:rPr>
          <w:b w:val="0"/>
          <w:i w:val="0"/>
        </w:rPr>
        <w:t>Both experiments were designed in advance so that they could fail, and both did. We would rather report two falsified predictions than a roadmap in which every idea worked.</w:t>
      </w:r>
    </w:p>
    <w:p>
      <w:pPr>
        <w:pStyle w:val="Heading2"/>
      </w:pPr>
      <w:r>
        <w:t>12.5 What we could not overcome</w:t>
      </w:r>
    </w:p>
    <w:p>
      <w:pPr>
        <w:pStyle w:val="ListBullet"/>
      </w:pPr>
      <w:r>
        <w:t>Predicted share cannot be validated locally at all. Our dev and holdout splits are carved from training data and inherit its class balance, so every share decision rests on leaderboard feedback. We managed that risk rather than solving it.</w:t>
      </w:r>
    </w:p>
    <w:p>
      <w:pPr>
        <w:pStyle w:val="ListBullet"/>
      </w:pPr>
      <w:r>
        <w:t>The absolute level of the grouped protocol is not trustworthy to better than about 0.03, so we can rank candidates but not forecast a score.</w:t>
      </w:r>
    </w:p>
    <w:p>
      <w:pPr>
        <w:pStyle w:val="ListBullet"/>
      </w:pPr>
      <w:r>
        <w:t>A gap of roughly 0.075 remains between standard cross-validation and the leaderboard. The brief says to expect it by design, and we found no lever that closed it without fitting the public rows.</w:t>
      </w:r>
    </w:p>
    <w:p>
      <w:pPr>
        <w:pStyle w:val="Heading1"/>
      </w:pPr>
      <w:r>
        <w:t>13. What we learned beyond the course</w:t>
      </w:r>
    </w:p>
    <w:p>
      <w:pPr>
        <w:pStyle w:val="Heading2"/>
      </w:pPr>
      <w:r>
        <w:t>13.1 Averaging can hide two large effects that cancel</w:t>
      </w:r>
    </w:p>
    <w:p>
      <w:r>
        <w:rPr>
          <w:b w:val="0"/>
          <w:i w:val="0"/>
        </w:rPr>
        <w:t>This is the idea that generalises furthest beyond this project. When one global threshold is applied to a population that is a mixture, the optimum for the mixture can be flat while the component optima are far apart and moving in opposite directions. We measured that flat curve twice, correctly both times, and drew the wrong conclusion from it on both occasions. A roughly +0.019 effect and a roughly -0.019 effect had been cancelling in the average, and the only way to see it was to stop averaging.</w:t>
      </w:r>
    </w:p>
    <w:p>
      <w:pPr>
        <w:pStyle w:val="Heading2"/>
      </w:pPr>
      <w:r>
        <w:t>13.2 Blocked and paired comparison</w:t>
      </w:r>
    </w:p>
    <w:p>
      <w:r>
        <w:rPr>
          <w:b w:val="0"/>
          <w:i w:val="0"/>
        </w:rPr>
        <w:t>Our held-out bands differ in difficulty by far more than any two candidates differ from each other. Comparing mean scores against a fold standard deviation of 0.087 sets a bar that nothing can clear. Because band difficulty is common to every candidate, the correct comparison is paired: subtract fold by fold and test the differences. We had already reported one result as a null using the over-conservative bar before we understood this, and we say so rather than quietly restating it.</w:t>
      </w:r>
    </w:p>
    <w:p>
      <w:pPr>
        <w:pStyle w:val="Heading2"/>
      </w:pPr>
      <w:r>
        <w:t>13.3 Leave-one-group-out validation as a transfer proxy</w:t>
      </w:r>
    </w:p>
    <w:p>
      <w:r>
        <w:rPr>
          <w:b w:val="0"/>
          <w:i w:val="0"/>
        </w:rPr>
        <w:t>Standard cross-validation answers how well a model fits this data. When train and test come from different sources, the question is how well it transfers, and those are different measurements. Holding out a whole group and training on the rest approximates the second. The essential companion is the random-grouping control in section 12.2: without it, a lower score under grouping is equally consistent with the protocol simply training on fewer rows, and the whole apparatus proves nothing.</w:t>
      </w:r>
    </w:p>
    <w:p>
      <w:pPr>
        <w:pStyle w:val="Heading2"/>
      </w:pPr>
      <w:r>
        <w:t>13.4 A leaderboard is a measuring instrument with a precision</w:t>
      </w:r>
    </w:p>
    <w:p>
      <w:r>
        <w:rPr>
          <w:b w:val="0"/>
          <w:i w:val="0"/>
        </w:rPr>
        <w:t>We computed the sampling noise of the public leaderboard once, about 0.0084 at our row count and score, and then held every claim to it. That single number let us stop three searches at the right moment, disbelieve two of our own gains, and avoid spending rationed submissions inside flat regions. It is also why our final picks are not simply the top two public scores.</w:t>
      </w:r>
    </w:p>
    <w:p>
      <w:pPr>
        <w:pStyle w:val="Heading2"/>
      </w:pPr>
      <w:r>
        <w:t>13.5 Reading the dataset paper was worth more than any model</w:t>
      </w:r>
    </w:p>
    <w:p>
      <w:r>
        <w:rPr>
          <w:b w:val="0"/>
          <w:i w:val="0"/>
        </w:rPr>
        <w:t>The shared-task paper told us the test corpora were disjoint from training, gave the class balance of each, and explained why the test file contains two populations. Those facts produced both of the changes that moved our score. No amount of hyperparameter search would have found either of them, and we reached them in phase 8 rather than phase 1 only because we skimmed the paper the first time.</w:t>
      </w:r>
    </w:p>
    <w:p>
      <w:pPr>
        <w:pStyle w:val="Heading1"/>
      </w:pPr>
      <w:r>
        <w:t>14. Limitations and next steps</w:t>
      </w:r>
    </w:p>
    <w:p>
      <w:r>
        <w:rPr>
          <w:b/>
          <w:i w:val="0"/>
        </w:rPr>
        <w:t>What we consider settled:</w:t>
      </w:r>
    </w:p>
    <w:p>
      <w:pPr>
        <w:pStyle w:val="ListBullet"/>
      </w:pPr>
      <w:r>
        <w:t>The representation. Raw-text features beat the supplied TF-IDF by a wide margin, and adding the supplied features back changes nothing measurable.</w:t>
      </w:r>
    </w:p>
    <w:p>
      <w:pPr>
        <w:pStyle w:val="ListBullet"/>
      </w:pPr>
      <w:r>
        <w:t>Global predicted share. Flat from 0.44 to 0.56 on two different models, for the reason section 13.1 explains.</w:t>
      </w:r>
    </w:p>
    <w:p>
      <w:pPr>
        <w:pStyle w:val="ListBullet"/>
      </w:pPr>
      <w:r>
        <w:t>Per-group share. Both axes walked to their vertices.</w:t>
      </w:r>
    </w:p>
    <w:p>
      <w:pPr>
        <w:pStyle w:val="ListBullet"/>
      </w:pPr>
      <w:r>
        <w:t>Feature expansion in the directions we tried. Four ideas, all inside the bar.</w:t>
      </w:r>
    </w:p>
    <w:p>
      <w:r>
        <w:rPr>
          <w:b/>
          <w:i w:val="0"/>
        </w:rPr>
        <w:t>What remains open:</w:t>
      </w:r>
    </w:p>
    <w:p>
      <w:pPr>
        <w:pStyle w:val="ListBullet"/>
      </w:pPr>
      <w:r>
        <w:t>Hyperparameter tuning on the raw-text representation, designed and split across the team but not yet run. Expected to be worth about 0.005.</w:t>
      </w:r>
    </w:p>
    <w:p>
      <w:pPr>
        <w:pStyle w:val="ListBullet"/>
      </w:pPr>
      <w:r>
        <w:t>A second model family blended on this representation. We specified it but did not manage to measure it, so we report it as unmeasured rather than as negative.</w:t>
      </w:r>
    </w:p>
    <w:p>
      <w:pPr>
        <w:pStyle w:val="ListBullet"/>
      </w:pPr>
      <w:r>
        <w:t>Whether the id-format grouping matches the public and private leaderboard split. Our evidence is consistent with it but does not establish it.</w:t>
      </w:r>
    </w:p>
    <w:p>
      <w:r>
        <w:rPr>
          <w:b/>
          <w:i w:val="0"/>
        </w:rPr>
        <w:t>Our final-submission rule:</w:t>
      </w:r>
    </w:p>
    <w:p>
      <w:r>
        <w:rPr>
          <w:b w:val="0"/>
          <w:i w:val="0"/>
        </w:rPr>
        <w:t>pair the best public point with a more central one rather than taking the top two public scores. The share coordinates are fitted to a leaderboard with a known noise floor, and the private rows are a different sample, so the point that maximises the public score is not necessarily the one that maximises the graded one.</w:t>
      </w:r>
    </w:p>
    <w:p>
      <w:r>
        <w:rPr>
          <w:b w:val="0"/>
          <w:i w:val="0"/>
        </w:rPr>
        <w:t>For calibration, the shared task's own fine-tuned RoBERTa baseline reached 73.42 Macro F1 on the full English test set. We reach 80.14 with classical models and no deep learning, although the numbers are not strictly comparable because the course uses a subsample of under 5% of that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