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TL;DR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transcript details a website design and copy consultation for a clinical therapy practice. The speaker uses a colleague's React-built website as a structural reference to reorganize their navigation, home/about page, offered services, specialty areas, FAQ section, and contact method.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2jc83wxa5p7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Global &amp; Structural Changes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Navigation Bar: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Ensure main sections ("About Me", "Services", "FAQ") are visible on the desktop header without needing to open the mobile/hamburger menu.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Change the menu label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"Bio"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"About Me"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 &amp; Email Removal: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Remove all visible raw email addresses across the entire website.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Replace static email contact forms with an embedded link/portal integration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Simple Practice</w:t>
      </w:r>
      <w:r w:rsidDel="00000000" w:rsidR="00000000" w:rsidRPr="00000000">
        <w:rPr>
          <w:color w:val="1f1f1f"/>
          <w:rtl w:val="0"/>
        </w:rPr>
        <w:t xml:space="preserve"> (handles client intake directly).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Branding / Domain Name: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Target domain name: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multiclarity.com</w:t>
      </w:r>
      <w:r w:rsidDel="00000000" w:rsidR="00000000" w:rsidRPr="00000000">
        <w:rPr>
          <w:color w:val="1f1f1f"/>
          <w:rtl w:val="0"/>
        </w:rPr>
        <w:t xml:space="preserve"> (or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multi-clarity.com</w:t>
      </w:r>
      <w:r w:rsidDel="00000000" w:rsidR="00000000" w:rsidRPr="00000000">
        <w:rPr>
          <w:color w:val="1f1f1f"/>
          <w:rtl w:val="0"/>
        </w:rPr>
        <w:t xml:space="preserve"> if taken).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n1zlzw01z5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Page Specifications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wwrsajifazz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Home / "About Me" Section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 / Sub-header:</w:t>
      </w:r>
      <w:r w:rsidDel="00000000" w:rsidR="00000000" w:rsidRPr="00000000">
        <w:rPr>
          <w:color w:val="1f1f1f"/>
          <w:rtl w:val="0"/>
        </w:rPr>
        <w:t xml:space="preserve"> Place a short professional description directly under the practitioner's name.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Education &amp; Credentials:</w:t>
      </w:r>
      <w:r w:rsidDel="00000000" w:rsidR="00000000" w:rsidRPr="00000000">
        <w:rPr>
          <w:color w:val="1f1f1f"/>
          <w:rtl w:val="0"/>
        </w:rPr>
        <w:t xml:space="preserve"> Add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Education</w:t>
      </w:r>
      <w:r w:rsidDel="00000000" w:rsidR="00000000" w:rsidRPr="00000000">
        <w:rPr>
          <w:color w:val="1f1f1f"/>
          <w:rtl w:val="0"/>
        </w:rPr>
        <w:t xml:space="preserve"> section.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Licensing: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List states where licensed.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Add a hyperlink (e.g., "Click here to verify/view state licenses").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Removals:</w:t>
      </w:r>
      <w:r w:rsidDel="00000000" w:rsidR="00000000" w:rsidRPr="00000000">
        <w:rPr>
          <w:color w:val="1f1f1f"/>
          <w:rtl w:val="0"/>
        </w:rPr>
        <w:t xml:space="preserve"> Strip out previous placeholder text, previous bio info ("Bio-Jemisala"), and non-relevant sections from the page.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745rjjjpck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Services &amp; Specialty Areas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Intro Paragraph:</w:t>
      </w:r>
      <w:r w:rsidDel="00000000" w:rsidR="00000000" w:rsidRPr="00000000">
        <w:rPr>
          <w:color w:val="1f1f1f"/>
          <w:rtl w:val="0"/>
        </w:rPr>
        <w:t xml:space="preserve"> Remove the "Certifications and Affiliations" section. Replace it with: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"I provide culturally responsive and linguistically sensitive care..."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Specialty Areas Section: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Format as concise blurbs/cards detailing target issues: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Anxiety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Coping with medical conditions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Cultural, linguistic, and acculturation issues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Keep chronic health coping descriptions somewhat broad for now to test market demand; do not over-specialize immediately.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Treatment Approach &amp; Evidence-Based Frameworks: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State: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 use evidence-based therapy tailored to each child and family based on acoustic preference, cultural context, and background medical needs."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List evidence-based modalities (ACT, CBT, etc.).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Action item:</w:t>
      </w:r>
      <w:r w:rsidDel="00000000" w:rsidR="00000000" w:rsidRPr="00000000">
        <w:rPr>
          <w:color w:val="1f1f1f"/>
          <w:rtl w:val="0"/>
        </w:rPr>
        <w:t xml:space="preserve"> Rewrite/rephrase the exact wording copied from the reference site to ensure original copy.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Service Blurbs: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Parent/caregiver consultation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Parent/caregiver-only therapy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Individual therapy for children, teens, and adults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3bey1mcdihf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FAQ Section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Confirmed Active Questions: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 you accept insurance?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 you meet in person or via telehealth?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How do I get started?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Pending / "Skip for Now" Questions: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Questions regarding non-diagnosed children or diagnostic consultations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"My child hasn't been diagnosed with anything—can I still book?"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a3z0e8chxj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To-Do List / Future Additions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Add future service offerings when expanded: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Parent-child interaction therapy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Group therapy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Clarify inclusion of languages spoken section.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Finalize domain purchase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multiclarity.com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Integrate Simple Practice portal links for existing client logins and new inquiries.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