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color w:val="176C64"/>
          <w:sz w:val="20"/>
        </w:rPr>
        <w:t>CENTRO UNIVERSITARIO  ·  LABORATORIO DE CÓMPUTO</w:t>
      </w:r>
    </w:p>
    <w:p>
      <w:pPr>
        <w:spacing w:before="700"/>
      </w:pPr>
      <w:r>
        <w:rPr>
          <w:rFonts w:ascii="Aptos Display" w:hAnsi="Aptos Display"/>
          <w:b/>
          <w:color w:val="173342"/>
          <w:sz w:val="80"/>
        </w:rPr>
        <w:t>PRÉSTAMOS</w:t>
        <w:br/>
        <w:t>LAB</w:t>
      </w:r>
    </w:p>
    <w:p>
      <w:r>
        <w:rPr>
          <w:color w:val="687B83"/>
          <w:sz w:val="34"/>
        </w:rPr>
        <w:t>Documentación de la aplicación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4968"/>
            <w:vAlign w:val="center"/>
            <w:shd w:fill="EAF4F2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73342"/>
                <w:sz w:val="17"/>
              </w:rPr>
              <w:t>Estudiante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Carlos Fernando Ligorría Flores</w:t>
            </w:r>
          </w:p>
        </w:tc>
      </w:tr>
      <w:tr>
        <w:tc>
          <w:tcPr>
            <w:tcW w:type="dxa" w:w="4968"/>
            <w:vAlign w:val="center"/>
            <w:shd w:fill="F4F7F8"/>
            <w:shd w:fill="EAF4F2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73342"/>
                <w:sz w:val="17"/>
              </w:rPr>
              <w:t>Carné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0902-22-7467</w:t>
            </w:r>
          </w:p>
        </w:tc>
      </w:tr>
      <w:tr>
        <w:tc>
          <w:tcPr>
            <w:tcW w:type="dxa" w:w="4968"/>
            <w:vAlign w:val="center"/>
            <w:shd w:fill="EAF4F2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73342"/>
                <w:sz w:val="17"/>
              </w:rPr>
              <w:t>Variante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Último dígito 7 · Monitor, Teclado y Mouse</w:t>
            </w:r>
          </w:p>
        </w:tc>
      </w:tr>
      <w:tr>
        <w:tc>
          <w:tcPr>
            <w:tcW w:type="dxa" w:w="4968"/>
            <w:vAlign w:val="center"/>
            <w:shd w:fill="F4F7F8"/>
            <w:shd w:fill="EAF4F2"/>
          </w:tcPr>
          <w:p>
            <w:pPr>
              <w:spacing w:after="20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color w:val="173342"/>
                <w:sz w:val="17"/>
              </w:rPr>
              <w:t>Fecha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21 de octubre de 2026</w:t>
            </w:r>
          </w:p>
        </w:tc>
      </w:tr>
    </w:tbl>
    <w:p>
      <w:pPr>
        <w:spacing w:after="20"/>
      </w:pPr>
    </w:p>
    <w:p>
      <w:pPr>
        <w:spacing w:before="480"/>
      </w:pPr>
      <w:r>
        <w:rPr>
          <w:b/>
          <w:color w:val="176C64"/>
        </w:rPr>
        <w:t>React 19 · TypeScript · Vite · json-server</w:t>
      </w:r>
    </w:p>
    <w:p>
      <w:r>
        <w:br w:type="page"/>
      </w:r>
    </w:p>
    <w:p>
      <w:pPr>
        <w:pStyle w:val="Heading1"/>
      </w:pPr>
      <w:r>
        <w:t>1. Resumen del proyecto</w:t>
      </w:r>
    </w:p>
    <w:p>
      <w:r>
        <w:t>Préstamos Lab permite consultar el inventario del laboratorio, registrar quién se lleva cada equipo y controlar su fecha de devolución. La interfaz consume una API REST local y persiste los cambios en db.json mediante json-server.</w:t>
      </w:r>
    </w:p>
    <w:p>
      <w:pPr>
        <w:pStyle w:val="Heading2"/>
      </w:pPr>
      <w:r>
        <w:t>Variante personal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Implementación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Carné terminado en 7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Variante correspondiente a los dígitos 6 o 7.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Categorías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Monitor, Teclado y Mouse; diez equipos de prueba.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Plazo máximo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Cinco días; el formulario limita y valida la fecha.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Regla adicional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El encabezado calcula y muestra los préstamos activos vencidos.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Título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Préstamos Lab — 0902-22-7467 en el encabezado y la pestaña.</w:t>
            </w:r>
          </w:p>
        </w:tc>
      </w:tr>
    </w:tbl>
    <w:p>
      <w:pPr>
        <w:spacing w:after="20"/>
      </w:pPr>
    </w:p>
    <w:p>
      <w:pPr>
        <w:pStyle w:val="Heading2"/>
      </w:pPr>
      <w:r>
        <w:t>Funcionalidades</w:t>
      </w:r>
    </w:p>
    <w:p>
      <w:pPr>
        <w:pStyle w:val="ListBullet"/>
        <w:spacing w:after="60"/>
      </w:pPr>
      <w:r>
        <w:t>Tarjetas con disponibilidad; equipo ocupado no se puede prestar.</w:t>
      </w:r>
    </w:p>
    <w:p>
      <w:pPr>
        <w:pStyle w:val="ListBullet"/>
        <w:spacing w:after="60"/>
      </w:pPr>
      <w:r>
        <w:t>Búsqueda por nombre y filtro de categoría combinados.</w:t>
      </w:r>
    </w:p>
    <w:p>
      <w:pPr>
        <w:pStyle w:val="ListBullet"/>
        <w:spacing w:after="60"/>
      </w:pPr>
      <w:r>
        <w:t>Formulario controlado con errores de validación junto al campo.</w:t>
      </w:r>
    </w:p>
    <w:p>
      <w:pPr>
        <w:pStyle w:val="ListBullet"/>
        <w:spacing w:after="60"/>
      </w:pPr>
      <w:r>
        <w:t>Tabla de préstamos activos, vencidos resaltados y acción Devolver.</w:t>
      </w:r>
    </w:p>
    <w:p>
      <w:pPr>
        <w:pStyle w:val="ListBullet"/>
        <w:spacing w:after="60"/>
      </w:pPr>
      <w:r>
        <w:t>Carga con useEffect, indicador de progreso, error comprensible y reintento.</w:t>
      </w:r>
    </w:p>
    <w:p>
      <w:pPr>
        <w:pStyle w:val="ListBullet"/>
        <w:spacing w:after="60"/>
      </w:pPr>
      <w:r>
        <w:t>Actualizaciones REST, estado inmutable y protección ante envíos dobles.</w:t>
      </w:r>
    </w:p>
    <w:p>
      <w:pPr>
        <w:pStyle w:val="Heading1"/>
      </w:pPr>
      <w:r>
        <w:t>2. Componentes y organización</w:t>
      </w:r>
    </w:p>
    <w:p>
      <w:r>
        <w:t>Presentación, vistas, acceso a datos y tipos están separados para mantener responsabilidades claras y props tipadas.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src/components/Encabezado.tsx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Título y contadores derivados.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src/components/TarjetaEquipo.tsx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Tarjeta tipada y acción de préstamo.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src/components/ListaEquipos.tsx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Lista con map y key estable: equipo.id.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src/components/FormularioPrestamo.tsx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Formulario y validaciones.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src/components/TablaPrestamos.tsx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Tabla, vencimientos y devoluciones.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src/pages/Inventario.tsx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Vista y filtros combinados.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src/pages/PrestamosActivos.tsx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Vista de préstamos y resumen vencido.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src/services/api.ts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Funciones fetch tipadas y errores HTTP/red.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src/hooks/useEquipos.ts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Carga de equipos, loading, error y reintento.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src/types/index.ts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Interfaces Equipo y Prestamo.</w:t>
            </w:r>
          </w:p>
        </w:tc>
      </w:tr>
    </w:tbl>
    <w:p>
      <w:pPr>
        <w:spacing w:after="20"/>
      </w:pPr>
    </w:p>
    <w:p>
      <w:pPr>
        <w:pStyle w:val="Heading2"/>
      </w:pPr>
      <w:r>
        <w:t>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Equipo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id, nombre, categoria, disponible.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Prestamo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id, equipoId, solicitante, carne, fechaPrestamo, fechaLimite, devuelto.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Formularios, estado y API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Solicitante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Obligatorio, mínimo 5 caracteres.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Carné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Expresión regular ^\d{4}-\d{2}-\d{5}$; ejemplo 0000-00-00000.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Fecha límite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Desde hoy hasta un máximo de 5 días.</w:t>
            </w:r>
          </w:p>
        </w:tc>
      </w:tr>
    </w:tbl>
    <w:p>
      <w:pPr>
        <w:spacing w:after="20"/>
      </w:pPr>
    </w:p>
    <w:p>
      <w:r>
        <w:t>Los inputs se controlan con value y onChange. Los arreglos se actualizan inmutablemente con map/filter/spread, nunca mediante mutación directa. El envío se bloquea mientras la petición está en curso.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312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12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/equipos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Cargar inventario.</w:t>
            </w:r>
          </w:p>
        </w:tc>
      </w:tr>
      <w:tr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GET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/prestamos?devuelto=false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Cargar préstamos activos.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/prestamos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Registrar un préstamo.</w:t>
            </w:r>
          </w:p>
        </w:tc>
      </w:tr>
      <w:tr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PATCH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/equipos/:id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Cambiar disponibilidad.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PATCH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/prestamos/:id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Marcar como devuelto.</w:t>
            </w:r>
          </w:p>
        </w:tc>
      </w:tr>
    </w:tbl>
    <w:p>
      <w:pPr>
        <w:spacing w:after="20"/>
      </w:pPr>
    </w:p>
    <w:p>
      <w:r>
        <w:t>La URL base proviene de VITE_API_URL (por defecto http://localhost:3001). Si falla una de las dos escrituras coordinadas, se intenta revertir la primera para evitar un estado inconsistente.</w:t>
      </w:r>
    </w:p>
    <w:p>
      <w:pPr>
        <w:pStyle w:val="Heading1"/>
      </w:pPr>
      <w:r>
        <w:t>4. Instalación y ejecución</w:t>
      </w:r>
    </w:p>
    <w:p>
      <w:pPr>
        <w:pStyle w:val="ListNumber"/>
        <w:spacing w:after="80"/>
      </w:pPr>
      <w:r>
        <w:t>Instalar Node.js 20.19+ o 22.12+ y npm.</w:t>
      </w:r>
    </w:p>
    <w:p>
      <w:pPr>
        <w:pStyle w:val="ListNumber"/>
        <w:spacing w:after="80"/>
      </w:pPr>
      <w:r>
        <w:t>Ejecutar npm install en la raíz del proyecto.</w:t>
      </w:r>
    </w:p>
    <w:p>
      <w:pPr>
        <w:pStyle w:val="ListNumber"/>
        <w:spacing w:after="80"/>
      </w:pPr>
      <w:r>
        <w:t>En una terminal, ejecutar npm run api (API en http://localhost:3001).</w:t>
      </w:r>
    </w:p>
    <w:p>
      <w:pPr>
        <w:pStyle w:val="ListNumber"/>
        <w:spacing w:after="80"/>
      </w:pPr>
      <w:r>
        <w:t>En otra terminal, ejecutar npm run dev y abrir la URL indicada por Vite.</w:t>
      </w:r>
    </w:p>
    <w:p>
      <w:pPr>
        <w:pStyle w:val="ListNumber"/>
        <w:spacing w:after="80"/>
      </w:pPr>
      <w:r>
        <w:t>Comprobar la API en /equipos o /prestamos?devuelto=false, puerto 3001.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4968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npm run api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Inicia json-server; guarda cambios en db.json.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npm run dev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Inicia Vite.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npm run build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Valida TypeScript y genera dist/.</w:t>
            </w:r>
          </w:p>
        </w:tc>
      </w:tr>
      <w:tr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npm run lint</w:t>
            </w:r>
          </w:p>
        </w:tc>
        <w:tc>
          <w:tcPr>
            <w:tcW w:type="dxa" w:w="4968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Ejecuta Oxlint.</w:t>
            </w:r>
          </w:p>
        </w:tc>
      </w:tr>
    </w:tbl>
    <w:p>
      <w:pPr>
        <w:spacing w:after="20"/>
      </w:pPr>
    </w:p>
    <w:p>
      <w:pPr>
        <w:pStyle w:val="Heading2"/>
      </w:pPr>
      <w:r>
        <w:t>Repositorio y commits</w:t>
      </w:r>
    </w:p>
    <w:p>
      <w:r>
        <w:t xml:space="preserve">Perfil de GitHub proporcionado: </w:t>
      </w:r>
      <w:hyperlink r:id="rId11">
        <w:r>
          <w:rPr>
            <w:color w:val="176C64"/>
            <w:u w:val="single"/>
          </w:rPr>
          <w:t>github.com/cligorriaf-sketch</w:t>
        </w:r>
      </w:hyperlink>
    </w:p>
    <w:p>
      <w:r>
        <w:t>El proyecto tiene seis commits locales de avance. La búsqueda pública no encontró un repositorio específico para esta entrega. El perfil no equivale a un enlace al repositorio; su publicación y URL final quedan pendientes.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312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Commit local</w:t>
            </w:r>
          </w:p>
        </w:tc>
        <w:tc>
          <w:tcPr>
            <w:tcW w:type="dxa" w:w="3312"/>
            <w:vAlign w:val="center"/>
            <w:shd w:fill="176C6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chore: scaffold React TypeScript app with Vite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Estructura y dependencias.</w:t>
            </w:r>
          </w:p>
        </w:tc>
      </w:tr>
      <w:tr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2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feat: add typed inventory and active loan views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Componentes y vistas.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feat: connect app to REST API with reusable data hook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Servicios y hook.</w:t>
            </w:r>
          </w:p>
        </w:tc>
      </w:tr>
      <w:tr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4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feat: implement loan workflows and responsive styling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Flujos y estilos.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docs: add API fixture and project setup guide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Datos y README.</w:t>
            </w:r>
          </w:p>
        </w:tc>
      </w:tr>
      <w:tr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6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docs: create assignment report and evidence screenshots</w:t>
            </w:r>
          </w:p>
        </w:tc>
        <w:tc>
          <w:tcPr>
            <w:tcW w:type="dxa" w:w="3312"/>
            <w:vAlign w:val="center"/>
            <w:shd w:fill="F4F7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color w:val="173342"/>
                <w:sz w:val="17"/>
              </w:rPr>
              <w:t>Informe y capturas.</w:t>
            </w:r>
          </w:p>
        </w:tc>
      </w:tr>
    </w:tbl>
    <w:p>
      <w:pPr>
        <w:spacing w:after="20"/>
      </w:pPr>
    </w:p>
    <w:p>
      <w:pPr>
        <w:pStyle w:val="Heading1"/>
      </w:pPr>
      <w:r>
        <w:t>5. Regla adicional y reflexiones</w:t>
      </w:r>
    </w:p>
    <w:p>
      <w:r>
        <w:t>La regla de la variante 6/7 se implementa como estado derivado. Una función compara la fecha ISO de cada préstamo activo con la fecha local de hoy y cuenta los que vencieron. El encabezado muestra ese total; la tabla resalta la fila vencida. Al devolver un préstamo, deja de formar parte del arreglo activo y del contador. No se almacena un contador duplicado en useState.</w:t>
      </w:r>
    </w:p>
    <w:p>
      <w:pPr>
        <w:pStyle w:val="Heading2"/>
      </w:pPr>
      <w:r>
        <w:t>¿Por qué no conviene usar el índice como key si la lista puede cambiar?</w:t>
      </w:r>
    </w:p>
    <w:p>
      <w:r>
        <w:t>Al insertar, eliminar o reordenar, el índice cambia de significado y React puede asociar el DOM o estado local a otro equipo. Una key estable como id permite reconciliar correctamente cada elemento.</w:t>
      </w:r>
    </w:p>
    <w:p>
      <w:pPr>
        <w:pStyle w:val="Heading2"/>
      </w:pPr>
      <w:r>
        <w:t>¿Qué problema aparece si se modifica directamente el arreglo del estado?</w:t>
      </w:r>
    </w:p>
    <w:p>
      <w:r>
        <w:t>La referencia no cambia y React puede no detectar que debe renderizar. La mutación también hace más difícil predecir el estado y rastrear errores; crear un arreglo nuevo con map, filter o spread evita esos problemas.</w:t>
      </w:r>
    </w:p>
    <w:p>
      <w:pPr>
        <w:pStyle w:val="Heading2"/>
      </w:pPr>
      <w:r>
        <w:t>¿Qué ocurre si se omite el arreglo de dependencias en un useEffect que hace fetch y actualiza estado?</w:t>
      </w:r>
    </w:p>
    <w:p>
      <w:r>
        <w:t>El efecto se ejecuta después de cada render. El fetch actualiza el estado, provoca otro render y puede iniciar peticiones repetidas o un ciclo continuo.</w:t>
      </w:r>
    </w:p>
    <w:p>
      <w:r>
        <w:br w:type="page"/>
      </w:r>
    </w:p>
    <w:p>
      <w:pPr>
        <w:pStyle w:val="Heading1"/>
      </w:pPr>
      <w:r>
        <w:t>6. Evidencia de la aplicación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717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vent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717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B83"/>
          <w:sz w:val="18"/>
        </w:rPr>
        <w:t>Figura 1. Inventario, filtros combinados, categorías y disponibilidad.</w:t>
      </w:r>
    </w:p>
    <w:p>
      <w:r>
        <w:br w:type="page"/>
      </w:r>
    </w:p>
    <w:p>
      <w:pPr>
        <w:pStyle w:val="Heading1"/>
      </w:pPr>
      <w:r>
        <w:t>6. Evidencia de la aplicación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7717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alidacion-formul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717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B83"/>
          <w:sz w:val="18"/>
        </w:rPr>
        <w:t>Figura 2. Errores de validación visibles para solicitante, carné y fecha.</w:t>
      </w:r>
    </w:p>
    <w:p>
      <w:r>
        <w:br w:type="page"/>
      </w:r>
    </w:p>
    <w:p>
      <w:pPr>
        <w:pStyle w:val="Heading1"/>
      </w:pPr>
      <w:r>
        <w:t>6. Evidencia de la aplicación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069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estamos-venci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06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B83"/>
          <w:sz w:val="18"/>
        </w:rPr>
        <w:t>Figura 3. Préstamos activos con fila vencida resaltada y contador.</w:t>
      </w:r>
    </w:p>
    <w:p>
      <w:r>
        <w:br w:type="page"/>
      </w:r>
    </w:p>
    <w:p>
      <w:pPr>
        <w:pStyle w:val="Heading1"/>
      </w:pPr>
      <w:r>
        <w:t>6. Evidencia de la aplicación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5306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rror-api-reintent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30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B83"/>
          <w:sz w:val="18"/>
        </w:rPr>
        <w:t>Figura 4. Error de conexión con API y botón Reintentar.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B83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87B83"/>
        <w:sz w:val="16"/>
      </w:rPr>
      <w:t>PRÉSTAMOS LAB   /  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733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34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C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3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34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ligorriaf-sketch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Préstamos Lab — 0902-22-7467</dc:title>
  <dc:subject>Entrega de React, TypeScript y API REST</dc:subject>
  <dc:creator>Carlos Fernando Ligorría Flores</dc:creator>
  <cp:keywords>React, TypeScript, Vite, préstamos, inventario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