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B74A3" w:rsidRDefault="000B74A3" w:rsidP="000B74A3">
      <w:pPr>
        <w:pStyle w:val="Heading1"/>
        <w:rPr>
          <w:lang w:val="en-US"/>
        </w:rPr>
      </w:pPr>
    </w:p>
    <w:p w:rsidR="00C746CB" w:rsidRPr="000B74A3" w:rsidRDefault="000B74A3" w:rsidP="000B74A3">
      <w:pPr>
        <w:pStyle w:val="Heading1"/>
        <w:rPr>
          <w:rFonts w:ascii="Arial" w:hAnsi="Arial" w:cs="Arial"/>
          <w:lang w:val="en-US"/>
        </w:rPr>
      </w:pPr>
      <w:r w:rsidRPr="000B74A3">
        <w:rPr>
          <w:rFonts w:ascii="Arial" w:hAnsi="Arial" w:cs="Arial"/>
          <w:lang w:val="en-US"/>
        </w:rPr>
        <w:t>Supplementary Information</w:t>
      </w:r>
    </w:p>
    <w:p w:rsidR="000B74A3" w:rsidRDefault="000B74A3" w:rsidP="000B74A3">
      <w:pPr>
        <w:rPr>
          <w:lang w:val="en-US"/>
        </w:rPr>
      </w:pPr>
    </w:p>
    <w:p w:rsidR="000B74A3" w:rsidRPr="000B74A3" w:rsidRDefault="000B74A3" w:rsidP="000B74A3">
      <w:pPr>
        <w:pStyle w:val="Heading1"/>
        <w:rPr>
          <w:rFonts w:ascii="Arial" w:hAnsi="Arial" w:cs="Arial"/>
          <w:lang w:val="en-US"/>
        </w:rPr>
      </w:pPr>
      <w:r w:rsidRPr="000B74A3">
        <w:rPr>
          <w:rFonts w:ascii="Arial" w:hAnsi="Arial" w:cs="Arial"/>
          <w:lang w:val="en-US"/>
        </w:rPr>
        <w:t>[title]</w:t>
      </w:r>
    </w:p>
    <w:p w:rsidR="000B74A3" w:rsidRDefault="000B74A3" w:rsidP="000B74A3">
      <w:pPr>
        <w:rPr>
          <w:lang w:val="en-US"/>
        </w:rPr>
      </w:pPr>
    </w:p>
    <w:p w:rsidR="000B74A3" w:rsidRPr="000B74A3" w:rsidRDefault="000B74A3" w:rsidP="000B74A3">
      <w:pPr>
        <w:rPr>
          <w:rFonts w:ascii="Times New Roman" w:eastAsia="Times New Roman" w:hAnsi="Times New Roman" w:cs="Times New Roman"/>
          <w:lang w:val="en-US" w:eastAsia="en-GB"/>
        </w:rPr>
      </w:pPr>
      <w:r w:rsidRPr="000B74A3">
        <w:rPr>
          <w:rFonts w:ascii="Arial" w:eastAsia="Times New Roman" w:hAnsi="Arial" w:cs="Arial"/>
          <w:color w:val="000000"/>
          <w:sz w:val="22"/>
          <w:szCs w:val="22"/>
          <w:lang w:eastAsia="en-GB"/>
        </w:rPr>
        <w:t>Marina Andrijevic, Carl-Friedrich Schleussner, Matthew Gidden, David L. McCollum, Joeri Rogel</w:t>
      </w:r>
      <w:r w:rsidR="006B6EC1">
        <w:rPr>
          <w:rFonts w:ascii="Arial" w:eastAsia="Times New Roman" w:hAnsi="Arial" w:cs="Arial"/>
          <w:color w:val="000000"/>
          <w:sz w:val="22"/>
          <w:szCs w:val="22"/>
          <w:lang w:val="en-US" w:eastAsia="en-GB"/>
        </w:rPr>
        <w:t>j</w:t>
      </w:r>
    </w:p>
    <w:p w:rsidR="000B74A3" w:rsidRPr="000B74A3" w:rsidRDefault="000B74A3" w:rsidP="000B74A3">
      <w:pPr>
        <w:rPr>
          <w:lang w:val="en-US"/>
        </w:rPr>
      </w:pPr>
    </w:p>
    <w:p w:rsidR="00AA545C" w:rsidRDefault="00AA545C">
      <w:pPr>
        <w:rPr>
          <w:lang w:val="en-US"/>
        </w:rPr>
      </w:pPr>
    </w:p>
    <w:p w:rsidR="00D15305" w:rsidRPr="000B74A3" w:rsidRDefault="00811FA3">
      <w:pPr>
        <w:rPr>
          <w:rFonts w:ascii="Arial" w:hAnsi="Arial" w:cs="Arial"/>
          <w:b/>
          <w:bCs/>
          <w:lang w:val="en-US"/>
        </w:rPr>
      </w:pPr>
      <w:r w:rsidRPr="000B74A3">
        <w:rPr>
          <w:rFonts w:ascii="Arial" w:hAnsi="Arial" w:cs="Arial"/>
          <w:b/>
          <w:bCs/>
          <w:lang w:val="en-US"/>
        </w:rPr>
        <w:t xml:space="preserve">Energy system investments: </w:t>
      </w:r>
    </w:p>
    <w:p w:rsidR="00811FA3" w:rsidRPr="000B74A3" w:rsidRDefault="00811FA3">
      <w:pPr>
        <w:rPr>
          <w:rFonts w:ascii="Arial" w:hAnsi="Arial" w:cs="Arial"/>
          <w:lang w:val="en-US"/>
        </w:rPr>
      </w:pPr>
    </w:p>
    <w:p w:rsidR="00274687" w:rsidRPr="000B74A3" w:rsidRDefault="00D15305">
      <w:pPr>
        <w:rPr>
          <w:rFonts w:ascii="Arial" w:hAnsi="Arial" w:cs="Arial"/>
          <w:lang w:val="en-US"/>
        </w:rPr>
      </w:pPr>
      <w:r w:rsidRPr="000B74A3">
        <w:rPr>
          <w:rFonts w:ascii="Arial" w:hAnsi="Arial" w:cs="Arial"/>
          <w:lang w:val="en-US"/>
        </w:rPr>
        <w:t>Energy system investment portfolios</w:t>
      </w:r>
      <w:r w:rsidR="00811FA3" w:rsidRPr="000B74A3">
        <w:rPr>
          <w:rFonts w:ascii="Arial" w:hAnsi="Arial" w:cs="Arial"/>
          <w:lang w:val="en-US"/>
        </w:rPr>
        <w:t xml:space="preserve"> [REF McCollum et al. 2018]</w:t>
      </w:r>
      <w:r w:rsidRPr="000B74A3">
        <w:rPr>
          <w:rFonts w:ascii="Arial" w:hAnsi="Arial" w:cs="Arial"/>
          <w:lang w:val="en-US"/>
        </w:rPr>
        <w:t xml:space="preserve"> were derived from six global energy-economy models (IAMs): AIM/CGE</w:t>
      </w:r>
      <w:r w:rsidR="00811FA3" w:rsidRPr="000B74A3">
        <w:rPr>
          <w:rFonts w:ascii="Arial" w:hAnsi="Arial" w:cs="Arial"/>
          <w:lang w:val="en-US"/>
        </w:rPr>
        <w:t xml:space="preserve"> [REF Fujimori et al. 2014, Fujimori et al. 2012]</w:t>
      </w:r>
      <w:r w:rsidRPr="000B74A3">
        <w:rPr>
          <w:rFonts w:ascii="Arial" w:hAnsi="Arial" w:cs="Arial"/>
          <w:lang w:val="en-US"/>
        </w:rPr>
        <w:t>, IMAGE</w:t>
      </w:r>
      <w:r w:rsidR="00811FA3" w:rsidRPr="000B74A3">
        <w:rPr>
          <w:rFonts w:ascii="Arial" w:hAnsi="Arial" w:cs="Arial"/>
          <w:lang w:val="en-US"/>
        </w:rPr>
        <w:t xml:space="preserve"> [REF </w:t>
      </w:r>
      <w:proofErr w:type="spellStart"/>
      <w:r w:rsidR="00811FA3" w:rsidRPr="000B74A3">
        <w:rPr>
          <w:rFonts w:ascii="Arial" w:hAnsi="Arial" w:cs="Arial"/>
          <w:lang w:val="en-US"/>
        </w:rPr>
        <w:t>Stehfest</w:t>
      </w:r>
      <w:proofErr w:type="spellEnd"/>
      <w:r w:rsidR="00811FA3" w:rsidRPr="000B74A3">
        <w:rPr>
          <w:rFonts w:ascii="Arial" w:hAnsi="Arial" w:cs="Arial"/>
          <w:lang w:val="en-US"/>
        </w:rPr>
        <w:t xml:space="preserve"> et al. 2014]</w:t>
      </w:r>
      <w:r w:rsidRPr="000B74A3">
        <w:rPr>
          <w:rFonts w:ascii="Arial" w:hAnsi="Arial" w:cs="Arial"/>
          <w:lang w:val="en-US"/>
        </w:rPr>
        <w:t xml:space="preserve">, </w:t>
      </w:r>
      <w:proofErr w:type="spellStart"/>
      <w:r w:rsidRPr="000B74A3">
        <w:rPr>
          <w:rFonts w:ascii="Arial" w:hAnsi="Arial" w:cs="Arial"/>
          <w:lang w:val="en-US"/>
        </w:rPr>
        <w:t>MESSAGEix</w:t>
      </w:r>
      <w:proofErr w:type="spellEnd"/>
      <w:r w:rsidRPr="000B74A3">
        <w:rPr>
          <w:rFonts w:ascii="Arial" w:hAnsi="Arial" w:cs="Arial"/>
          <w:lang w:val="en-US"/>
        </w:rPr>
        <w:t>-GLOBIOM</w:t>
      </w:r>
      <w:r w:rsidR="00811FA3" w:rsidRPr="000B74A3">
        <w:rPr>
          <w:rFonts w:ascii="Arial" w:hAnsi="Arial" w:cs="Arial"/>
          <w:lang w:val="en-US"/>
        </w:rPr>
        <w:t xml:space="preserve"> [REF </w:t>
      </w:r>
      <w:proofErr w:type="spellStart"/>
      <w:r w:rsidR="00811FA3" w:rsidRPr="000B74A3">
        <w:rPr>
          <w:rFonts w:ascii="Arial" w:hAnsi="Arial" w:cs="Arial"/>
          <w:lang w:val="en-US"/>
        </w:rPr>
        <w:t>Fricko</w:t>
      </w:r>
      <w:proofErr w:type="spellEnd"/>
      <w:r w:rsidR="00811FA3" w:rsidRPr="000B74A3">
        <w:rPr>
          <w:rFonts w:ascii="Arial" w:hAnsi="Arial" w:cs="Arial"/>
          <w:lang w:val="en-US"/>
        </w:rPr>
        <w:t xml:space="preserve"> et al. 2017, </w:t>
      </w:r>
      <w:proofErr w:type="spellStart"/>
      <w:r w:rsidR="00811FA3" w:rsidRPr="000B74A3">
        <w:rPr>
          <w:rFonts w:ascii="Arial" w:hAnsi="Arial" w:cs="Arial"/>
          <w:lang w:val="en-US"/>
        </w:rPr>
        <w:t>Krey</w:t>
      </w:r>
      <w:proofErr w:type="spellEnd"/>
      <w:r w:rsidR="00811FA3" w:rsidRPr="000B74A3">
        <w:rPr>
          <w:rFonts w:ascii="Arial" w:hAnsi="Arial" w:cs="Arial"/>
          <w:lang w:val="en-US"/>
        </w:rPr>
        <w:t xml:space="preserve"> et al. 2016]</w:t>
      </w:r>
      <w:r w:rsidRPr="000B74A3">
        <w:rPr>
          <w:rFonts w:ascii="Arial" w:hAnsi="Arial" w:cs="Arial"/>
          <w:lang w:val="en-US"/>
        </w:rPr>
        <w:t>, POLES</w:t>
      </w:r>
      <w:r w:rsidR="00811FA3" w:rsidRPr="000B74A3">
        <w:rPr>
          <w:rFonts w:ascii="Arial" w:hAnsi="Arial" w:cs="Arial"/>
          <w:lang w:val="en-US"/>
        </w:rPr>
        <w:t xml:space="preserve"> [REF </w:t>
      </w:r>
      <w:proofErr w:type="spellStart"/>
      <w:r w:rsidR="00811FA3" w:rsidRPr="000B74A3">
        <w:rPr>
          <w:rFonts w:ascii="Arial" w:hAnsi="Arial" w:cs="Arial"/>
          <w:lang w:val="en-US"/>
        </w:rPr>
        <w:t>Criqui</w:t>
      </w:r>
      <w:proofErr w:type="spellEnd"/>
      <w:r w:rsidR="00811FA3" w:rsidRPr="000B74A3">
        <w:rPr>
          <w:rFonts w:ascii="Arial" w:hAnsi="Arial" w:cs="Arial"/>
          <w:lang w:val="en-US"/>
        </w:rPr>
        <w:t xml:space="preserve"> et al. 2015]</w:t>
      </w:r>
      <w:r w:rsidRPr="000B74A3">
        <w:rPr>
          <w:rFonts w:ascii="Arial" w:hAnsi="Arial" w:cs="Arial"/>
          <w:lang w:val="en-US"/>
        </w:rPr>
        <w:t>, REMIND-</w:t>
      </w:r>
      <w:proofErr w:type="spellStart"/>
      <w:r w:rsidRPr="000B74A3">
        <w:rPr>
          <w:rFonts w:ascii="Arial" w:hAnsi="Arial" w:cs="Arial"/>
          <w:lang w:val="en-US"/>
        </w:rPr>
        <w:t>MAgPIE</w:t>
      </w:r>
      <w:proofErr w:type="spellEnd"/>
      <w:r w:rsidR="00811FA3" w:rsidRPr="000B74A3">
        <w:rPr>
          <w:rFonts w:ascii="Arial" w:hAnsi="Arial" w:cs="Arial"/>
          <w:lang w:val="en-US"/>
        </w:rPr>
        <w:t xml:space="preserve"> [REF </w:t>
      </w:r>
      <w:proofErr w:type="spellStart"/>
      <w:r w:rsidR="00811FA3" w:rsidRPr="000B74A3">
        <w:rPr>
          <w:rFonts w:ascii="Arial" w:hAnsi="Arial" w:cs="Arial"/>
          <w:lang w:val="en-US"/>
        </w:rPr>
        <w:t>Kriegler</w:t>
      </w:r>
      <w:proofErr w:type="spellEnd"/>
      <w:r w:rsidR="00811FA3" w:rsidRPr="000B74A3">
        <w:rPr>
          <w:rFonts w:ascii="Arial" w:hAnsi="Arial" w:cs="Arial"/>
          <w:lang w:val="en-US"/>
        </w:rPr>
        <w:t xml:space="preserve"> et al. 2017, </w:t>
      </w:r>
      <w:proofErr w:type="spellStart"/>
      <w:r w:rsidR="00811FA3" w:rsidRPr="000B74A3">
        <w:rPr>
          <w:rFonts w:ascii="Arial" w:hAnsi="Arial" w:cs="Arial"/>
          <w:lang w:val="en-US"/>
        </w:rPr>
        <w:t>Luderer</w:t>
      </w:r>
      <w:proofErr w:type="spellEnd"/>
      <w:r w:rsidR="00811FA3" w:rsidRPr="000B74A3">
        <w:rPr>
          <w:rFonts w:ascii="Arial" w:hAnsi="Arial" w:cs="Arial"/>
          <w:lang w:val="en-US"/>
        </w:rPr>
        <w:t xml:space="preserve"> et al. 2013]</w:t>
      </w:r>
      <w:r w:rsidRPr="000B74A3">
        <w:rPr>
          <w:rFonts w:ascii="Arial" w:hAnsi="Arial" w:cs="Arial"/>
          <w:lang w:val="en-US"/>
        </w:rPr>
        <w:t xml:space="preserve"> and WITCH-GLOBIOM</w:t>
      </w:r>
      <w:r w:rsidR="00811FA3" w:rsidRPr="000B74A3">
        <w:rPr>
          <w:rFonts w:ascii="Arial" w:hAnsi="Arial" w:cs="Arial"/>
          <w:lang w:val="en-US"/>
        </w:rPr>
        <w:t xml:space="preserve"> [REF </w:t>
      </w:r>
      <w:proofErr w:type="spellStart"/>
      <w:r w:rsidR="00811FA3" w:rsidRPr="000B74A3">
        <w:rPr>
          <w:rFonts w:ascii="Arial" w:hAnsi="Arial" w:cs="Arial"/>
          <w:lang w:val="en-US"/>
        </w:rPr>
        <w:t>Bosetti</w:t>
      </w:r>
      <w:proofErr w:type="spellEnd"/>
      <w:r w:rsidR="00811FA3" w:rsidRPr="000B74A3">
        <w:rPr>
          <w:rFonts w:ascii="Arial" w:hAnsi="Arial" w:cs="Arial"/>
          <w:lang w:val="en-US"/>
        </w:rPr>
        <w:t xml:space="preserve"> et al. 2006, </w:t>
      </w:r>
      <w:proofErr w:type="spellStart"/>
      <w:r w:rsidR="00811FA3" w:rsidRPr="000B74A3">
        <w:rPr>
          <w:rFonts w:ascii="Arial" w:hAnsi="Arial" w:cs="Arial"/>
          <w:lang w:val="en-US"/>
        </w:rPr>
        <w:t>Emmerling</w:t>
      </w:r>
      <w:proofErr w:type="spellEnd"/>
      <w:r w:rsidR="00811FA3" w:rsidRPr="000B74A3">
        <w:rPr>
          <w:rFonts w:ascii="Arial" w:hAnsi="Arial" w:cs="Arial"/>
          <w:lang w:val="en-US"/>
        </w:rPr>
        <w:t xml:space="preserve"> et al. 2016]</w:t>
      </w:r>
      <w:r w:rsidRPr="000B74A3">
        <w:rPr>
          <w:rFonts w:ascii="Arial" w:hAnsi="Arial" w:cs="Arial"/>
          <w:lang w:val="en-US"/>
        </w:rPr>
        <w:t>. We focus on investments under the current polic</w:t>
      </w:r>
      <w:r w:rsidR="00B24BB4" w:rsidRPr="000B74A3">
        <w:rPr>
          <w:rFonts w:ascii="Arial" w:hAnsi="Arial" w:cs="Arial"/>
          <w:lang w:val="en-US"/>
        </w:rPr>
        <w:t>ies (used as each model’s baseline)</w:t>
      </w:r>
      <w:r w:rsidRPr="000B74A3">
        <w:rPr>
          <w:rFonts w:ascii="Arial" w:hAnsi="Arial" w:cs="Arial"/>
          <w:lang w:val="en-US"/>
        </w:rPr>
        <w:t xml:space="preserve"> and on upscaling requirements necessary for the energy system compatible with the 1.5</w:t>
      </w:r>
      <w:r w:rsidRPr="000B74A3">
        <w:rPr>
          <w:rFonts w:ascii="Arial" w:hAnsi="Arial" w:cs="Arial"/>
          <w:lang w:val="en-US"/>
        </w:rPr>
        <w:sym w:font="Symbol" w:char="F0B0"/>
      </w:r>
      <w:r w:rsidRPr="000B74A3">
        <w:rPr>
          <w:rFonts w:ascii="Arial" w:hAnsi="Arial" w:cs="Arial"/>
          <w:lang w:val="en-US"/>
        </w:rPr>
        <w:t xml:space="preserve">C target of the Paris Agreement. The models cover different types of energy technologies, including resource extraction, power generation, fuel conversion, transmission, energy storage and end-use demand services. We group these technologies into two broad sectors: </w:t>
      </w:r>
      <w:r w:rsidRPr="000B74A3">
        <w:rPr>
          <w:rFonts w:ascii="Arial" w:hAnsi="Arial" w:cs="Arial"/>
          <w:b/>
          <w:bCs/>
          <w:lang w:val="en-US"/>
        </w:rPr>
        <w:t xml:space="preserve">fossil fuels </w:t>
      </w:r>
      <w:r w:rsidRPr="000B74A3">
        <w:rPr>
          <w:rFonts w:ascii="Arial" w:hAnsi="Arial" w:cs="Arial"/>
          <w:lang w:val="en-US"/>
        </w:rPr>
        <w:t>(</w:t>
      </w:r>
      <w:r w:rsidR="00B24BB4" w:rsidRPr="000B74A3">
        <w:rPr>
          <w:rFonts w:ascii="Arial" w:hAnsi="Arial" w:cs="Arial"/>
          <w:lang w:val="en-US"/>
        </w:rPr>
        <w:t xml:space="preserve">extraction and conversion of fossil fuels, electricity from fossil fuels without Carbon Capture and Storage (CCS) technologies and hydrogen from fossil fuels) and </w:t>
      </w:r>
      <w:r w:rsidR="00B24BB4" w:rsidRPr="000B74A3">
        <w:rPr>
          <w:rFonts w:ascii="Arial" w:hAnsi="Arial" w:cs="Arial"/>
          <w:b/>
          <w:bCs/>
          <w:lang w:val="en-US"/>
        </w:rPr>
        <w:t xml:space="preserve">low carbon sources </w:t>
      </w:r>
      <w:r w:rsidR="00B24BB4" w:rsidRPr="000B74A3">
        <w:rPr>
          <w:rFonts w:ascii="Arial" w:hAnsi="Arial" w:cs="Arial"/>
          <w:lang w:val="en-US"/>
        </w:rPr>
        <w:t>(extraction and conversion of nuclear energy, CCS, electricity from non-bio renewables, hydrogen from non-fossil fuels, extraction and conversion of bioenergy, electricity transmission and distribution and storage, and energy efficiency).</w:t>
      </w:r>
      <w:r w:rsidRPr="000B74A3">
        <w:rPr>
          <w:rFonts w:ascii="Arial" w:hAnsi="Arial" w:cs="Arial"/>
          <w:lang w:val="en-US"/>
        </w:rPr>
        <w:t xml:space="preserve"> The </w:t>
      </w:r>
      <w:r w:rsidR="00B24BB4" w:rsidRPr="000B74A3">
        <w:rPr>
          <w:rFonts w:ascii="Arial" w:hAnsi="Arial" w:cs="Arial"/>
          <w:lang w:val="en-US"/>
        </w:rPr>
        <w:t>investment figures were corrected for inflation (from USD 2015 to current USD)</w:t>
      </w:r>
      <w:r w:rsidR="00811FA3" w:rsidRPr="000B74A3">
        <w:rPr>
          <w:rFonts w:ascii="Arial" w:hAnsi="Arial" w:cs="Arial"/>
          <w:lang w:val="en-US"/>
        </w:rPr>
        <w:t xml:space="preserve"> [REF World Bank]</w:t>
      </w:r>
      <w:r w:rsidR="00B24BB4" w:rsidRPr="000B74A3">
        <w:rPr>
          <w:rFonts w:ascii="Arial" w:hAnsi="Arial" w:cs="Arial"/>
          <w:lang w:val="en-US"/>
        </w:rPr>
        <w:t>.</w:t>
      </w:r>
    </w:p>
    <w:p w:rsidR="00B24BB4" w:rsidRPr="000B74A3" w:rsidRDefault="00B24BB4">
      <w:pPr>
        <w:rPr>
          <w:rFonts w:ascii="Arial" w:hAnsi="Arial" w:cs="Arial"/>
          <w:lang w:val="en-US"/>
        </w:rPr>
      </w:pPr>
    </w:p>
    <w:p w:rsidR="00AA545C" w:rsidRPr="000B74A3" w:rsidRDefault="00B24BB4">
      <w:pPr>
        <w:rPr>
          <w:rFonts w:ascii="Arial" w:hAnsi="Arial" w:cs="Arial"/>
          <w:lang w:val="en-US"/>
        </w:rPr>
      </w:pPr>
      <w:r w:rsidRPr="000B74A3">
        <w:rPr>
          <w:rFonts w:ascii="Arial" w:hAnsi="Arial" w:cs="Arial"/>
          <w:lang w:val="en-US"/>
        </w:rPr>
        <w:t>Our analysis focuses on the near term investment needs</w:t>
      </w:r>
      <w:r w:rsidR="00811FA3" w:rsidRPr="000B74A3">
        <w:rPr>
          <w:rFonts w:ascii="Arial" w:hAnsi="Arial" w:cs="Arial"/>
          <w:lang w:val="en-US"/>
        </w:rPr>
        <w:t xml:space="preserve"> from 2020 to 2024, with the taking the model average for the underlying yearly data.</w:t>
      </w:r>
    </w:p>
    <w:p w:rsidR="00811FA3" w:rsidRPr="000B74A3" w:rsidRDefault="00811FA3">
      <w:pPr>
        <w:rPr>
          <w:rFonts w:ascii="Arial" w:hAnsi="Arial" w:cs="Arial"/>
          <w:lang w:val="en-US"/>
        </w:rPr>
      </w:pPr>
      <w:r w:rsidRPr="000B74A3">
        <w:rPr>
          <w:rFonts w:ascii="Arial" w:hAnsi="Arial" w:cs="Arial"/>
          <w:lang w:val="en-US"/>
        </w:rPr>
        <w:br/>
        <w:t>Figures xxx show the total investment needs over the 5-year time period.</w:t>
      </w:r>
    </w:p>
    <w:p w:rsidR="00811FA3" w:rsidRPr="000B74A3" w:rsidRDefault="00811FA3">
      <w:pPr>
        <w:rPr>
          <w:rFonts w:ascii="Arial" w:hAnsi="Arial" w:cs="Arial"/>
          <w:lang w:val="en-US"/>
        </w:rPr>
      </w:pPr>
    </w:p>
    <w:p w:rsidR="00811FA3" w:rsidRPr="000B74A3" w:rsidRDefault="00811FA3">
      <w:pPr>
        <w:rPr>
          <w:rFonts w:ascii="Arial" w:hAnsi="Arial" w:cs="Arial"/>
          <w:lang w:val="en-US"/>
        </w:rPr>
      </w:pPr>
      <w:r w:rsidRPr="000B74A3">
        <w:rPr>
          <w:rFonts w:ascii="Arial" w:hAnsi="Arial" w:cs="Arial"/>
          <w:lang w:val="en-US"/>
        </w:rPr>
        <w:t>Figures xxx show the change in the investment needs over the 5-year time period, from the current policy baseline to the 1.5</w:t>
      </w:r>
      <w:r w:rsidRPr="000B74A3">
        <w:rPr>
          <w:rFonts w:ascii="Arial" w:hAnsi="Arial" w:cs="Arial"/>
          <w:lang w:val="en-US"/>
        </w:rPr>
        <w:sym w:font="Symbol" w:char="F0B0"/>
      </w:r>
      <w:r w:rsidRPr="000B74A3">
        <w:rPr>
          <w:rFonts w:ascii="Arial" w:hAnsi="Arial" w:cs="Arial"/>
          <w:lang w:val="en-US"/>
        </w:rPr>
        <w:t>C-compatible pathway.</w:t>
      </w:r>
    </w:p>
    <w:p w:rsidR="00811FA3" w:rsidRPr="000B74A3" w:rsidRDefault="00811FA3">
      <w:pPr>
        <w:rPr>
          <w:rFonts w:ascii="Arial" w:hAnsi="Arial" w:cs="Arial"/>
          <w:lang w:val="en-US"/>
        </w:rPr>
      </w:pPr>
    </w:p>
    <w:p w:rsidR="00811FA3" w:rsidRPr="000B74A3" w:rsidRDefault="00811FA3">
      <w:pPr>
        <w:rPr>
          <w:rFonts w:ascii="Arial" w:hAnsi="Arial" w:cs="Arial"/>
          <w:lang w:val="en-US"/>
        </w:rPr>
      </w:pPr>
      <w:r w:rsidRPr="000B74A3">
        <w:rPr>
          <w:rFonts w:ascii="Arial" w:hAnsi="Arial" w:cs="Arial"/>
          <w:lang w:val="en-US"/>
        </w:rPr>
        <w:t xml:space="preserve">Figures xxx show the average yearly investment relative to the 2018 Gross Domestic Product (GDP) [REF World Bank]. </w:t>
      </w:r>
    </w:p>
    <w:p w:rsidR="00AD3C91" w:rsidRDefault="00AD3C91">
      <w:pPr>
        <w:rPr>
          <w:rFonts w:ascii="Arial" w:hAnsi="Arial" w:cs="Arial"/>
          <w:lang w:val="en-US"/>
        </w:rPr>
      </w:pPr>
    </w:p>
    <w:p w:rsidR="008326BC" w:rsidRDefault="008326BC">
      <w:pPr>
        <w:rPr>
          <w:rFonts w:ascii="Arial" w:hAnsi="Arial" w:cs="Arial"/>
          <w:lang w:val="en-US"/>
        </w:rPr>
      </w:pPr>
    </w:p>
    <w:p w:rsidR="008326BC" w:rsidRDefault="008326BC">
      <w:pPr>
        <w:rPr>
          <w:rFonts w:ascii="Arial" w:hAnsi="Arial" w:cs="Arial"/>
          <w:lang w:val="en-US"/>
        </w:rPr>
      </w:pPr>
    </w:p>
    <w:p w:rsidR="008326BC" w:rsidRDefault="008326BC">
      <w:pPr>
        <w:rPr>
          <w:rFonts w:ascii="Arial" w:hAnsi="Arial" w:cs="Arial"/>
          <w:lang w:val="en-US"/>
        </w:rPr>
      </w:pPr>
    </w:p>
    <w:p w:rsidR="008326BC" w:rsidRDefault="008326BC">
      <w:pPr>
        <w:rPr>
          <w:rFonts w:ascii="Arial" w:hAnsi="Arial" w:cs="Arial"/>
          <w:lang w:val="en-US"/>
        </w:rPr>
      </w:pPr>
    </w:p>
    <w:p w:rsidR="008326BC" w:rsidRPr="000B74A3" w:rsidRDefault="008326BC">
      <w:pPr>
        <w:rPr>
          <w:rFonts w:ascii="Arial" w:hAnsi="Arial" w:cs="Arial"/>
          <w:lang w:val="en-US"/>
        </w:rPr>
      </w:pPr>
    </w:p>
    <w:p w:rsidR="00811FA3" w:rsidRPr="000B74A3" w:rsidRDefault="00811FA3">
      <w:pPr>
        <w:rPr>
          <w:rFonts w:ascii="Arial" w:hAnsi="Arial" w:cs="Arial"/>
          <w:b/>
          <w:bCs/>
          <w:lang w:val="en-US"/>
        </w:rPr>
      </w:pPr>
      <w:r w:rsidRPr="000B74A3">
        <w:rPr>
          <w:rFonts w:ascii="Arial" w:hAnsi="Arial" w:cs="Arial"/>
          <w:b/>
          <w:bCs/>
          <w:lang w:val="en-US"/>
        </w:rPr>
        <w:lastRenderedPageBreak/>
        <w:t xml:space="preserve">Stimulus packages: </w:t>
      </w:r>
    </w:p>
    <w:p w:rsidR="00AD3C91" w:rsidRPr="000B74A3" w:rsidRDefault="00AD3C91">
      <w:pPr>
        <w:rPr>
          <w:rFonts w:ascii="Arial" w:hAnsi="Arial" w:cs="Arial"/>
          <w:b/>
          <w:bCs/>
          <w:lang w:val="en-US"/>
        </w:rPr>
      </w:pPr>
    </w:p>
    <w:p w:rsidR="00333DBE" w:rsidRPr="000B74A3" w:rsidRDefault="00AD3C91">
      <w:pPr>
        <w:rPr>
          <w:rFonts w:ascii="Arial" w:hAnsi="Arial" w:cs="Arial"/>
          <w:lang w:val="en-US"/>
        </w:rPr>
      </w:pPr>
      <w:r w:rsidRPr="000B74A3">
        <w:rPr>
          <w:rFonts w:ascii="Arial" w:hAnsi="Arial" w:cs="Arial"/>
          <w:lang w:val="en-US"/>
        </w:rPr>
        <w:t xml:space="preserve">International Monetary Fund (IMF) has been tracking </w:t>
      </w:r>
      <w:r w:rsidR="00333DBE" w:rsidRPr="000B74A3">
        <w:rPr>
          <w:rFonts w:ascii="Arial" w:hAnsi="Arial" w:cs="Arial"/>
          <w:lang w:val="en-US"/>
        </w:rPr>
        <w:t>the policy measures announced by governments in response to the COVID-19 pandemic [REF]. For this analysis, we focus on the fiscal policy responses, which span a wide range of instruments such as spending and revenue measures (primarily in the health sector, and different types of liquidity support for affected businesses and workers), equity injections, asset purchases, extra-budgetary funds, guarantees on loans, etc.</w:t>
      </w:r>
      <w:r w:rsidR="000B74A3" w:rsidRPr="000B74A3">
        <w:rPr>
          <w:rFonts w:ascii="Arial" w:hAnsi="Arial" w:cs="Arial"/>
          <w:lang w:val="en-US"/>
        </w:rPr>
        <w:t xml:space="preserve"> We extracted data for 175 countries and the European Union, announced up to May 1</w:t>
      </w:r>
      <w:r w:rsidR="000B74A3">
        <w:rPr>
          <w:rFonts w:ascii="Arial" w:hAnsi="Arial" w:cs="Arial"/>
          <w:lang w:val="en-US"/>
        </w:rPr>
        <w:t>5</w:t>
      </w:r>
      <w:r w:rsidR="000B74A3" w:rsidRPr="000B74A3">
        <w:rPr>
          <w:rFonts w:ascii="Arial" w:hAnsi="Arial" w:cs="Arial"/>
          <w:lang w:val="en-US"/>
        </w:rPr>
        <w:t xml:space="preserve">, 2020. </w:t>
      </w:r>
    </w:p>
    <w:p w:rsidR="00333DBE" w:rsidRPr="000B74A3" w:rsidRDefault="00333DBE">
      <w:pPr>
        <w:rPr>
          <w:rFonts w:ascii="Arial" w:hAnsi="Arial" w:cs="Arial"/>
          <w:lang w:val="en-US"/>
        </w:rPr>
      </w:pPr>
    </w:p>
    <w:p w:rsidR="00333DBE" w:rsidRPr="000B74A3" w:rsidRDefault="00333DBE">
      <w:pPr>
        <w:rPr>
          <w:rFonts w:ascii="Arial" w:hAnsi="Arial" w:cs="Arial"/>
          <w:lang w:val="en-US"/>
        </w:rPr>
      </w:pPr>
      <w:r w:rsidRPr="000B74A3">
        <w:rPr>
          <w:rFonts w:ascii="Arial" w:hAnsi="Arial" w:cs="Arial"/>
          <w:lang w:val="en-US"/>
        </w:rPr>
        <w:t xml:space="preserve">Countries announced their stabilization packages in different levels of detail and scope. Here we group the fiscal measures broadly into those targeted at the health sector, those aimed at supporting individuals and households, those that refer to loans and guarantees, and pool the rest into a category of general measures. Portions of fiscal measures allocated to the </w:t>
      </w:r>
      <w:r w:rsidRPr="000B74A3">
        <w:rPr>
          <w:rFonts w:ascii="Arial" w:hAnsi="Arial" w:cs="Arial"/>
          <w:i/>
          <w:iCs/>
          <w:lang w:val="en-US"/>
        </w:rPr>
        <w:t xml:space="preserve">general </w:t>
      </w:r>
      <w:r w:rsidRPr="000B74A3">
        <w:rPr>
          <w:rFonts w:ascii="Arial" w:hAnsi="Arial" w:cs="Arial"/>
          <w:lang w:val="en-US"/>
        </w:rPr>
        <w:t xml:space="preserve">category are </w:t>
      </w:r>
      <w:r w:rsidR="000B74A3" w:rsidRPr="000B74A3">
        <w:rPr>
          <w:rFonts w:ascii="Arial" w:hAnsi="Arial" w:cs="Arial"/>
          <w:lang w:val="en-US"/>
        </w:rPr>
        <w:t>either unspecified or do not belong to one of the categories above.</w:t>
      </w:r>
    </w:p>
    <w:p w:rsidR="00AD3C91" w:rsidRPr="000B74A3" w:rsidRDefault="00AD3C91">
      <w:pPr>
        <w:rPr>
          <w:rFonts w:ascii="Arial" w:hAnsi="Arial" w:cs="Arial"/>
          <w:b/>
          <w:bCs/>
          <w:lang w:val="en-US"/>
        </w:rPr>
      </w:pPr>
      <w:r w:rsidRPr="000B74A3">
        <w:rPr>
          <w:rFonts w:ascii="Arial" w:hAnsi="Arial" w:cs="Arial"/>
          <w:b/>
          <w:bCs/>
          <w:lang w:val="en-US"/>
        </w:rPr>
        <w:br w:type="page"/>
      </w:r>
    </w:p>
    <w:p w:rsidR="00811FA3" w:rsidRPr="000B74A3" w:rsidRDefault="00811FA3">
      <w:pPr>
        <w:rPr>
          <w:rFonts w:ascii="Arial" w:hAnsi="Arial" w:cs="Arial"/>
          <w:b/>
          <w:bCs/>
          <w:lang w:val="en-US"/>
        </w:rPr>
      </w:pPr>
    </w:p>
    <w:p w:rsidR="00AD3C91" w:rsidRPr="000B74A3" w:rsidRDefault="00AD3C91">
      <w:pPr>
        <w:rPr>
          <w:rFonts w:ascii="Arial" w:hAnsi="Arial" w:cs="Arial"/>
          <w:b/>
          <w:bCs/>
          <w:lang w:val="en-US"/>
        </w:rPr>
      </w:pPr>
      <w:r w:rsidRPr="000B74A3">
        <w:rPr>
          <w:rFonts w:ascii="Arial" w:hAnsi="Arial" w:cs="Arial"/>
          <w:b/>
          <w:bCs/>
          <w:lang w:val="en-US"/>
        </w:rPr>
        <w:t>Regional definitions:</w:t>
      </w:r>
    </w:p>
    <w:p w:rsidR="00AD3C91" w:rsidRPr="000B74A3" w:rsidRDefault="00AD3C91">
      <w:pPr>
        <w:rPr>
          <w:rFonts w:ascii="Arial" w:hAnsi="Arial" w:cs="Arial"/>
          <w:b/>
          <w:bCs/>
          <w:lang w:val="en-US"/>
        </w:rPr>
      </w:pPr>
      <w:r w:rsidRPr="000B74A3">
        <w:rPr>
          <w:rFonts w:ascii="Arial" w:hAnsi="Arial" w:cs="Arial"/>
          <w:b/>
          <w:bCs/>
          <w:lang w:val="en-US"/>
        </w:rPr>
        <w:t xml:space="preserve"> </w:t>
      </w:r>
    </w:p>
    <w:p w:rsidR="00AD3C91" w:rsidRPr="000B74A3" w:rsidRDefault="00AD3C91" w:rsidP="00AD3C91">
      <w:pPr>
        <w:rPr>
          <w:rFonts w:ascii="Arial" w:hAnsi="Arial" w:cs="Arial"/>
          <w:lang w:val="en-US"/>
        </w:rPr>
      </w:pPr>
      <w:r w:rsidRPr="000B74A3">
        <w:rPr>
          <w:rFonts w:ascii="Arial" w:hAnsi="Arial" w:cs="Arial"/>
          <w:b/>
          <w:bCs/>
          <w:lang w:val="en-US"/>
        </w:rPr>
        <w:t>OECD</w:t>
      </w:r>
      <w:r w:rsidRPr="000B74A3">
        <w:rPr>
          <w:rFonts w:ascii="Arial" w:hAnsi="Arial" w:cs="Arial"/>
          <w:lang w:val="en-US"/>
        </w:rPr>
        <w:t>+: Includes the OECD 1990 countries as well as EU members and candidates</w:t>
      </w:r>
    </w:p>
    <w:p w:rsidR="00AD3C91" w:rsidRPr="000B74A3" w:rsidRDefault="00AD3C91" w:rsidP="00AD3C91">
      <w:pPr>
        <w:rPr>
          <w:rFonts w:ascii="Arial" w:hAnsi="Arial" w:cs="Arial"/>
          <w:lang w:val="en-US"/>
        </w:rPr>
      </w:pPr>
      <w:r w:rsidRPr="000B74A3">
        <w:rPr>
          <w:rFonts w:ascii="Arial" w:hAnsi="Arial" w:cs="Arial"/>
          <w:lang w:val="en-US"/>
        </w:rPr>
        <w:t>Albania, Australia, Austria, Belgium, Bosnia and Herzegovina, Bulgaria, Canada, Croatia, Cyprus, Czech Republic, Denmark, Estonia, Fiji, Finland, France, French Polynesia,</w:t>
      </w:r>
    </w:p>
    <w:p w:rsidR="00AD3C91" w:rsidRPr="000B74A3" w:rsidRDefault="00AD3C91" w:rsidP="00AD3C91">
      <w:pPr>
        <w:rPr>
          <w:rFonts w:ascii="Arial" w:hAnsi="Arial" w:cs="Arial"/>
          <w:lang w:val="en-US"/>
        </w:rPr>
      </w:pPr>
      <w:r w:rsidRPr="000B74A3">
        <w:rPr>
          <w:rFonts w:ascii="Arial" w:hAnsi="Arial" w:cs="Arial"/>
          <w:lang w:val="en-US"/>
        </w:rPr>
        <w:t>Germany, Greece, Guam, Hungary, Iceland, Ireland, Italy, Japan, Latvia, Lithuania,</w:t>
      </w:r>
    </w:p>
    <w:p w:rsidR="00AD3C91" w:rsidRPr="000B74A3" w:rsidRDefault="00AD3C91" w:rsidP="00AD3C91">
      <w:pPr>
        <w:rPr>
          <w:rFonts w:ascii="Arial" w:hAnsi="Arial" w:cs="Arial"/>
          <w:lang w:val="en-US"/>
        </w:rPr>
      </w:pPr>
      <w:r w:rsidRPr="000B74A3">
        <w:rPr>
          <w:rFonts w:ascii="Arial" w:hAnsi="Arial" w:cs="Arial"/>
          <w:lang w:val="en-US"/>
        </w:rPr>
        <w:t>Luxembourg, Malta, Macedonia, Montenegro, Netherlands, New Caledonia, New Zealand,</w:t>
      </w:r>
    </w:p>
    <w:p w:rsidR="00AD3C91" w:rsidRPr="000B74A3" w:rsidRDefault="00AD3C91" w:rsidP="00AD3C91">
      <w:pPr>
        <w:rPr>
          <w:rFonts w:ascii="Arial" w:hAnsi="Arial" w:cs="Arial"/>
          <w:lang w:val="en-US"/>
        </w:rPr>
      </w:pPr>
      <w:r w:rsidRPr="000B74A3">
        <w:rPr>
          <w:rFonts w:ascii="Arial" w:hAnsi="Arial" w:cs="Arial"/>
          <w:lang w:val="en-US"/>
        </w:rPr>
        <w:t>Norway, Poland, Portugal, Romania, Samoa, Serbia, Slovakia, Slovenia, Solomon Islands,</w:t>
      </w:r>
    </w:p>
    <w:p w:rsidR="00AD3C91" w:rsidRPr="000B74A3" w:rsidRDefault="00AD3C91" w:rsidP="00AD3C91">
      <w:pPr>
        <w:rPr>
          <w:rFonts w:ascii="Arial" w:hAnsi="Arial" w:cs="Arial"/>
          <w:lang w:val="en-US"/>
        </w:rPr>
      </w:pPr>
      <w:r w:rsidRPr="000B74A3">
        <w:rPr>
          <w:rFonts w:ascii="Arial" w:hAnsi="Arial" w:cs="Arial"/>
          <w:lang w:val="en-US"/>
        </w:rPr>
        <w:t>Spain, Sweden, Switzerland, Turkey, United Kingdom, United States of America, Vanuatu</w:t>
      </w:r>
    </w:p>
    <w:p w:rsidR="00AD3C91" w:rsidRPr="000B74A3" w:rsidRDefault="00AD3C91" w:rsidP="00AD3C91">
      <w:pPr>
        <w:rPr>
          <w:rFonts w:ascii="Arial" w:hAnsi="Arial" w:cs="Arial"/>
          <w:lang w:val="en-US"/>
        </w:rPr>
      </w:pPr>
    </w:p>
    <w:p w:rsidR="00AD3C91" w:rsidRPr="000B74A3" w:rsidRDefault="00AD3C91" w:rsidP="00AD3C91">
      <w:pPr>
        <w:rPr>
          <w:rFonts w:ascii="Arial" w:hAnsi="Arial" w:cs="Arial"/>
          <w:lang w:val="en-US"/>
        </w:rPr>
      </w:pPr>
      <w:r w:rsidRPr="000B74A3">
        <w:rPr>
          <w:rFonts w:ascii="Arial" w:hAnsi="Arial" w:cs="Arial"/>
          <w:b/>
          <w:bCs/>
          <w:lang w:val="en-US"/>
        </w:rPr>
        <w:t>REF:</w:t>
      </w:r>
      <w:r w:rsidRPr="000B74A3">
        <w:rPr>
          <w:rFonts w:ascii="Arial" w:hAnsi="Arial" w:cs="Arial"/>
          <w:lang w:val="en-US"/>
        </w:rPr>
        <w:t xml:space="preserve"> Countries from the Reforming Eco</w:t>
      </w:r>
      <w:r w:rsidR="006B6EC1">
        <w:rPr>
          <w:rFonts w:ascii="Arial" w:hAnsi="Arial" w:cs="Arial"/>
          <w:lang w:val="en-US"/>
        </w:rPr>
        <w:t>no</w:t>
      </w:r>
      <w:r w:rsidRPr="000B74A3">
        <w:rPr>
          <w:rFonts w:ascii="Arial" w:hAnsi="Arial" w:cs="Arial"/>
          <w:lang w:val="en-US"/>
        </w:rPr>
        <w:t>mies of the Former Soviet Union.</w:t>
      </w:r>
    </w:p>
    <w:p w:rsidR="00AD3C91" w:rsidRPr="000B74A3" w:rsidRDefault="00AD3C91" w:rsidP="00AD3C91">
      <w:pPr>
        <w:rPr>
          <w:rFonts w:ascii="Arial" w:hAnsi="Arial" w:cs="Arial"/>
          <w:lang w:val="en-US"/>
        </w:rPr>
      </w:pPr>
      <w:r w:rsidRPr="000B74A3">
        <w:rPr>
          <w:rFonts w:ascii="Arial" w:hAnsi="Arial" w:cs="Arial"/>
          <w:lang w:val="en-US"/>
        </w:rPr>
        <w:t>Armenia, Azerbaijan, Belarus, Georgia, Kazakhstan, Kyrgyzstan, Republic of Moldova,</w:t>
      </w:r>
    </w:p>
    <w:p w:rsidR="00AD3C91" w:rsidRPr="000B74A3" w:rsidRDefault="00AD3C91" w:rsidP="00AD3C91">
      <w:pPr>
        <w:rPr>
          <w:rFonts w:ascii="Arial" w:hAnsi="Arial" w:cs="Arial"/>
          <w:lang w:val="en-US"/>
        </w:rPr>
      </w:pPr>
      <w:r w:rsidRPr="000B74A3">
        <w:rPr>
          <w:rFonts w:ascii="Arial" w:hAnsi="Arial" w:cs="Arial"/>
          <w:lang w:val="en-US"/>
        </w:rPr>
        <w:t>Russian Federation, Tajikistan, Turkmenistan, Ukraine, Uzbekistan</w:t>
      </w:r>
    </w:p>
    <w:p w:rsidR="00AD3C91" w:rsidRPr="000B74A3" w:rsidRDefault="00AD3C91" w:rsidP="00AD3C91">
      <w:pPr>
        <w:rPr>
          <w:rFonts w:ascii="Arial" w:hAnsi="Arial" w:cs="Arial"/>
          <w:lang w:val="en-US"/>
        </w:rPr>
      </w:pPr>
    </w:p>
    <w:p w:rsidR="00AD3C91" w:rsidRPr="000B74A3" w:rsidRDefault="00AD3C91" w:rsidP="00AD3C91">
      <w:pPr>
        <w:rPr>
          <w:rFonts w:ascii="Arial" w:hAnsi="Arial" w:cs="Arial"/>
          <w:lang w:val="en-US"/>
        </w:rPr>
      </w:pPr>
      <w:r w:rsidRPr="000B74A3">
        <w:rPr>
          <w:rFonts w:ascii="Arial" w:hAnsi="Arial" w:cs="Arial"/>
          <w:b/>
          <w:bCs/>
          <w:lang w:val="en-US"/>
        </w:rPr>
        <w:t>ASIA:</w:t>
      </w:r>
      <w:r w:rsidRPr="000B74A3">
        <w:rPr>
          <w:rFonts w:ascii="Arial" w:hAnsi="Arial" w:cs="Arial"/>
          <w:lang w:val="en-US"/>
        </w:rPr>
        <w:t xml:space="preserve"> The region includes most Asian countries with the exception of the Middle East,</w:t>
      </w:r>
    </w:p>
    <w:p w:rsidR="00AD3C91" w:rsidRPr="000B74A3" w:rsidRDefault="00AD3C91" w:rsidP="00AD3C91">
      <w:pPr>
        <w:rPr>
          <w:rFonts w:ascii="Arial" w:hAnsi="Arial" w:cs="Arial"/>
          <w:lang w:val="en-US"/>
        </w:rPr>
      </w:pPr>
      <w:r w:rsidRPr="000B74A3">
        <w:rPr>
          <w:rFonts w:ascii="Arial" w:hAnsi="Arial" w:cs="Arial"/>
          <w:lang w:val="en-US"/>
        </w:rPr>
        <w:t>Japan and Former Soviet Union states.</w:t>
      </w:r>
    </w:p>
    <w:p w:rsidR="00AD3C91" w:rsidRPr="000B74A3" w:rsidRDefault="00AD3C91" w:rsidP="00AD3C91">
      <w:pPr>
        <w:rPr>
          <w:rFonts w:ascii="Arial" w:hAnsi="Arial" w:cs="Arial"/>
          <w:lang w:val="en-US"/>
        </w:rPr>
      </w:pPr>
      <w:r w:rsidRPr="000B74A3">
        <w:rPr>
          <w:rFonts w:ascii="Arial" w:hAnsi="Arial" w:cs="Arial"/>
          <w:lang w:val="en-US"/>
        </w:rPr>
        <w:t>Afghanistan, Bangladesh, Bhutan, Brunei Darussalam, Cambodia, China, China Hong Kong</w:t>
      </w:r>
    </w:p>
    <w:p w:rsidR="00AD3C91" w:rsidRPr="000B74A3" w:rsidRDefault="00AD3C91" w:rsidP="00AD3C91">
      <w:pPr>
        <w:rPr>
          <w:rFonts w:ascii="Arial" w:hAnsi="Arial" w:cs="Arial"/>
          <w:lang w:val="en-US"/>
        </w:rPr>
      </w:pPr>
      <w:r w:rsidRPr="000B74A3">
        <w:rPr>
          <w:rFonts w:ascii="Arial" w:hAnsi="Arial" w:cs="Arial"/>
          <w:lang w:val="en-US"/>
        </w:rPr>
        <w:t>SAR, China Macao SAR, Democratic People's Republic of Korea, East Timor, India,</w:t>
      </w:r>
    </w:p>
    <w:p w:rsidR="00AD3C91" w:rsidRPr="000B74A3" w:rsidRDefault="00AD3C91" w:rsidP="00AD3C91">
      <w:pPr>
        <w:rPr>
          <w:rFonts w:ascii="Arial" w:hAnsi="Arial" w:cs="Arial"/>
          <w:lang w:val="en-US"/>
        </w:rPr>
      </w:pPr>
      <w:r w:rsidRPr="000B74A3">
        <w:rPr>
          <w:rFonts w:ascii="Arial" w:hAnsi="Arial" w:cs="Arial"/>
          <w:lang w:val="en-US"/>
        </w:rPr>
        <w:t>Indonesia, Lao People's Democratic Republic, Malaysia, Maldives, Mongolia, Myanmar,</w:t>
      </w:r>
    </w:p>
    <w:p w:rsidR="00AD3C91" w:rsidRPr="000B74A3" w:rsidRDefault="00AD3C91" w:rsidP="00AD3C91">
      <w:pPr>
        <w:rPr>
          <w:rFonts w:ascii="Arial" w:hAnsi="Arial" w:cs="Arial"/>
          <w:lang w:val="en-US"/>
        </w:rPr>
      </w:pPr>
      <w:r w:rsidRPr="000B74A3">
        <w:rPr>
          <w:rFonts w:ascii="Arial" w:hAnsi="Arial" w:cs="Arial"/>
          <w:lang w:val="en-US"/>
        </w:rPr>
        <w:t>Nepal, Pakistan, Papua New Guinea, Philippines, Republic of Korea, Singapore, Sri Lanka,</w:t>
      </w:r>
    </w:p>
    <w:p w:rsidR="00AD3C91" w:rsidRPr="000B74A3" w:rsidRDefault="00AD3C91" w:rsidP="00AD3C91">
      <w:pPr>
        <w:rPr>
          <w:rFonts w:ascii="Arial" w:hAnsi="Arial" w:cs="Arial"/>
          <w:lang w:val="en-US"/>
        </w:rPr>
      </w:pPr>
      <w:r w:rsidRPr="000B74A3">
        <w:rPr>
          <w:rFonts w:ascii="Arial" w:hAnsi="Arial" w:cs="Arial"/>
          <w:lang w:val="en-US"/>
        </w:rPr>
        <w:t>Taiwan, Thailand, Viet Nam</w:t>
      </w:r>
    </w:p>
    <w:p w:rsidR="00AD3C91" w:rsidRPr="000B74A3" w:rsidRDefault="00AD3C91" w:rsidP="00AD3C91">
      <w:pPr>
        <w:rPr>
          <w:rFonts w:ascii="Arial" w:hAnsi="Arial" w:cs="Arial"/>
          <w:lang w:val="en-US"/>
        </w:rPr>
      </w:pPr>
    </w:p>
    <w:p w:rsidR="00AD3C91" w:rsidRPr="000B74A3" w:rsidRDefault="00AD3C91" w:rsidP="00AD3C91">
      <w:pPr>
        <w:rPr>
          <w:rFonts w:ascii="Arial" w:hAnsi="Arial" w:cs="Arial"/>
          <w:lang w:val="en-US"/>
        </w:rPr>
      </w:pPr>
      <w:r w:rsidRPr="000B74A3">
        <w:rPr>
          <w:rFonts w:ascii="Arial" w:hAnsi="Arial" w:cs="Arial"/>
          <w:b/>
          <w:bCs/>
          <w:lang w:val="en-US"/>
        </w:rPr>
        <w:t>MAF:</w:t>
      </w:r>
      <w:r w:rsidRPr="000B74A3">
        <w:rPr>
          <w:rFonts w:ascii="Arial" w:hAnsi="Arial" w:cs="Arial"/>
          <w:lang w:val="en-US"/>
        </w:rPr>
        <w:t xml:space="preserve"> This region includes the countries of the Middle East and Africa.</w:t>
      </w:r>
    </w:p>
    <w:p w:rsidR="00AD3C91" w:rsidRPr="000B74A3" w:rsidRDefault="00AD3C91" w:rsidP="00AD3C91">
      <w:pPr>
        <w:rPr>
          <w:rFonts w:ascii="Arial" w:hAnsi="Arial" w:cs="Arial"/>
          <w:lang w:val="en-US"/>
        </w:rPr>
      </w:pPr>
      <w:r w:rsidRPr="000B74A3">
        <w:rPr>
          <w:rFonts w:ascii="Arial" w:hAnsi="Arial" w:cs="Arial"/>
          <w:lang w:val="en-US"/>
        </w:rPr>
        <w:t>Algeria, Angola, Bahrain, Benin, Botswana, Burkina Faso, Burundi, Cameroon, Cape Verde,</w:t>
      </w:r>
    </w:p>
    <w:p w:rsidR="00AD3C91" w:rsidRPr="000B74A3" w:rsidRDefault="00AD3C91" w:rsidP="00AD3C91">
      <w:pPr>
        <w:rPr>
          <w:rFonts w:ascii="Arial" w:hAnsi="Arial" w:cs="Arial"/>
          <w:lang w:val="en-US"/>
        </w:rPr>
      </w:pPr>
      <w:r w:rsidRPr="000B74A3">
        <w:rPr>
          <w:rFonts w:ascii="Arial" w:hAnsi="Arial" w:cs="Arial"/>
          <w:lang w:val="en-US"/>
        </w:rPr>
        <w:t>Central African Republic, Chad, Comoros, Congo, Cote d'Ivoire, Democratic Republic of</w:t>
      </w:r>
    </w:p>
    <w:p w:rsidR="00AD3C91" w:rsidRPr="000B74A3" w:rsidRDefault="00AD3C91" w:rsidP="00AD3C91">
      <w:pPr>
        <w:rPr>
          <w:rFonts w:ascii="Arial" w:hAnsi="Arial" w:cs="Arial"/>
          <w:lang w:val="en-US"/>
        </w:rPr>
      </w:pPr>
      <w:r w:rsidRPr="000B74A3">
        <w:rPr>
          <w:rFonts w:ascii="Arial" w:hAnsi="Arial" w:cs="Arial"/>
          <w:lang w:val="en-US"/>
        </w:rPr>
        <w:t>the Congo, Djibouti, Egypt, Equatorial Guinea, Eritrea, Ethiopia, Eswatini, Gabon, Gambia, Ghana, Guinea, Guinea-Bissau, Iran (Islamic Republic of), Iraq, Israel, Jordan, Kenya, Kuwait,</w:t>
      </w:r>
    </w:p>
    <w:p w:rsidR="00AD3C91" w:rsidRPr="000B74A3" w:rsidRDefault="00AD3C91" w:rsidP="00AD3C91">
      <w:pPr>
        <w:rPr>
          <w:rFonts w:ascii="Arial" w:hAnsi="Arial" w:cs="Arial"/>
          <w:lang w:val="en-US"/>
        </w:rPr>
      </w:pPr>
      <w:r w:rsidRPr="000B74A3">
        <w:rPr>
          <w:rFonts w:ascii="Arial" w:hAnsi="Arial" w:cs="Arial"/>
          <w:lang w:val="en-US"/>
        </w:rPr>
        <w:t>Lebanon, Lesotho, Liberia, Libyan Arab Jamahiriya, Madagascar, Malawi, Mali, Mauritania,</w:t>
      </w:r>
    </w:p>
    <w:p w:rsidR="00AD3C91" w:rsidRPr="000B74A3" w:rsidRDefault="00AD3C91" w:rsidP="00AD3C91">
      <w:pPr>
        <w:rPr>
          <w:rFonts w:ascii="Arial" w:hAnsi="Arial" w:cs="Arial"/>
          <w:lang w:val="en-US"/>
        </w:rPr>
      </w:pPr>
      <w:r w:rsidRPr="000B74A3">
        <w:rPr>
          <w:rFonts w:ascii="Arial" w:hAnsi="Arial" w:cs="Arial"/>
          <w:lang w:val="en-US"/>
        </w:rPr>
        <w:t>Mauritius, Morocco, Mozambique, Namibia, Niger, Nigeria, Oman, Qatar, Reunion,</w:t>
      </w:r>
    </w:p>
    <w:p w:rsidR="00AD3C91" w:rsidRPr="000B74A3" w:rsidRDefault="00AD3C91" w:rsidP="00AD3C91">
      <w:pPr>
        <w:rPr>
          <w:rFonts w:ascii="Arial" w:hAnsi="Arial" w:cs="Arial"/>
          <w:lang w:val="en-US"/>
        </w:rPr>
      </w:pPr>
      <w:r w:rsidRPr="000B74A3">
        <w:rPr>
          <w:rFonts w:ascii="Arial" w:hAnsi="Arial" w:cs="Arial"/>
          <w:lang w:val="en-US"/>
        </w:rPr>
        <w:t>Rwanda, Saudi Arabia, Senegal, Sierra Leone, Somalia, South Africa, Sudan, Syrian Arab Republic, Togo, Tunisia, Uganda, United Arab Emirates, United Republic of</w:t>
      </w:r>
    </w:p>
    <w:p w:rsidR="00AD3C91" w:rsidRPr="000B74A3" w:rsidRDefault="00AD3C91" w:rsidP="00AD3C91">
      <w:pPr>
        <w:rPr>
          <w:rFonts w:ascii="Arial" w:hAnsi="Arial" w:cs="Arial"/>
          <w:lang w:val="de-DE"/>
        </w:rPr>
      </w:pPr>
      <w:proofErr w:type="spellStart"/>
      <w:r w:rsidRPr="000B74A3">
        <w:rPr>
          <w:rFonts w:ascii="Arial" w:hAnsi="Arial" w:cs="Arial"/>
          <w:lang w:val="de-DE"/>
        </w:rPr>
        <w:t>Tanzania</w:t>
      </w:r>
      <w:proofErr w:type="spellEnd"/>
      <w:r w:rsidRPr="000B74A3">
        <w:rPr>
          <w:rFonts w:ascii="Arial" w:hAnsi="Arial" w:cs="Arial"/>
          <w:lang w:val="de-DE"/>
        </w:rPr>
        <w:t xml:space="preserve">, Western Sahara, </w:t>
      </w:r>
      <w:proofErr w:type="spellStart"/>
      <w:r w:rsidRPr="000B74A3">
        <w:rPr>
          <w:rFonts w:ascii="Arial" w:hAnsi="Arial" w:cs="Arial"/>
          <w:lang w:val="de-DE"/>
        </w:rPr>
        <w:t>Yemen</w:t>
      </w:r>
      <w:proofErr w:type="spellEnd"/>
      <w:r w:rsidRPr="000B74A3">
        <w:rPr>
          <w:rFonts w:ascii="Arial" w:hAnsi="Arial" w:cs="Arial"/>
          <w:lang w:val="de-DE"/>
        </w:rPr>
        <w:t xml:space="preserve">, </w:t>
      </w:r>
      <w:proofErr w:type="spellStart"/>
      <w:r w:rsidRPr="000B74A3">
        <w:rPr>
          <w:rFonts w:ascii="Arial" w:hAnsi="Arial" w:cs="Arial"/>
          <w:lang w:val="de-DE"/>
        </w:rPr>
        <w:t>Zambia</w:t>
      </w:r>
      <w:proofErr w:type="spellEnd"/>
      <w:r w:rsidRPr="000B74A3">
        <w:rPr>
          <w:rFonts w:ascii="Arial" w:hAnsi="Arial" w:cs="Arial"/>
          <w:lang w:val="de-DE"/>
        </w:rPr>
        <w:t>, Zimbabwe</w:t>
      </w:r>
    </w:p>
    <w:p w:rsidR="00AD3C91" w:rsidRPr="000B74A3" w:rsidRDefault="00AD3C91" w:rsidP="00AD3C91">
      <w:pPr>
        <w:rPr>
          <w:rFonts w:ascii="Arial" w:hAnsi="Arial" w:cs="Arial"/>
          <w:lang w:val="de-DE"/>
        </w:rPr>
      </w:pPr>
    </w:p>
    <w:p w:rsidR="00AD3C91" w:rsidRPr="000B74A3" w:rsidRDefault="00AD3C91" w:rsidP="00AD3C91">
      <w:pPr>
        <w:rPr>
          <w:rFonts w:ascii="Arial" w:hAnsi="Arial" w:cs="Arial"/>
          <w:lang w:val="en-US"/>
        </w:rPr>
      </w:pPr>
      <w:r w:rsidRPr="000B74A3">
        <w:rPr>
          <w:rFonts w:ascii="Arial" w:hAnsi="Arial" w:cs="Arial"/>
          <w:b/>
          <w:bCs/>
          <w:lang w:val="en-US"/>
        </w:rPr>
        <w:t xml:space="preserve">LAM: </w:t>
      </w:r>
      <w:r w:rsidRPr="000B74A3">
        <w:rPr>
          <w:rFonts w:ascii="Arial" w:hAnsi="Arial" w:cs="Arial"/>
          <w:lang w:val="en-US"/>
        </w:rPr>
        <w:t xml:space="preserve"> This region includes the countries of Latin America and the Caribbean.</w:t>
      </w:r>
    </w:p>
    <w:p w:rsidR="00AD3C91" w:rsidRPr="000B74A3" w:rsidRDefault="00AD3C91" w:rsidP="00AD3C91">
      <w:pPr>
        <w:rPr>
          <w:rFonts w:ascii="Arial" w:hAnsi="Arial" w:cs="Arial"/>
          <w:lang w:val="en-US"/>
        </w:rPr>
      </w:pPr>
      <w:r w:rsidRPr="000B74A3">
        <w:rPr>
          <w:rFonts w:ascii="Arial" w:hAnsi="Arial" w:cs="Arial"/>
          <w:lang w:val="en-US"/>
        </w:rPr>
        <w:t>Argentina, Bahamas, Barbados, Belize, Bolivia, Brazil, Chile, Colombia, Costa Rica, Cuba,</w:t>
      </w:r>
    </w:p>
    <w:p w:rsidR="00AD3C91" w:rsidRPr="000B74A3" w:rsidRDefault="00AD3C91" w:rsidP="00AD3C91">
      <w:pPr>
        <w:rPr>
          <w:rFonts w:ascii="Arial" w:hAnsi="Arial" w:cs="Arial"/>
          <w:lang w:val="en-US"/>
        </w:rPr>
      </w:pPr>
      <w:r w:rsidRPr="000B74A3">
        <w:rPr>
          <w:rFonts w:ascii="Arial" w:hAnsi="Arial" w:cs="Arial"/>
          <w:lang w:val="en-US"/>
        </w:rPr>
        <w:lastRenderedPageBreak/>
        <w:t>Dominican Republic, Ecuador, El Salvador, Guadeloupe, Guatemala, Guyana, Haiti, Honduras, Jamaica, Martinique, Mexico, Netherlands Antilles, Nicaragua, Panama, Paraguay,</w:t>
      </w:r>
    </w:p>
    <w:p w:rsidR="00AD3C91" w:rsidRPr="000B74A3" w:rsidRDefault="00AD3C91" w:rsidP="00AD3C91">
      <w:pPr>
        <w:rPr>
          <w:rFonts w:ascii="Arial" w:hAnsi="Arial" w:cs="Arial"/>
          <w:lang w:val="en-US"/>
        </w:rPr>
      </w:pPr>
      <w:r w:rsidRPr="000B74A3">
        <w:rPr>
          <w:rFonts w:ascii="Arial" w:hAnsi="Arial" w:cs="Arial"/>
          <w:lang w:val="en-US"/>
        </w:rPr>
        <w:t>Peru, Puerto Rico, Suriname, Trinidad and Tobago, Uruguay, Venezuela</w:t>
      </w:r>
    </w:p>
    <w:p w:rsidR="00AD3C91" w:rsidRPr="000B74A3" w:rsidRDefault="00AD3C91">
      <w:pPr>
        <w:rPr>
          <w:rFonts w:ascii="Arial" w:hAnsi="Arial" w:cs="Arial"/>
          <w:b/>
          <w:bCs/>
          <w:lang w:val="en-US"/>
        </w:rPr>
      </w:pPr>
    </w:p>
    <w:p w:rsidR="00AD3C91" w:rsidRPr="000B74A3" w:rsidRDefault="00AD3C91">
      <w:pPr>
        <w:rPr>
          <w:rFonts w:ascii="Arial" w:hAnsi="Arial" w:cs="Arial"/>
          <w:lang w:val="en-US"/>
        </w:rPr>
      </w:pPr>
      <w:r w:rsidRPr="000B74A3">
        <w:rPr>
          <w:rFonts w:ascii="Arial" w:hAnsi="Arial" w:cs="Arial"/>
          <w:b/>
          <w:bCs/>
          <w:lang w:val="en-US"/>
        </w:rPr>
        <w:t xml:space="preserve">Four individual economies: </w:t>
      </w:r>
      <w:r w:rsidRPr="000B74A3">
        <w:rPr>
          <w:rFonts w:ascii="Arial" w:hAnsi="Arial" w:cs="Arial"/>
          <w:lang w:val="en-US"/>
        </w:rPr>
        <w:t>China, European Union, India, United States</w:t>
      </w:r>
    </w:p>
    <w:p w:rsidR="00A0073B" w:rsidRDefault="00A0073B">
      <w:pPr>
        <w:rPr>
          <w:rFonts w:ascii="Arial" w:hAnsi="Arial" w:cs="Arial"/>
          <w:b/>
          <w:bCs/>
          <w:lang w:val="en-US"/>
        </w:rPr>
      </w:pPr>
      <w:r>
        <w:rPr>
          <w:rFonts w:ascii="Arial" w:hAnsi="Arial" w:cs="Arial"/>
          <w:b/>
          <w:bCs/>
          <w:lang w:val="en-US"/>
        </w:rPr>
        <w:br w:type="page"/>
      </w:r>
    </w:p>
    <w:p w:rsidR="00AD3C91" w:rsidRPr="000B74A3" w:rsidRDefault="00AD3C91">
      <w:pPr>
        <w:rPr>
          <w:rFonts w:ascii="Arial" w:hAnsi="Arial" w:cs="Arial"/>
          <w:b/>
          <w:bCs/>
          <w:lang w:val="en-US"/>
        </w:rPr>
      </w:pPr>
    </w:p>
    <w:p w:rsidR="004E3FE0" w:rsidRDefault="008326BC">
      <w:pPr>
        <w:rPr>
          <w:rFonts w:ascii="Arial" w:hAnsi="Arial" w:cs="Arial"/>
          <w:lang w:val="en-US"/>
        </w:rPr>
      </w:pPr>
      <w:r>
        <w:rPr>
          <w:rFonts w:ascii="Arial" w:hAnsi="Arial" w:cs="Arial"/>
          <w:lang w:val="en-US"/>
        </w:rPr>
        <w:br w:type="page"/>
      </w:r>
    </w:p>
    <w:tbl>
      <w:tblPr>
        <w:tblStyle w:val="TableGrid"/>
        <w:tblW w:w="0" w:type="auto"/>
        <w:tblLook w:val="04A0" w:firstRow="1" w:lastRow="0" w:firstColumn="1" w:lastColumn="0" w:noHBand="0" w:noVBand="1"/>
      </w:tblPr>
      <w:tblGrid>
        <w:gridCol w:w="1300"/>
        <w:gridCol w:w="749"/>
        <w:gridCol w:w="1404"/>
        <w:gridCol w:w="1404"/>
        <w:gridCol w:w="1579"/>
        <w:gridCol w:w="1404"/>
        <w:gridCol w:w="1170"/>
      </w:tblGrid>
      <w:tr w:rsidR="00E629C3" w:rsidRPr="00E629C3" w:rsidTr="00E629C3">
        <w:trPr>
          <w:trHeight w:val="320"/>
        </w:trPr>
        <w:tc>
          <w:tcPr>
            <w:tcW w:w="10280" w:type="dxa"/>
            <w:gridSpan w:val="7"/>
            <w:noWrap/>
            <w:hideMark/>
          </w:tcPr>
          <w:p w:rsidR="00E629C3" w:rsidRPr="00E629C3" w:rsidRDefault="00E629C3" w:rsidP="00E629C3">
            <w:pPr>
              <w:rPr>
                <w:rFonts w:ascii="Arial" w:hAnsi="Arial" w:cs="Arial"/>
                <w:b/>
                <w:bCs/>
                <w:sz w:val="18"/>
                <w:szCs w:val="18"/>
              </w:rPr>
            </w:pPr>
            <w:r w:rsidRPr="00E629C3">
              <w:rPr>
                <w:rFonts w:ascii="Arial" w:hAnsi="Arial" w:cs="Arial"/>
                <w:b/>
                <w:bCs/>
                <w:sz w:val="18"/>
                <w:szCs w:val="18"/>
              </w:rPr>
              <w:lastRenderedPageBreak/>
              <w:t>Stimulus packages in response to COVID-19 (IMF, 2020) (in USD billion)</w:t>
            </w:r>
          </w:p>
        </w:tc>
      </w:tr>
      <w:tr w:rsidR="00E629C3" w:rsidRPr="00E629C3" w:rsidTr="00E629C3">
        <w:trPr>
          <w:trHeight w:val="320"/>
        </w:trPr>
        <w:tc>
          <w:tcPr>
            <w:tcW w:w="1491" w:type="dxa"/>
            <w:noWrap/>
            <w:hideMark/>
          </w:tcPr>
          <w:p w:rsidR="00E629C3" w:rsidRPr="00E629C3" w:rsidRDefault="00E629C3">
            <w:pPr>
              <w:rPr>
                <w:rFonts w:ascii="Arial" w:hAnsi="Arial" w:cs="Arial"/>
                <w:b/>
                <w:bCs/>
                <w:sz w:val="18"/>
                <w:szCs w:val="18"/>
              </w:rPr>
            </w:pPr>
            <w:r w:rsidRPr="00E629C3">
              <w:rPr>
                <w:rFonts w:ascii="Arial" w:hAnsi="Arial" w:cs="Arial"/>
                <w:b/>
                <w:bCs/>
                <w:sz w:val="18"/>
                <w:szCs w:val="18"/>
              </w:rPr>
              <w:t>Country code</w:t>
            </w:r>
          </w:p>
        </w:tc>
        <w:tc>
          <w:tcPr>
            <w:tcW w:w="802" w:type="dxa"/>
            <w:noWrap/>
            <w:hideMark/>
          </w:tcPr>
          <w:p w:rsidR="00E629C3" w:rsidRPr="00E629C3" w:rsidRDefault="00E629C3">
            <w:pPr>
              <w:rPr>
                <w:rFonts w:ascii="Arial" w:hAnsi="Arial" w:cs="Arial"/>
                <w:b/>
                <w:bCs/>
                <w:sz w:val="18"/>
                <w:szCs w:val="18"/>
              </w:rPr>
            </w:pPr>
            <w:r w:rsidRPr="00E629C3">
              <w:rPr>
                <w:rFonts w:ascii="Arial" w:hAnsi="Arial" w:cs="Arial"/>
                <w:b/>
                <w:bCs/>
                <w:sz w:val="18"/>
                <w:szCs w:val="18"/>
              </w:rPr>
              <w:t>Region</w:t>
            </w:r>
          </w:p>
        </w:tc>
        <w:tc>
          <w:tcPr>
            <w:tcW w:w="1611" w:type="dxa"/>
            <w:noWrap/>
            <w:hideMark/>
          </w:tcPr>
          <w:p w:rsidR="00E629C3" w:rsidRPr="00E629C3" w:rsidRDefault="00E629C3">
            <w:pPr>
              <w:rPr>
                <w:rFonts w:ascii="Arial" w:hAnsi="Arial" w:cs="Arial"/>
                <w:b/>
                <w:bCs/>
                <w:sz w:val="18"/>
                <w:szCs w:val="18"/>
              </w:rPr>
            </w:pPr>
            <w:r w:rsidRPr="00E629C3">
              <w:rPr>
                <w:rFonts w:ascii="Arial" w:hAnsi="Arial" w:cs="Arial"/>
                <w:b/>
                <w:bCs/>
                <w:sz w:val="18"/>
                <w:szCs w:val="18"/>
              </w:rPr>
              <w:t xml:space="preserve"> Individuals </w:t>
            </w:r>
          </w:p>
        </w:tc>
        <w:tc>
          <w:tcPr>
            <w:tcW w:w="1611" w:type="dxa"/>
            <w:noWrap/>
            <w:hideMark/>
          </w:tcPr>
          <w:p w:rsidR="00E629C3" w:rsidRPr="00E629C3" w:rsidRDefault="00E629C3">
            <w:pPr>
              <w:rPr>
                <w:rFonts w:ascii="Arial" w:hAnsi="Arial" w:cs="Arial"/>
                <w:b/>
                <w:bCs/>
                <w:sz w:val="18"/>
                <w:szCs w:val="18"/>
              </w:rPr>
            </w:pPr>
            <w:r w:rsidRPr="00E629C3">
              <w:rPr>
                <w:rFonts w:ascii="Arial" w:hAnsi="Arial" w:cs="Arial"/>
                <w:b/>
                <w:bCs/>
                <w:sz w:val="18"/>
                <w:szCs w:val="18"/>
              </w:rPr>
              <w:t xml:space="preserve"> Health </w:t>
            </w:r>
          </w:p>
        </w:tc>
        <w:tc>
          <w:tcPr>
            <w:tcW w:w="1817" w:type="dxa"/>
            <w:noWrap/>
            <w:hideMark/>
          </w:tcPr>
          <w:p w:rsidR="00E629C3" w:rsidRPr="00E629C3" w:rsidRDefault="00E629C3">
            <w:pPr>
              <w:rPr>
                <w:rFonts w:ascii="Arial" w:hAnsi="Arial" w:cs="Arial"/>
                <w:b/>
                <w:bCs/>
                <w:sz w:val="18"/>
                <w:szCs w:val="18"/>
              </w:rPr>
            </w:pPr>
            <w:r w:rsidRPr="00E629C3">
              <w:rPr>
                <w:rFonts w:ascii="Arial" w:hAnsi="Arial" w:cs="Arial"/>
                <w:b/>
                <w:bCs/>
                <w:sz w:val="18"/>
                <w:szCs w:val="18"/>
              </w:rPr>
              <w:t xml:space="preserve"> Economy </w:t>
            </w:r>
          </w:p>
        </w:tc>
        <w:tc>
          <w:tcPr>
            <w:tcW w:w="1611" w:type="dxa"/>
            <w:noWrap/>
            <w:hideMark/>
          </w:tcPr>
          <w:p w:rsidR="00E629C3" w:rsidRPr="00E629C3" w:rsidRDefault="00E629C3">
            <w:pPr>
              <w:rPr>
                <w:rFonts w:ascii="Arial" w:hAnsi="Arial" w:cs="Arial"/>
                <w:b/>
                <w:bCs/>
                <w:sz w:val="18"/>
                <w:szCs w:val="18"/>
              </w:rPr>
            </w:pPr>
            <w:r w:rsidRPr="00E629C3">
              <w:rPr>
                <w:rFonts w:ascii="Arial" w:hAnsi="Arial" w:cs="Arial"/>
                <w:b/>
                <w:bCs/>
                <w:sz w:val="18"/>
                <w:szCs w:val="18"/>
              </w:rPr>
              <w:t xml:space="preserve"> General </w:t>
            </w:r>
          </w:p>
        </w:tc>
        <w:tc>
          <w:tcPr>
            <w:tcW w:w="1337" w:type="dxa"/>
            <w:noWrap/>
            <w:hideMark/>
          </w:tcPr>
          <w:p w:rsidR="00E629C3" w:rsidRPr="00E629C3" w:rsidRDefault="00E629C3">
            <w:pPr>
              <w:rPr>
                <w:rFonts w:ascii="Arial" w:hAnsi="Arial" w:cs="Arial"/>
                <w:b/>
                <w:bCs/>
                <w:sz w:val="18"/>
                <w:szCs w:val="18"/>
              </w:rPr>
            </w:pPr>
            <w:r w:rsidRPr="00E629C3">
              <w:rPr>
                <w:rFonts w:ascii="Arial" w:hAnsi="Arial" w:cs="Arial"/>
                <w:b/>
                <w:bCs/>
                <w:sz w:val="18"/>
                <w:szCs w:val="18"/>
              </w:rPr>
              <w:t xml:space="preserve"> Total </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AFG</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ASIA</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19,363.0</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77,451.9</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96.8</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AGO</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MAF</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40,000.0</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40.0</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ALB</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OECD+</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32,410.7</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365,777.4</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24,681.9</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422.9</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ARE</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MAF</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4,400,000.0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2,815,793.1</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7,215.8</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ARG</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LAM</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3,701,284.6</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3,701.3</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ARM</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REF</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137,900.0</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137.9</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AUS</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OECD+</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96,071,591.4</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45,884,939.2</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141,956.5</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AUT</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OECD+</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4,347,826.1</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10,879,347.8</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33,685,869.6</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48,913.0</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AZE</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REF</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BDI</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MAF</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26,300.0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52,660.2</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79.0</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BEL</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OECD+</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4,673,913.0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56,521,739.1</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10,869,565.2</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72,065.2</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BEN</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MAF</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10,354.3</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10.4</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BFA</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MAF</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BGD</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ASIA</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448,085.6</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6,589,493.6</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7,037.6</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BGR</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OECD+</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1,367,792.0</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1,367.8</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BHR</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MAF</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14,627.7</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470,744.7</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1,099,967.9</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1,585.3</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BHS</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LAM</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11,800.0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4,000.0</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50,000.0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8,747.0</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74.5</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BIH</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OECD+</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18,105.2</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301,752.8</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858,142.0</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1,178.0</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BLR</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REF</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BLZ</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LAM</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18,712.0</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18.7</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BOL</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LAM</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200,000.0</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219,000.0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419.0</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BRA</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LAM</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149,490,087.0</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149,490.1</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BRB</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LAM</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BRN</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ASIA</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BTN</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ASIA</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26,000.0</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26.0</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BWA</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MAF</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46,568.7</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98,039.5</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60,168.0</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204.8</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CAF</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MAF</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42,178.0</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42.2</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CAN</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OECD+</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81,029,902.2</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2,450,189.9</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65,595,635.1</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149,075.7</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CHE</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OECD+</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50,108,227.0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16,361,870.0</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66,470.1</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CHL</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LAM</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2,000,000.0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3,000,000.0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11,750,000.0</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16,750.0</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CHN</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ASIA</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340,203,796.6</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340,203.8</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CIV</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MAF</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129,021.1</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774,126.9</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129,021.1</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1,032.2</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CMR</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MAF</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105,089.3</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44,986.9</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150.1</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COD</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MAF</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141,682.6</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141.7</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COG</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MAF</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180,218.9</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180.2</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COL</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LAM</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9,269,317.1</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9,269.3</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COM</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MAF</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lastRenderedPageBreak/>
              <w:t>CPV</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MAF</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23,551.2</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32,115.2</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55.7</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CRI</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LAM</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CUB</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LAM</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CYP</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OECD+</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108,695.7</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1,630.4</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863,587.0</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973.9</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CZE</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OECD+</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36,195,652.2</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10,217,391.3</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46,413.0</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DEU</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OECD+</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106,521,739.1</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902,173,913.0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115,217,391.3</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1,123,913.0</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DJI</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MAF</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DNK</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OECD+</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10,670,259.9</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22,763,221.1</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33,433.5</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DOM</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LAM</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576,000.0</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576.0</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DZA</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MAF</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ECU</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LAM</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114,000.0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50,000.0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164.0</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EGY</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MAF</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450.3</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2,814.2</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2,363.9</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5.6</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ERI</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MAF</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ESP</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OECD+</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20,052,826.1</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4,615,217.4</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20,654,347.8</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5,321,739.1</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50,644.1</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EST</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OECD+</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271,739.1</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231,521.7</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1,902,173.9</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144,565.2</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2,550.0</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ETH</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MAF</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917,000.0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430,000.0</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293,000.0</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1,640.0</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EU</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EU</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260,869,565.2</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462,600.3</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365,841,747.5</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627,173.9</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FIN</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OECD+</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4,402,173.9</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1,086,956.5</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5,597,826.1</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11,087.0</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FJI</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OECD+</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479,068.9</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479.1</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FRA</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OECD+</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342,391,304.3</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119,565,217.4</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461,956.5</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GAB</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MAF</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678,000.0</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678.0</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GBR</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OECD+</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9,339,166.7</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19,612,250.1</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37,356,666.8</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66,308.1</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GEO</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REF</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138,115.5</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434,077.3</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572.2</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GHA</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MAF</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310,000.0</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310.0</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GMB</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MAF</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33,500.0</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33.5</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GNB</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MAF</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900.0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800.0</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1.7</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GNQ</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MAF</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4,029.7</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4.0</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GRC</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OECD+</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2,173,913.0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11,413,043.5</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13,587.0</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GTM</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LAM</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2,667,655.2</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2,667.7</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GUM</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OECD+</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GUY</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LAM</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HKG</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ASIA</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9,057,855.5</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3,827,262.9</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23,792,817.5</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36,677.9</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HND</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LAM</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287,638.7</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215,729.0</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1,893,621.3</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2,397.0</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HRV</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OECD+</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HTI</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LAM</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19,317.4</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38,634.9</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77,269.8</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135.2</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HUN</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OECD+</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947,297.5</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8,571,685.2</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9,519.0</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IDN</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ASIA</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10,535,972.8</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20,250,139.8</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30,786.1</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IND</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ASIA</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29,906,054.5</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29,906.1</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lastRenderedPageBreak/>
              <w:t>IRL</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OECD+</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2,000,000.0</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5,000,000.0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7,456,521.7</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14,456.5</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IRN</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MAF</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388,920.0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194,460.0</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35,262,080.0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28,974,540.0</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64,820.0</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IRQ</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MAF</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25,000.0</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25.0</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ISL</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OECD+</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2,123,726.9</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2,123.7</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ISR</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MAF</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5,570,164.7</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3,063,590.6</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11,418,837.6</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6,127,181.1</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26,179.8</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ITA</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OECD+</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10,869,565.2</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3,478,260.9</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447,282,608.7</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326,087.0</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461,956.5</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JAM</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LAM</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172,853.0</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172.9</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JOR</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MAF</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22,535.2</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22.5</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JPN</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OECD+</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24,856,615.4</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795,411,692.8</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228,680,861.7</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1,048,949.2</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KAZ</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REF</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KEN</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MAF</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394,860.6</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394.9</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KGZ</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REF</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16,000.0</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15,000.0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540,000.0</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571.0</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KHM</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ASIA</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60,000.0</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60.0</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KOR</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ASIA</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20,263,516.6</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20,263.5</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KWT</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MAF</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1,600,000.0</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1,600.0</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LAO</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ASIA</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6,125.4</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6.1</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LBN</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MAF</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LBR</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MAF</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LBY</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MAF</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366,309.3</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366.3</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LKA</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ASIA</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5,000.0</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5.0</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LSO</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MAF</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56,642.6</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26,433.2</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33,985.6</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26,433.2</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143.5</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LTU</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OECD+</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1,460,434.8</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543,478.3</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2,500,000.0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387,391.3</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4,891.3</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LUX</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OECD+</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1,447,826.1</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210,869.6</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9,619,565.2</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26,087.0</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11,304.3</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LVA</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OECD+</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8,695.7</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15,217.4</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1,120,000.0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856,087.0</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2,000.0</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MAC</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ASIA</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6,665,170.1</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6,665.2</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MAR</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MAF</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3,183,877.6</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3,183.9</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MDA</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REF</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MDG</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MAF</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MDV</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ASIA</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227,408.0</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227.4</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MEX</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LAM</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1,299,083.2</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8,054,315.5</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9,353.4</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MKD</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OECD+</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25,344.3</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25.3</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MLI</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MAF</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85,817.2</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85.8</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MLT</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OECD+</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141,304.3</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423,913.0</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565.2</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MMR</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ASIA</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26,577.0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209.8</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69,939.5</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96.7</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MNE</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OECD+</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210,028.3</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210.0</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MNG</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ASIA</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261,335.0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47,320.8</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308.7</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MOZ</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MAF</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21,549.5</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21.5</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MRT</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MAF</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80,000.0</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80.0</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MUS</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MAF</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4,272.9</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6,129.5</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85,458.9</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246,210.0</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342.1</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lastRenderedPageBreak/>
              <w:t>MWI</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MAF</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20,000.0</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50,000.0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70.0</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MYS</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ASIA</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10,314,413.3</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10,314.4</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NAM</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MAF</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166,239.2</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173,795.5</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264,471.5</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604.5</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NCL</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OECD+</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NER</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MAF</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NGA</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MAF</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20,700.0</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28,000.0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1,351,300.0</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1,400.0</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NIC</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LAM</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NLD</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OECD+</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21,847,826.1</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21,847.8</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NOR</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OECD+</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17,091,915.2</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17,091.9</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NPL</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ASIA</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NZL</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OECD+</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1,660,602.8</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345,958.9</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8,994,931.7</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5,120,191.9</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16,121.7</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OMN</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MAF</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PAK</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ASIA</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1,846,925.7</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123,128.4</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820,855.9</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7,059,360.3</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9,850.3</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PAN</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LAM</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6,700.0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191,000.0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197.7</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PER</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LAM</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1,034,502.9</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334,692.1</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91,279.7</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1,460.5</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PHL</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ASIA</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3,892,792.1</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1,112,768.9</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2,278,707.6</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3,919,377.1</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11,203.6</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PNG</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ASIA</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1,707,818.7</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1,707.8</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POL</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OECD+</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41,766,109.8</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22,195,704.1</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63,961.8</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PRI</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LAM</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PRT</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OECD+</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10,760,869.6</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10,760.9</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PRY</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LAM</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400,000.0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500,000.0</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45,000.0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1,000,000.0</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1,945.0</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PYF</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OECD+</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QAT</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MAF</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20,600,000.0</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20,600.0</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ROU</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OECD+</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8,879,605.2</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8,879.6</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RUS</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REF</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46,411,530.1</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46,411.5</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RWA</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MAF</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313,787.6</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313.8</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SAU</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MAF</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12,533,333.3</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18,700,000.0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13,780,000.0</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45,013.3</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SDN</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MAF</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1,033,043.7</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1,236,100.8</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3,522,558.0</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5,791.7</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SEN</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MAF</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127,762.7</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124,163.7</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1,437,145.6</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1,689.1</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SGP</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ASIA</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4,225,848.1</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593,101.5</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40,998,140.4</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1,408,616.0</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47,225.7</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SLB</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OECD+</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38,855.7</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38.9</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SLE</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MAF</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7,500.0</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7.5</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SLV</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LAM</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SOM</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MAF</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SRB</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OECD+</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648,864.0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389,318.4</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4,811,576.1</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5,849.8</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SUR</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LAM</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54,271.3</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54.3</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SVK</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OECD+</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2,032,608.7</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2,032.6</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SVN</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OECD+</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54,347.8</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652,173.9</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5,815,217.4</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6,521.7</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lastRenderedPageBreak/>
              <w:t>SWE</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OECD+</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51,998,739.9</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15,990,762.9</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67,989.5</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SWZ</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MAF</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7,552.4</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7.6</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SYR</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MAF</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TCD</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MAF</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13,527.7</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55,783.7</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69.3</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TGO</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MAF</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130,000.0</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130.0</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THA</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ASIA</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18,569,972.4</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12,379,981.6</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46,424,931.0</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77,374.9</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TJK</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REF</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TKM</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REF</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122,283.4</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815,222.9</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4,646,770.3</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5,584.3</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TLS</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ASIA</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TTO</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LAM</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TUN</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MAF</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283,353.9</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37,780.5</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623,378.6</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944.5</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TUR</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OECD+</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5,177,730.6</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15,533,191.9</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20,710.9</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TZA</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MAF</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302,000.0</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376,000.0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678.0</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UGA</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MAF</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81,300.0</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81.3</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UKR</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REF</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220,584.2</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220.6</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URY</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LAM</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400,000.0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400.0</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USA</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OECD+</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716,000,000.0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200,000,000.0</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1,239,000,000.0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637,300,000.0</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2,792,300.0</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UZB</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REF</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VEN</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LAM</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VNM</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ASIA</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1,592,775.9</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7,963,879.4</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2,212,188.7</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11,768.8</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WSM</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OECD+</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25,664.0</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25.7</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ZAF</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MAF</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7,556.3</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6,800.7</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14.4</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ZMB</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MAF</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252,434.9</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252.4</w:t>
            </w:r>
          </w:p>
        </w:tc>
      </w:tr>
      <w:tr w:rsidR="00E629C3" w:rsidRPr="00E629C3" w:rsidTr="00E629C3">
        <w:trPr>
          <w:trHeight w:val="320"/>
        </w:trPr>
        <w:tc>
          <w:tcPr>
            <w:tcW w:w="1491" w:type="dxa"/>
            <w:noWrap/>
            <w:hideMark/>
          </w:tcPr>
          <w:p w:rsidR="00E629C3" w:rsidRPr="00E629C3" w:rsidRDefault="00E629C3">
            <w:pPr>
              <w:rPr>
                <w:rFonts w:ascii="Arial" w:hAnsi="Arial" w:cs="Arial"/>
                <w:sz w:val="18"/>
                <w:szCs w:val="18"/>
              </w:rPr>
            </w:pPr>
            <w:r w:rsidRPr="00E629C3">
              <w:rPr>
                <w:rFonts w:ascii="Arial" w:hAnsi="Arial" w:cs="Arial"/>
                <w:sz w:val="18"/>
                <w:szCs w:val="18"/>
              </w:rPr>
              <w:t>ZWE</w:t>
            </w:r>
          </w:p>
        </w:tc>
        <w:tc>
          <w:tcPr>
            <w:tcW w:w="802" w:type="dxa"/>
            <w:noWrap/>
            <w:hideMark/>
          </w:tcPr>
          <w:p w:rsidR="00E629C3" w:rsidRPr="00E629C3" w:rsidRDefault="00E629C3">
            <w:pPr>
              <w:rPr>
                <w:rFonts w:ascii="Arial" w:hAnsi="Arial" w:cs="Arial"/>
                <w:sz w:val="18"/>
                <w:szCs w:val="18"/>
              </w:rPr>
            </w:pPr>
            <w:r w:rsidRPr="00E629C3">
              <w:rPr>
                <w:rFonts w:ascii="Arial" w:hAnsi="Arial" w:cs="Arial"/>
                <w:sz w:val="18"/>
                <w:szCs w:val="18"/>
              </w:rPr>
              <w:t>MAF</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81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0.0</w:t>
            </w:r>
          </w:p>
        </w:tc>
        <w:tc>
          <w:tcPr>
            <w:tcW w:w="1611"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2,000.0</w:t>
            </w:r>
          </w:p>
        </w:tc>
        <w:tc>
          <w:tcPr>
            <w:tcW w:w="1337" w:type="dxa"/>
            <w:noWrap/>
            <w:hideMark/>
          </w:tcPr>
          <w:p w:rsidR="00E629C3" w:rsidRPr="00E629C3" w:rsidRDefault="00E629C3" w:rsidP="00E629C3">
            <w:pPr>
              <w:rPr>
                <w:rFonts w:ascii="Arial" w:hAnsi="Arial" w:cs="Arial"/>
                <w:sz w:val="18"/>
                <w:szCs w:val="18"/>
              </w:rPr>
            </w:pPr>
            <w:r w:rsidRPr="00E629C3">
              <w:rPr>
                <w:rFonts w:ascii="Arial" w:hAnsi="Arial" w:cs="Arial"/>
                <w:sz w:val="18"/>
                <w:szCs w:val="18"/>
              </w:rPr>
              <w:t>2.0</w:t>
            </w:r>
          </w:p>
        </w:tc>
      </w:tr>
    </w:tbl>
    <w:p w:rsidR="008326BC" w:rsidRDefault="008326BC">
      <w:pPr>
        <w:rPr>
          <w:rFonts w:ascii="Arial" w:hAnsi="Arial" w:cs="Arial"/>
          <w:lang w:val="en-US"/>
        </w:rPr>
      </w:pPr>
    </w:p>
    <w:sectPr w:rsidR="008326BC" w:rsidSect="00C806B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45C"/>
    <w:rsid w:val="000B74A3"/>
    <w:rsid w:val="00274687"/>
    <w:rsid w:val="00333DBE"/>
    <w:rsid w:val="004E3FE0"/>
    <w:rsid w:val="006B6EC1"/>
    <w:rsid w:val="00811FA3"/>
    <w:rsid w:val="008326BC"/>
    <w:rsid w:val="00A0073B"/>
    <w:rsid w:val="00AA545C"/>
    <w:rsid w:val="00AD3C91"/>
    <w:rsid w:val="00B24BB4"/>
    <w:rsid w:val="00BB5595"/>
    <w:rsid w:val="00C746CB"/>
    <w:rsid w:val="00C806B7"/>
    <w:rsid w:val="00D15305"/>
    <w:rsid w:val="00E56002"/>
    <w:rsid w:val="00E629C3"/>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E92F22D9-049D-9E44-994A-9F40088A4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74A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74A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4E3FE0"/>
    <w:rPr>
      <w:color w:val="0563C1"/>
      <w:u w:val="single"/>
    </w:rPr>
  </w:style>
  <w:style w:type="character" w:styleId="FollowedHyperlink">
    <w:name w:val="FollowedHyperlink"/>
    <w:basedOn w:val="DefaultParagraphFont"/>
    <w:uiPriority w:val="99"/>
    <w:semiHidden/>
    <w:unhideWhenUsed/>
    <w:rsid w:val="004E3FE0"/>
    <w:rPr>
      <w:color w:val="954F72"/>
      <w:u w:val="single"/>
    </w:rPr>
  </w:style>
  <w:style w:type="paragraph" w:customStyle="1" w:styleId="msonormal0">
    <w:name w:val="msonormal"/>
    <w:basedOn w:val="Normal"/>
    <w:rsid w:val="004E3FE0"/>
    <w:pPr>
      <w:spacing w:before="100" w:beforeAutospacing="1" w:after="100" w:afterAutospacing="1"/>
    </w:pPr>
    <w:rPr>
      <w:rFonts w:ascii="Times New Roman" w:eastAsia="Times New Roman" w:hAnsi="Times New Roman" w:cs="Times New Roman"/>
      <w:lang w:eastAsia="en-GB"/>
    </w:rPr>
  </w:style>
  <w:style w:type="paragraph" w:customStyle="1" w:styleId="xl63">
    <w:name w:val="xl63"/>
    <w:basedOn w:val="Normal"/>
    <w:rsid w:val="004E3FE0"/>
    <w:pPr>
      <w:spacing w:before="100" w:beforeAutospacing="1" w:after="100" w:afterAutospacing="1"/>
    </w:pPr>
    <w:rPr>
      <w:rFonts w:ascii="Helvetica Neue" w:eastAsia="Times New Roman" w:hAnsi="Helvetica Neue" w:cs="Times New Roman"/>
      <w:b/>
      <w:bCs/>
      <w:color w:val="000000"/>
      <w:sz w:val="20"/>
      <w:szCs w:val="20"/>
      <w:lang w:eastAsia="en-GB"/>
    </w:rPr>
  </w:style>
  <w:style w:type="paragraph" w:customStyle="1" w:styleId="xl64">
    <w:name w:val="xl64"/>
    <w:basedOn w:val="Normal"/>
    <w:rsid w:val="004E3FE0"/>
    <w:pPr>
      <w:spacing w:before="100" w:beforeAutospacing="1" w:after="100" w:afterAutospacing="1"/>
    </w:pPr>
    <w:rPr>
      <w:rFonts w:ascii="Helvetica Neue" w:eastAsia="Times New Roman" w:hAnsi="Helvetica Neue" w:cs="Times New Roman"/>
      <w:color w:val="000000"/>
      <w:sz w:val="20"/>
      <w:szCs w:val="20"/>
      <w:lang w:eastAsia="en-GB"/>
    </w:rPr>
  </w:style>
  <w:style w:type="paragraph" w:customStyle="1" w:styleId="xl65">
    <w:name w:val="xl65"/>
    <w:basedOn w:val="Normal"/>
    <w:rsid w:val="004E3FE0"/>
    <w:pPr>
      <w:spacing w:before="100" w:beforeAutospacing="1" w:after="100" w:afterAutospacing="1"/>
    </w:pPr>
    <w:rPr>
      <w:rFonts w:ascii="Helvetica Neue" w:eastAsia="Times New Roman" w:hAnsi="Helvetica Neue" w:cs="Times New Roman"/>
      <w:b/>
      <w:bCs/>
      <w:color w:val="000000"/>
      <w:sz w:val="20"/>
      <w:szCs w:val="20"/>
      <w:lang w:eastAsia="en-GB"/>
    </w:rPr>
  </w:style>
  <w:style w:type="paragraph" w:customStyle="1" w:styleId="xl66">
    <w:name w:val="xl66"/>
    <w:basedOn w:val="Normal"/>
    <w:rsid w:val="004E3FE0"/>
    <w:pPr>
      <w:spacing w:before="100" w:beforeAutospacing="1" w:after="100" w:afterAutospacing="1"/>
    </w:pPr>
    <w:rPr>
      <w:rFonts w:ascii="Helvetica Neue" w:eastAsia="Times New Roman" w:hAnsi="Helvetica Neue" w:cs="Times New Roman"/>
      <w:color w:val="000000"/>
      <w:sz w:val="20"/>
      <w:szCs w:val="20"/>
      <w:lang w:eastAsia="en-GB"/>
    </w:rPr>
  </w:style>
  <w:style w:type="table" w:styleId="TableGrid">
    <w:name w:val="Table Grid"/>
    <w:basedOn w:val="TableNormal"/>
    <w:uiPriority w:val="39"/>
    <w:rsid w:val="004E3F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67">
    <w:name w:val="xl67"/>
    <w:basedOn w:val="Normal"/>
    <w:rsid w:val="00E629C3"/>
    <w:pPr>
      <w:spacing w:before="100" w:beforeAutospacing="1" w:after="100" w:afterAutospacing="1"/>
    </w:pPr>
    <w:rPr>
      <w:rFonts w:ascii="Helvetica Neue" w:eastAsia="Times New Roman" w:hAnsi="Helvetica Neue" w:cs="Times New Roman"/>
      <w:b/>
      <w:bCs/>
      <w:color w:val="000000"/>
      <w:sz w:val="20"/>
      <w:szCs w:val="20"/>
      <w:lang w:eastAsia="en-GB"/>
    </w:rPr>
  </w:style>
  <w:style w:type="paragraph" w:customStyle="1" w:styleId="xl69">
    <w:name w:val="xl69"/>
    <w:basedOn w:val="Normal"/>
    <w:rsid w:val="00E629C3"/>
    <w:pPr>
      <w:spacing w:before="100" w:beforeAutospacing="1" w:after="100" w:afterAutospacing="1"/>
      <w:jc w:val="center"/>
    </w:pPr>
    <w:rPr>
      <w:rFonts w:ascii="Times New Roman" w:eastAsia="Times New Roman" w:hAnsi="Times New Roman" w:cs="Times New Roman"/>
      <w:lang w:eastAsia="en-GB"/>
    </w:rPr>
  </w:style>
  <w:style w:type="paragraph" w:customStyle="1" w:styleId="xl70">
    <w:name w:val="xl70"/>
    <w:basedOn w:val="Normal"/>
    <w:rsid w:val="00E629C3"/>
    <w:pPr>
      <w:spacing w:before="100" w:beforeAutospacing="1" w:after="100" w:afterAutospacing="1"/>
      <w:jc w:val="center"/>
    </w:pPr>
    <w:rPr>
      <w:rFonts w:ascii="Times New Roman" w:eastAsia="Times New Roman" w:hAnsi="Times New Roman" w:cs="Times New Roman"/>
      <w:b/>
      <w:bCs/>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240872">
      <w:bodyDiv w:val="1"/>
      <w:marLeft w:val="0"/>
      <w:marRight w:val="0"/>
      <w:marTop w:val="0"/>
      <w:marBottom w:val="0"/>
      <w:divBdr>
        <w:top w:val="none" w:sz="0" w:space="0" w:color="auto"/>
        <w:left w:val="none" w:sz="0" w:space="0" w:color="auto"/>
        <w:bottom w:val="none" w:sz="0" w:space="0" w:color="auto"/>
        <w:right w:val="none" w:sz="0" w:space="0" w:color="auto"/>
      </w:divBdr>
    </w:div>
    <w:div w:id="158427008">
      <w:bodyDiv w:val="1"/>
      <w:marLeft w:val="0"/>
      <w:marRight w:val="0"/>
      <w:marTop w:val="0"/>
      <w:marBottom w:val="0"/>
      <w:divBdr>
        <w:top w:val="none" w:sz="0" w:space="0" w:color="auto"/>
        <w:left w:val="none" w:sz="0" w:space="0" w:color="auto"/>
        <w:bottom w:val="none" w:sz="0" w:space="0" w:color="auto"/>
        <w:right w:val="none" w:sz="0" w:space="0" w:color="auto"/>
      </w:divBdr>
    </w:div>
    <w:div w:id="410273716">
      <w:bodyDiv w:val="1"/>
      <w:marLeft w:val="0"/>
      <w:marRight w:val="0"/>
      <w:marTop w:val="0"/>
      <w:marBottom w:val="0"/>
      <w:divBdr>
        <w:top w:val="none" w:sz="0" w:space="0" w:color="auto"/>
        <w:left w:val="none" w:sz="0" w:space="0" w:color="auto"/>
        <w:bottom w:val="none" w:sz="0" w:space="0" w:color="auto"/>
        <w:right w:val="none" w:sz="0" w:space="0" w:color="auto"/>
      </w:divBdr>
    </w:div>
    <w:div w:id="631133961">
      <w:bodyDiv w:val="1"/>
      <w:marLeft w:val="0"/>
      <w:marRight w:val="0"/>
      <w:marTop w:val="0"/>
      <w:marBottom w:val="0"/>
      <w:divBdr>
        <w:top w:val="none" w:sz="0" w:space="0" w:color="auto"/>
        <w:left w:val="none" w:sz="0" w:space="0" w:color="auto"/>
        <w:bottom w:val="none" w:sz="0" w:space="0" w:color="auto"/>
        <w:right w:val="none" w:sz="0" w:space="0" w:color="auto"/>
      </w:divBdr>
    </w:div>
    <w:div w:id="1155993537">
      <w:bodyDiv w:val="1"/>
      <w:marLeft w:val="0"/>
      <w:marRight w:val="0"/>
      <w:marTop w:val="0"/>
      <w:marBottom w:val="0"/>
      <w:divBdr>
        <w:top w:val="none" w:sz="0" w:space="0" w:color="auto"/>
        <w:left w:val="none" w:sz="0" w:space="0" w:color="auto"/>
        <w:bottom w:val="none" w:sz="0" w:space="0" w:color="auto"/>
        <w:right w:val="none" w:sz="0" w:space="0" w:color="auto"/>
      </w:divBdr>
    </w:div>
    <w:div w:id="1676806027">
      <w:bodyDiv w:val="1"/>
      <w:marLeft w:val="0"/>
      <w:marRight w:val="0"/>
      <w:marTop w:val="0"/>
      <w:marBottom w:val="0"/>
      <w:divBdr>
        <w:top w:val="none" w:sz="0" w:space="0" w:color="auto"/>
        <w:left w:val="none" w:sz="0" w:space="0" w:color="auto"/>
        <w:bottom w:val="none" w:sz="0" w:space="0" w:color="auto"/>
        <w:right w:val="none" w:sz="0" w:space="0" w:color="auto"/>
      </w:divBdr>
    </w:div>
    <w:div w:id="2044279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10</Pages>
  <Words>2021</Words>
  <Characters>11522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Andrijevic</dc:creator>
  <cp:keywords/>
  <dc:description/>
  <cp:lastModifiedBy>Marina Andrijevic</cp:lastModifiedBy>
  <cp:revision>2</cp:revision>
  <dcterms:created xsi:type="dcterms:W3CDTF">2020-05-18T07:13:00Z</dcterms:created>
  <dcterms:modified xsi:type="dcterms:W3CDTF">2020-05-19T17:00:00Z</dcterms:modified>
</cp:coreProperties>
</file>