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E6909" w14:textId="17A2328F" w:rsidR="00F125EE" w:rsidRPr="002254CD" w:rsidRDefault="00F125EE" w:rsidP="00DE4E6E">
      <w:pPr>
        <w:rPr>
          <w:szCs w:val="24"/>
        </w:rPr>
        <w:sectPr w:rsidR="00F125EE" w:rsidRPr="002254CD" w:rsidSect="00E853D5">
          <w:headerReference w:type="default" r:id="rId8"/>
          <w:footerReference w:type="default" r:id="rId9"/>
          <w:pgSz w:w="12240" w:h="15840"/>
          <w:pgMar w:top="1440" w:right="1440" w:bottom="1440" w:left="1440" w:header="720" w:footer="720" w:gutter="0"/>
          <w:pgNumType w:start="1"/>
          <w:cols w:space="720"/>
          <w:docGrid w:linePitch="360"/>
        </w:sectPr>
      </w:pPr>
    </w:p>
    <w:p w14:paraId="14C05F61" w14:textId="22EF8EC4" w:rsidR="00FA1481" w:rsidRDefault="00F515FB" w:rsidP="00DE4E6E">
      <w:pPr>
        <w:rPr>
          <w:sz w:val="36"/>
          <w:szCs w:val="36"/>
        </w:rPr>
      </w:pPr>
      <w:r>
        <w:rPr>
          <w:noProof/>
          <w:sz w:val="36"/>
          <w:szCs w:val="36"/>
        </w:rPr>
        <w:lastRenderedPageBreak/>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DE4E6E">
      <w:pPr>
        <w:rPr>
          <w:sz w:val="36"/>
          <w:szCs w:val="36"/>
        </w:rPr>
      </w:pPr>
    </w:p>
    <w:p w14:paraId="33788641" w14:textId="77777777" w:rsidR="00F125EE" w:rsidRDefault="00F125EE" w:rsidP="00DE4E6E">
      <w:pPr>
        <w:jc w:val="center"/>
        <w:rPr>
          <w:sz w:val="36"/>
          <w:szCs w:val="36"/>
        </w:rPr>
      </w:pPr>
    </w:p>
    <w:p w14:paraId="31C337D1" w14:textId="77777777" w:rsidR="00D04BCF" w:rsidRPr="003B40E6" w:rsidRDefault="00BB2D2A" w:rsidP="00DE4E6E">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rsidP="00DE4E6E">
      <w:pPr>
        <w:jc w:val="center"/>
      </w:pPr>
    </w:p>
    <w:p w14:paraId="040D007C" w14:textId="77777777" w:rsidR="003B44B6" w:rsidRPr="003B44B6" w:rsidRDefault="003B44B6" w:rsidP="00DE4E6E">
      <w:pPr>
        <w:jc w:val="center"/>
        <w:rPr>
          <w:sz w:val="28"/>
          <w:szCs w:val="28"/>
        </w:rPr>
      </w:pPr>
      <w:r w:rsidRPr="003B44B6">
        <w:rPr>
          <w:sz w:val="28"/>
          <w:szCs w:val="28"/>
        </w:rPr>
        <w:t>Post-COVID-19 recovery stimulus dwarfs near-term climate change investment needs</w:t>
      </w:r>
    </w:p>
    <w:p w14:paraId="339B31F7" w14:textId="77777777" w:rsidR="00015F74" w:rsidRPr="003B44B6" w:rsidRDefault="00015F74" w:rsidP="00DE4E6E">
      <w:pPr>
        <w:jc w:val="center"/>
        <w:rPr>
          <w:sz w:val="28"/>
          <w:szCs w:val="28"/>
        </w:rPr>
      </w:pPr>
    </w:p>
    <w:p w14:paraId="0648E06D" w14:textId="180D7E20" w:rsidR="000F0DCE" w:rsidRPr="003B44B6" w:rsidRDefault="003B44B6" w:rsidP="00DE4E6E">
      <w:pPr>
        <w:jc w:val="center"/>
        <w:rPr>
          <w:szCs w:val="24"/>
        </w:rPr>
      </w:pPr>
      <w:r w:rsidRPr="003B44B6">
        <w:t xml:space="preserve">Marina Andrijevic, Carl-Friedrich </w:t>
      </w:r>
      <w:proofErr w:type="spellStart"/>
      <w:r w:rsidRPr="003B44B6">
        <w:t>Schleussner</w:t>
      </w:r>
      <w:proofErr w:type="spellEnd"/>
      <w:r w:rsidRPr="003B44B6">
        <w:t xml:space="preserve">, Matthew Gidden, David L. McCollum, </w:t>
      </w:r>
      <w:proofErr w:type="spellStart"/>
      <w:r w:rsidRPr="003B44B6">
        <w:t>Joeri</w:t>
      </w:r>
      <w:proofErr w:type="spellEnd"/>
      <w:r w:rsidRPr="003B44B6">
        <w:t xml:space="preserve"> </w:t>
      </w:r>
      <w:proofErr w:type="spellStart"/>
      <w:r w:rsidRPr="003B44B6">
        <w:t>Rogelj</w:t>
      </w:r>
      <w:proofErr w:type="spellEnd"/>
    </w:p>
    <w:p w14:paraId="34D67477" w14:textId="039A21F0" w:rsidR="004779CB" w:rsidRDefault="00E4519A" w:rsidP="00DE4E6E">
      <w:pPr>
        <w:jc w:val="center"/>
        <w:rPr>
          <w:szCs w:val="24"/>
        </w:rPr>
      </w:pPr>
      <w:r>
        <w:rPr>
          <w:szCs w:val="24"/>
        </w:rPr>
        <w:t xml:space="preserve">Correspondence </w:t>
      </w:r>
      <w:r w:rsidR="004779CB">
        <w:rPr>
          <w:szCs w:val="24"/>
        </w:rPr>
        <w:t>to:</w:t>
      </w:r>
      <w:r w:rsidR="00BC3E04">
        <w:rPr>
          <w:szCs w:val="24"/>
        </w:rPr>
        <w:t xml:space="preserve"> </w:t>
      </w:r>
      <w:hyperlink r:id="rId11" w:history="1">
        <w:r w:rsidR="002254CD" w:rsidRPr="00EA6B6D">
          <w:rPr>
            <w:rStyle w:val="Hyperlink"/>
            <w:szCs w:val="24"/>
          </w:rPr>
          <w:t>marina.andrijevic@hu-berlin.de</w:t>
        </w:r>
      </w:hyperlink>
      <w:r w:rsidR="002254CD">
        <w:rPr>
          <w:szCs w:val="24"/>
        </w:rPr>
        <w:t xml:space="preserve">; </w:t>
      </w:r>
      <w:hyperlink r:id="rId12" w:history="1">
        <w:r w:rsidR="002254CD" w:rsidRPr="00EA6B6D">
          <w:rPr>
            <w:rStyle w:val="Hyperlink"/>
            <w:szCs w:val="24"/>
          </w:rPr>
          <w:t>j.rogelj@imperial.ac.uk</w:t>
        </w:r>
      </w:hyperlink>
    </w:p>
    <w:p w14:paraId="223EBBEB" w14:textId="77777777" w:rsidR="002C030F" w:rsidRDefault="002C030F" w:rsidP="00DE4E6E">
      <w:pPr>
        <w:jc w:val="center"/>
      </w:pPr>
    </w:p>
    <w:p w14:paraId="5BBBF32C" w14:textId="77777777" w:rsidR="00015F74" w:rsidRDefault="00015F74" w:rsidP="00DE4E6E">
      <w:pPr>
        <w:rPr>
          <w:b/>
        </w:rPr>
      </w:pPr>
    </w:p>
    <w:p w14:paraId="546CBFCA" w14:textId="77777777" w:rsidR="002C030F" w:rsidRPr="00262D72" w:rsidRDefault="009743A9" w:rsidP="00DE4E6E">
      <w:pPr>
        <w:rPr>
          <w:b/>
        </w:rPr>
      </w:pPr>
      <w:r>
        <w:rPr>
          <w:b/>
        </w:rPr>
        <w:t xml:space="preserve">This PDF file </w:t>
      </w:r>
      <w:r w:rsidR="002C030F" w:rsidRPr="00262D72">
        <w:rPr>
          <w:b/>
        </w:rPr>
        <w:t>includes:</w:t>
      </w:r>
    </w:p>
    <w:p w14:paraId="6B069C4B" w14:textId="77777777" w:rsidR="002C030F" w:rsidRDefault="002C030F" w:rsidP="00DE4E6E"/>
    <w:p w14:paraId="77A6E95F" w14:textId="77777777" w:rsidR="002C030F" w:rsidRDefault="002C030F" w:rsidP="00DE4E6E">
      <w:pPr>
        <w:ind w:left="720"/>
      </w:pPr>
      <w:r>
        <w:t>Materials and Methods</w:t>
      </w:r>
    </w:p>
    <w:p w14:paraId="7FC81517" w14:textId="2461529D" w:rsidR="002C030F" w:rsidRDefault="002C030F" w:rsidP="00DE4E6E">
      <w:pPr>
        <w:ind w:left="720"/>
      </w:pPr>
      <w:r>
        <w:t>Fig</w:t>
      </w:r>
      <w:r w:rsidR="00A3403B">
        <w:t xml:space="preserve">s. </w:t>
      </w:r>
      <w:r>
        <w:t>S1</w:t>
      </w:r>
      <w:r w:rsidR="00A3403B">
        <w:t xml:space="preserve"> to </w:t>
      </w:r>
      <w:r>
        <w:t>S</w:t>
      </w:r>
      <w:r w:rsidR="002254CD">
        <w:t>8</w:t>
      </w:r>
    </w:p>
    <w:p w14:paraId="39DE064C" w14:textId="7FC58EC4" w:rsidR="002C030F" w:rsidRDefault="002C030F" w:rsidP="00DE4E6E">
      <w:pPr>
        <w:ind w:left="720"/>
      </w:pPr>
      <w:r>
        <w:t>Table S1</w:t>
      </w:r>
    </w:p>
    <w:p w14:paraId="5902ED3D" w14:textId="52665DC6" w:rsidR="002254CD" w:rsidRDefault="002254CD" w:rsidP="00DE4E6E">
      <w:pPr>
        <w:ind w:left="720"/>
      </w:pPr>
      <w:r>
        <w:t>References</w:t>
      </w:r>
    </w:p>
    <w:p w14:paraId="4B448789" w14:textId="77777777" w:rsidR="002C030F" w:rsidRDefault="002C030F" w:rsidP="00DE4E6E"/>
    <w:p w14:paraId="1F1080B1" w14:textId="4B1495FB" w:rsidR="00065EBD" w:rsidRPr="00B57F00" w:rsidRDefault="002C030F" w:rsidP="00DE4E6E">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 the following</w:t>
      </w:r>
      <w:r w:rsidR="00B57F00">
        <w:rPr>
          <w:b/>
        </w:rPr>
        <w:t>:</w:t>
      </w:r>
    </w:p>
    <w:p w14:paraId="5725CBAF" w14:textId="77777777" w:rsidR="002C030F" w:rsidRDefault="002C030F" w:rsidP="00DE4E6E"/>
    <w:p w14:paraId="0A5134F4" w14:textId="3DF8DA9E" w:rsidR="002C030F" w:rsidRDefault="002254CD" w:rsidP="00DE4E6E">
      <w:pPr>
        <w:ind w:left="720"/>
      </w:pPr>
      <w:r>
        <w:t>Data</w:t>
      </w:r>
    </w:p>
    <w:p w14:paraId="0EE7B44C" w14:textId="429067DA" w:rsidR="002254CD" w:rsidRDefault="002254CD" w:rsidP="00DE4E6E">
      <w:pPr>
        <w:ind w:left="720"/>
      </w:pPr>
      <w:r>
        <w:t>R script</w:t>
      </w:r>
    </w:p>
    <w:p w14:paraId="68691C5A" w14:textId="77777777" w:rsidR="00065EBD" w:rsidRDefault="00065EBD" w:rsidP="00DE4E6E">
      <w:pPr>
        <w:ind w:left="720"/>
      </w:pPr>
    </w:p>
    <w:p w14:paraId="23718CE0" w14:textId="77777777" w:rsidR="00015F74" w:rsidRDefault="00015F74" w:rsidP="00DE4E6E">
      <w:pPr>
        <w:ind w:left="720"/>
      </w:pPr>
      <w:r>
        <w:br/>
      </w:r>
    </w:p>
    <w:p w14:paraId="56364198" w14:textId="77777777" w:rsidR="00015F74" w:rsidRDefault="00015F74" w:rsidP="00DE4E6E">
      <w:pPr>
        <w:pStyle w:val="SMHeading"/>
      </w:pPr>
      <w:r>
        <w:br w:type="page"/>
      </w:r>
      <w:bookmarkStart w:id="0" w:name="Tables"/>
      <w:bookmarkStart w:id="1" w:name="MaterialsMethods"/>
      <w:bookmarkEnd w:id="0"/>
      <w:bookmarkEnd w:id="1"/>
      <w:r w:rsidRPr="00B43B31">
        <w:lastRenderedPageBreak/>
        <w:t>Materials and Methods</w:t>
      </w:r>
    </w:p>
    <w:p w14:paraId="7A7F4459" w14:textId="4C84FAA9" w:rsidR="00F74F95" w:rsidRPr="00882200" w:rsidRDefault="0096329F" w:rsidP="00DE4E6E">
      <w:pPr>
        <w:pStyle w:val="SMSubheading"/>
        <w:rPr>
          <w:u w:val="single"/>
        </w:rPr>
      </w:pPr>
      <w:r w:rsidRPr="00882200">
        <w:rPr>
          <w:u w:val="single"/>
        </w:rPr>
        <w:t>Energy system investments</w:t>
      </w:r>
    </w:p>
    <w:p w14:paraId="2490F425" w14:textId="67F3059B" w:rsidR="0096329F" w:rsidRDefault="0096329F" w:rsidP="00DE4E6E">
      <w:pPr>
        <w:pStyle w:val="SMSubheading"/>
      </w:pPr>
    </w:p>
    <w:p w14:paraId="15265408" w14:textId="64D233E4" w:rsidR="00EC553B" w:rsidRDefault="0096329F" w:rsidP="00DE4E6E">
      <w:pPr>
        <w:pStyle w:val="SMSubheading"/>
        <w:rPr>
          <w:u w:val="none"/>
        </w:rPr>
      </w:pPr>
      <w:r w:rsidRPr="0096329F">
        <w:rPr>
          <w:u w:val="none"/>
        </w:rPr>
        <w:t>Energy system investment portfolios</w:t>
      </w:r>
      <w:r>
        <w:rPr>
          <w:u w:val="none"/>
        </w:rPr>
        <w:t xml:space="preserve"> </w:t>
      </w:r>
      <w:r>
        <w:rPr>
          <w:u w:val="none"/>
        </w:rPr>
        <w:fldChar w:fldCharType="begin" w:fldLock="1"/>
      </w:r>
      <w:r>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1</w:t>
      </w:r>
      <w:r w:rsidRPr="0096329F">
        <w:rPr>
          <w:noProof/>
          <w:u w:val="none"/>
        </w:rPr>
        <w:t>)</w:t>
      </w:r>
      <w:r>
        <w:rPr>
          <w:u w:val="none"/>
        </w:rPr>
        <w:fldChar w:fldCharType="end"/>
      </w:r>
      <w:r w:rsidRPr="0096329F">
        <w:rPr>
          <w:u w:val="none"/>
        </w:rPr>
        <w:t xml:space="preserve"> were derived from six global energy-economy</w:t>
      </w:r>
      <w:r w:rsidR="00017FEF">
        <w:rPr>
          <w:u w:val="none"/>
        </w:rPr>
        <w:t>, or ‘integrated assessment’,</w:t>
      </w:r>
      <w:r w:rsidRPr="0096329F">
        <w:rPr>
          <w:u w:val="none"/>
        </w:rPr>
        <w:t xml:space="preserve"> models (IAMs): AIM/CGE</w:t>
      </w:r>
      <w:r>
        <w:rPr>
          <w:u w:val="none"/>
        </w:rPr>
        <w:t xml:space="preserve"> </w:t>
      </w:r>
      <w:r>
        <w:rPr>
          <w:u w:val="none"/>
        </w:rPr>
        <w:fldChar w:fldCharType="begin" w:fldLock="1"/>
      </w:r>
      <w:r w:rsidR="00882200">
        <w:rPr>
          <w:u w:val="none"/>
        </w:rPr>
        <w:instrText>ADDIN CSL_CITATION {"citationItems":[{"id":"ITEM-1","itemData":{"DOI":"10.1007/s12571-014-0375-z","ISSN":"1876-4517","author":[{"dropping-particle":"","family":"Fujimori","given":"Shinichiro","non-dropping-particle":"","parse-names":false,"suffix":""},{"dropping-particle":"","family":"Hasegawa","given":"Tomoko","non-dropping-particle":"","parse-names":false,"suffix":""},{"dropping-particle":"","family":"Masui","given":"Toshihiko","non-dropping-particle":"","parse-names":false,"suffix":""},{"dropping-particle":"","family":"Takahashi","given":"Kiyoshi","non-dropping-particle":"","parse-names":false,"suffix":""}],"container-title":"Food Security","id":"ITEM-1","issue":"5","issued":{"date-parts":[["2014","10","13"]]},"page":"685-699","title":"Land use representation in a global CGE model for long-term simulation: CET vs. logit functions","type":"article-journal","volume":"6"},"uris":["http://www.mendeley.com/documents/?uuid=30341e9d-770b-4cde-b874-cd2db0337f9a"]}],"mendeley":{"formattedCitation":"(&lt;i&gt;2&lt;/i&gt;)","plainTextFormattedCitation":"(2)","previouslyFormattedCitation":"(&lt;i&gt;2&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2</w:t>
      </w:r>
      <w:r w:rsidRPr="0096329F">
        <w:rPr>
          <w:noProof/>
          <w:u w:val="none"/>
        </w:rPr>
        <w:t>)</w:t>
      </w:r>
      <w:r>
        <w:rPr>
          <w:u w:val="none"/>
        </w:rPr>
        <w:fldChar w:fldCharType="end"/>
      </w:r>
      <w:r>
        <w:rPr>
          <w:u w:val="none"/>
        </w:rPr>
        <w:t xml:space="preserve">, </w:t>
      </w:r>
      <w:r w:rsidRPr="0096329F">
        <w:rPr>
          <w:u w:val="none"/>
        </w:rPr>
        <w:t xml:space="preserve">IMAGE </w:t>
      </w:r>
      <w:r w:rsidR="00882200">
        <w:rPr>
          <w:u w:val="none"/>
        </w:rPr>
        <w:fldChar w:fldCharType="begin" w:fldLock="1"/>
      </w:r>
      <w:r w:rsidR="00882200">
        <w:rPr>
          <w:u w:val="none"/>
        </w:rPr>
        <w:instrText>ADDIN CSL_CITATION {"citationItems":[{"id":"ITEM-1","itemData":{"author":[{"dropping-particle":"","family":"Stehfest","given":"Elke","non-dropping-particle":"","parse-names":false,"suffix":""},{"dropping-particle":"","family":"Vuuren","given":"Detlef","non-dropping-particle":"van","parse-names":false,"suffix":""},{"dropping-particle":"","family":"Kram","given":"Tom","non-dropping-particle":"","parse-names":false,"suffix":""},{"dropping-particle":"","family":"Bouwman","given":"Lex","non-dropping-particle":"","parse-names":false,"suffix":""},{"dropping-particle":"","family":"Alkemade","given":"Rob","non-dropping-particle":"","parse-names":false,"suffix":""},{"dropping-particle":"","family":"Bakkenes","given":"Michel","non-dropping-particle":"","parse-names":false,"suffix":""},{"dropping-particle":"","family":"Biemans","given":"Hester","non-dropping-particle":"","parse-names":false,"suffix":""},{"dropping-particle":"","family":"Bouwman","given":"Arno","non-dropping-particle":"","parse-names":false,"suffix":""},{"dropping-particle":"","family":"Elzen","given":"Michel","non-dropping-particle":"den","parse-names":false,"suffix":""},{"dropping-particle":"","family":"Janse","given":"Jan","non-dropping-particle":"","parse-names":false,"suffix":""},{"dropping-particle":"","family":"Lucas","given":"Paul","non-dropping-particle":"","parse-names":false,"suffix":""},{"dropping-particle":"","family":"Minnen","given":"Jelle","non-dropping-particle":"van","parse-names":false,"suffix":""},{"dropping-particle":"","family":"Müller","given":"Christoph","non-dropping-particle":"","parse-names":false,"suffix":""},{"dropping-particle":"","family":"Prins","given":"Anne Gerdien","non-dropping-particle":"","parse-names":false,"suffix":""}],"id":"ITEM-1","issued":{"date-parts":[["2014"]]},"title":"Integrated Assessmnet of Global Environmental Change with IMAGE 3.0. Model Description and Policy Applications","type":"report"},"uris":["http://www.mendeley.com/documents/?uuid=45db7231-17f9-4cf0-846e-dde8e8b73bac"]}],"mendeley":{"formattedCitation":"(&lt;i&gt;3&lt;/i&gt;)","plainTextFormattedCitation":"(3)","previouslyFormattedCitation":"(&lt;i&gt;3&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3</w:t>
      </w:r>
      <w:r w:rsidR="00882200" w:rsidRPr="00882200">
        <w:rPr>
          <w:noProof/>
          <w:u w:val="none"/>
        </w:rPr>
        <w:t>)</w:t>
      </w:r>
      <w:r w:rsidR="00882200">
        <w:rPr>
          <w:u w:val="none"/>
        </w:rPr>
        <w:fldChar w:fldCharType="end"/>
      </w:r>
      <w:r w:rsidR="00882200">
        <w:rPr>
          <w:u w:val="none"/>
        </w:rPr>
        <w:t xml:space="preserve">, </w:t>
      </w:r>
      <w:proofErr w:type="spellStart"/>
      <w:r w:rsidRPr="0096329F">
        <w:rPr>
          <w:u w:val="none"/>
        </w:rPr>
        <w:t>MESSAGEix</w:t>
      </w:r>
      <w:proofErr w:type="spellEnd"/>
      <w:r w:rsidRPr="0096329F">
        <w:rPr>
          <w:u w:val="none"/>
        </w:rPr>
        <w:t>-GLOBIOM</w:t>
      </w:r>
      <w:r w:rsidR="00882200">
        <w:rPr>
          <w:u w:val="none"/>
        </w:rPr>
        <w:t xml:space="preserve"> </w:t>
      </w:r>
      <w:r w:rsidR="00882200">
        <w:rPr>
          <w:u w:val="none"/>
        </w:rPr>
        <w:fldChar w:fldCharType="begin" w:fldLock="1"/>
      </w:r>
      <w:r w:rsidR="00882200">
        <w:rPr>
          <w:u w:val="none"/>
        </w:rPr>
        <w:instrText>ADDIN CSL_CITATION {"citationItems":[{"id":"ITEM-1","itemData":{"author":[{"dropping-particle":"","family":"Krey","given":"V","non-dropping-particle":"","parse-names":false,"suffix":""},{"dropping-particle":"","family":"Havlik","given":"P","non-dropping-particle":"","parse-names":false,"suffix":""},{"dropping-particle":"","family":"Fricko","given":"O","non-dropping-particle":"","parse-names":false,"suffix":""},{"dropping-particle":"","family":"Zilliacus","given":"J","non-dropping-particle":"","parse-names":false,"suffix":""},{"dropping-particle":"","family":"Gidden","given":"M","non-dropping-particle":"","parse-names":false,"suffix":""},{"dropping-particle":"","family":"Strubegger","given":"M","non-dropping-particle":"","parse-names":false,"suffix":""},{"dropping-particle":"","family":"Kartasasmita","given":"G","non-dropping-particle":"","parse-names":false,"suffix":""},{"dropping-particle":"","family":"Ermolieva","given":"T","non-dropping-particle":"","parse-names":false,"suffix":""},{"dropping-particle":"","family":"Forsell","given":"N","non-dropping-particle":"","parse-names":false,"suffix":""},{"dropping-particle":"","family":"Gusti","given":"M","non-dropping-particle":"","parse-names":false,"suffix":""},{"dropping-particle":"","family":"Johnson","given":"N","non-dropping-particle":"","parse-names":false,"suffix":""},{"dropping-particle":"","family":"Kindermann","given":"G","non-dropping-particle":"","parse-names":false,"suffix":""},{"dropping-particle":"","family":"Kolp","given":"P","non-dropping-particle":"","parse-names":false,"suffix":""},{"dropping-particle":"","family":"McCollum","given":"DL","non-dropping-particle":"","parse-names":false,"suffix":""},{"dropping-particle":"","family":"Pachauri","given":"S","non-dropping-particle":"","parse-names":false,"suffix":""},{"dropping-particle":"","family":"Rao","given":"S","non-dropping-particle":"","parse-names":false,"suffix":""},{"dropping-particle":"","family":"Rogelj","given":"J","non-dropping-particle":"","parse-names":false,"suffix":""},{"dropping-particle":"","family":"Valin","given":"H","non-dropping-particle":"","parse-names":false,"suffix":""},{"dropping-particle":"","family":"Obersteiner","given":"M","non-dropping-particle":"","parse-names":false,"suffix":""},{"dropping-particle":"","family":"Riahi","given":"KG","non-dropping-particle":"","parse-names":false,"suffix":""}],"id":"ITEM-1","issued":{"date-parts":[["2016"]]},"title":"MESSAGE-GLOBIOM 1.0 Documentation","type":"report"},"uris":["http://www.mendeley.com/documents/?uuid=58a0e64d-14b5-4fdc-9bf6-6942652b4a4a"]}],"mendeley":{"formattedCitation":"(&lt;i&gt;4&lt;/i&gt;)","plainTextFormattedCitation":"(4)","previouslyFormattedCitation":"(&lt;i&gt;4&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4</w:t>
      </w:r>
      <w:r w:rsidR="00882200" w:rsidRPr="00882200">
        <w:rPr>
          <w:noProof/>
          <w:u w:val="none"/>
        </w:rPr>
        <w:t>)</w:t>
      </w:r>
      <w:r w:rsidR="00882200">
        <w:rPr>
          <w:u w:val="none"/>
        </w:rPr>
        <w:fldChar w:fldCharType="end"/>
      </w:r>
      <w:r w:rsidRPr="0096329F">
        <w:rPr>
          <w:u w:val="none"/>
        </w:rPr>
        <w:t xml:space="preserve">, POLES </w:t>
      </w:r>
      <w:r w:rsidR="00882200">
        <w:rPr>
          <w:u w:val="none"/>
        </w:rPr>
        <w:fldChar w:fldCharType="begin" w:fldLock="1"/>
      </w:r>
      <w:r w:rsidR="00882200">
        <w:rPr>
          <w:u w:val="none"/>
        </w:rPr>
        <w:instrText>ADDIN CSL_CITATION {"citationItems":[{"id":"ITEM-1","itemData":{"DOI":"10.1016/j.techfore.2014.05.005","ISSN":"00401625","author":[{"dropping-particle":"","family":"Criqui","given":"P.","non-dropping-particle":"","parse-names":false,"suffix":""},{"dropping-particle":"","family":"Mima","given":"S.","non-dropping-particle":"","parse-names":false,"suffix":""},{"dropping-particle":"","family":"Menanteau","given":"P.","non-dropping-particle":"","parse-names":false,"suffix":""},{"dropping-particle":"","family":"Kitous","given":"A.","non-dropping-particle":"","parse-names":false,"suffix":""}],"container-title":"Technological Forecasting and Social Change","id":"ITEM-1","issued":{"date-parts":[["2015","1"]]},"page":"119-136","title":"Mitigation strategies and energy technology learning: An assessment with the POLES model","type":"article-journal","volume":"90"},"uris":["http://www.mendeley.com/documents/?uuid=23702bd7-3a6e-44c5-8e82-d53321d0d461"]}],"mendeley":{"formattedCitation":"(&lt;i&gt;5&lt;/i&gt;)","plainTextFormattedCitation":"(5)","previouslyFormattedCitation":"(&lt;i&gt;5&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5</w:t>
      </w:r>
      <w:r w:rsidR="00882200" w:rsidRPr="00882200">
        <w:rPr>
          <w:noProof/>
          <w:u w:val="none"/>
        </w:rPr>
        <w:t>)</w:t>
      </w:r>
      <w:r w:rsidR="00882200">
        <w:rPr>
          <w:u w:val="none"/>
        </w:rPr>
        <w:fldChar w:fldCharType="end"/>
      </w:r>
      <w:r w:rsidR="00882200">
        <w:rPr>
          <w:u w:val="none"/>
        </w:rPr>
        <w:t>,</w:t>
      </w:r>
      <w:r w:rsidRPr="0096329F">
        <w:rPr>
          <w:u w:val="none"/>
        </w:rPr>
        <w:t>REMIND-</w:t>
      </w:r>
      <w:proofErr w:type="spellStart"/>
      <w:r w:rsidRPr="0096329F">
        <w:rPr>
          <w:u w:val="none"/>
        </w:rPr>
        <w:t>MAgPIE</w:t>
      </w:r>
      <w:proofErr w:type="spellEnd"/>
      <w:r w:rsidR="00882200">
        <w:rPr>
          <w:u w:val="none"/>
        </w:rPr>
        <w:t xml:space="preserve"> </w:t>
      </w:r>
      <w:r w:rsidR="00882200">
        <w:rPr>
          <w:u w:val="none"/>
        </w:rPr>
        <w:fldChar w:fldCharType="begin" w:fldLock="1"/>
      </w:r>
      <w:r w:rsidR="00882200">
        <w:rPr>
          <w:u w:val="none"/>
        </w:rPr>
        <w:instrText>ADDIN CSL_CITATION {"citationItems":[{"id":"ITEM-1","itemData":{"DOI":"10.1016/j.gloenvcha.2016.05.015","ISBN":"0959-3780","ISSN":"09593780","abstract":"This paper presents a set of energy and resource intensive scenarios based on the concept of Shared Socio-Economic Pathways (SSPs). The scenario family is characterized by rapid and fossil-fueled development with high socio-economic challenges to mitigation and low socio-economic challenges to adaptation (SSP5). A special focus is placed on the SSP5 marker scenario developed by the REMIND-MAgPIE integrated assessment modeling framework. The SSP5 baseline scenarios exhibit very high levels of fossil fuel use, up to a doubling of global food demand, and up to a tripling of energy demand and greenhouse gas emissions over the course of the century, marking the upper end of the scenario literature in several dimensions. These scenarios are currently the only SSP scenarios that result in a radiative forcing pathway as high as the highest Representative Concentration Pathway (RCP8.5). This paper further investigates the direct impact of mitigation policies on the SSP5 energy, land and emissions dynamics confirming high socio-economic challenges to mitigation in SSP5. Nonetheless, mitigation policies reaching climate forcing levels as low as in the lowest Representative Concentration Pathway (RCP2.6) are accessible in SSP5. The SSP5 scenarios presented in this paper aim to provide useful reference points for future climate change, climate impact, adaption and mitigation analysis, and broader questions of sustainable development.","author":[{"dropping-particle":"","family":"Kriegler","given":"Elmar","non-dropping-particle":"","parse-names":false,"suffix":""},{"dropping-particle":"","family":"Bauer","given":"Nico","non-dropping-particle":"","parse-names":false,"suffix":""},{"dropping-particle":"","family":"Popp","given":"Alexander","non-dropping-particle":"","parse-names":false,"suffix":""},{"dropping-particle":"","family":"Humpenöder","given":"Florian","non-dropping-particle":"","parse-names":false,"suffix":""},{"dropping-particle":"","family":"Leimbach","given":"Marian","non-dropping-particle":"","parse-names":false,"suffix":""},{"dropping-particle":"","family":"Strefler","given":"Jessica","non-dropping-particle":"","parse-names":false,"suffix":""},{"dropping-particle":"","family":"Baumstark","given":"Lavinia","non-dropping-particle":"","parse-names":false,"suffix":""},{"dropping-particle":"","family":"Bodirsky","given":"Benjamin Leon","non-dropping-particle":"","parse-names":false,"suffix":""},{"dropping-particle":"","family":"Hilaire","given":"Jérôme","non-dropping-particle":"","parse-names":false,"suffix":""},{"dropping-particle":"","family":"Klein","given":"David","non-dropping-particle":"","parse-names":false,"suffix":""},{"dropping-particle":"","family":"Mouratiadou","given":"Ioanna","non-dropping-particle":"","parse-names":false,"suffix":""},{"dropping-particle":"","family":"Weindl","given":"Isabelle","non-dropping-particle":"","parse-names":false,"suffix":""},{"dropping-particle":"","family":"Bertram","given":"Christoph","non-dropping-particle":"","parse-names":false,"suffix":""},{"dropping-particle":"","family":"Dietrich","given":"Jan Philipp","non-dropping-particle":"","parse-names":false,"suffix":""},{"dropping-particle":"","family":"Luderer","given":"Gunnar","non-dropping-particle":"","parse-names":false,"suffix":""},{"dropping-particle":"","family":"Pehl","given":"Michaja","non-dropping-particle":"","parse-names":false,"suffix":""},{"dropping-particle":"","family":"Pietzcker","given":"Robert","non-dropping-particle":"","parse-names":false,"suffix":""},{"dropping-particle":"","family":"Piontek","given":"Franziska","non-dropping-particle":"","parse-names":false,"suffix":""},{"dropping-particle":"","family":"Lotze-Campen","given":"Hermann","non-dropping-particle":"","parse-names":false,"suffix":""},{"dropping-particle":"","family":"Biewald","given":"Anne","non-dropping-particle":"","parse-names":false,"suffix":""},{"dropping-particle":"","family":"Bonsch","given":"Markus","non-dropping-particle":"","parse-names":false,"suffix":""},{"dropping-particle":"","family":"Giannousakis","given":"Anastasis","non-dropping-particle":"","parse-names":false,"suffix":""},{"dropping-particle":"","family":"Kreidenweis","given":"Ulrich","non-dropping-particle":"","parse-names":false,"suffix":""},{"dropping-particle":"","family":"Müller","given":"Christoph","non-dropping-particle":"","parse-names":false,"suffix":""},{"dropping-particle":"","family":"Rolinski","given":"Susanne","non-dropping-particle":"","parse-names":false,"suffix":""},{"dropping-particle":"","family":"Schultes","given":"Anselm","non-dropping-particle":"","parse-names":false,"suffix":""},{"dropping-particle":"","family":"Schwanitz","given":"Jana","non-dropping-particle":"","parse-names":false,"suffix":""},{"dropping-particle":"","family":"Stevanovic","given":"Miodrag","non-dropping-particle":"","parse-names":false,"suffix":""},{"dropping-particle":"","family":"Calvin","given":"Katherine","non-dropping-particle":"","parse-names":false,"suffix":""},{"dropping-particle":"","family":"Emmerling","given":"Johannes","non-dropping-particle":"","parse-names":false,"suffix":""},{"dropping-particle":"","family":"Fujimori","given":"Shinichiro","non-dropping-particle":"","parse-names":false,"suffix":""},{"dropping-particle":"","family":"Edenhofer","given":"Ottmar","non-dropping-particle":"","parse-names":false,"suffix":""}],"container-title":"Global Environmental Change","id":"ITEM-1","issued":{"date-parts":[["2017"]]},"page":"297-315","title":"Fossil-fueled development (SSP5): An energy and resource intensive scenario for the 21st century","type":"article-journal","volume":"42"},"uris":["http://www.mendeley.com/documents/?uuid=1fcd391c-2401-4641-90e7-a065dc28211d"]}],"mendeley":{"formattedCitation":"(&lt;i&gt;6&lt;/i&gt;)","plainTextFormattedCitation":"(6)","previouslyFormattedCitation":"(&lt;i&gt;6&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6</w:t>
      </w:r>
      <w:r w:rsidR="00882200" w:rsidRPr="00882200">
        <w:rPr>
          <w:noProof/>
          <w:u w:val="none"/>
        </w:rPr>
        <w:t>)</w:t>
      </w:r>
      <w:r w:rsidR="00882200">
        <w:rPr>
          <w:u w:val="none"/>
        </w:rPr>
        <w:fldChar w:fldCharType="end"/>
      </w:r>
      <w:r w:rsidR="00882200">
        <w:rPr>
          <w:u w:val="none"/>
        </w:rPr>
        <w:t xml:space="preserve">, </w:t>
      </w:r>
      <w:r w:rsidRPr="0096329F">
        <w:rPr>
          <w:u w:val="none"/>
        </w:rPr>
        <w:t>and WITCH-GLOBIOM</w:t>
      </w:r>
      <w:r w:rsidR="00882200">
        <w:rPr>
          <w:u w:val="none"/>
        </w:rPr>
        <w:t xml:space="preserve"> </w:t>
      </w:r>
      <w:r w:rsidR="00882200">
        <w:rPr>
          <w:u w:val="none"/>
        </w:rPr>
        <w:fldChar w:fldCharType="begin" w:fldLock="1"/>
      </w:r>
      <w:r w:rsidR="00882200">
        <w:rPr>
          <w:u w:val="none"/>
        </w:rPr>
        <w:instrText>ADDIN CSL_CITATION {"citationItems":[{"id":"ITEM-1","itemData":{"abstract":"The need for a better understanding of future energy scenarios, of their compatibility with the objective of stabilizing greenhouse gas concentrations, and of their links with climate policy, calls for the development of hybrid models. Hybrid because both the technological detail typical of Bottom Up (BU) models and the long run dynamics typical of Top Down (TD) models are crucially necessary. We present WITCH � World Induced Technical Change Hybrid model�� a neoclassical optimal growth model (TD) with energy input detail (BU). The model endogenously accounts for technological progress, both through learning curves affecting prices of new vintages of capital and through R&amp;amp;D investments. In addition, the model captures the main economic interrelationships between world regions and is designed to analyze the optimal economic and environment policies in each world region as the outcome of a dynamic game. This paper provides a detailed description of the WITCH model, of its baseline, and of the model calibration procedure.","author":[{"dropping-particle":"","family":"Bosetti","given":"Valentina","non-dropping-particle":"","parse-names":false,"suffix":""},{"dropping-particle":"","family":"Carraro","given":"Carlo","non-dropping-particle":"","parse-names":false,"suffix":""},{"dropping-particle":"","family":"Galeotti","given":"Marzio","non-dropping-particle":"","parse-names":false,"suffix":""},{"dropping-particle":"","family":"Massetti","given":"Emanuele","non-dropping-particle":"","parse-names":false,"suffix":""},{"dropping-particle":"","family":"Tavoni","given":"Massimo","non-dropping-particle":"","parse-names":false,"suffix":""}],"id":"ITEM-1","issue":"2006_46","issued":{"date-parts":[["2006"]]},"title":"WITCH. A World Induced Technical Change Hybrid Model","type":"report"},"uris":["http://www.mendeley.com/documents/?uuid=aabb4c2c-ca0b-4ca2-b9e0-e2626c1d3ace"]}],"mendeley":{"formattedCitation":"(&lt;i&gt;7&lt;/i&gt;)","plainTextFormattedCitation":"(7)","previouslyFormattedCitation":"(&lt;i&gt;7&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7</w:t>
      </w:r>
      <w:r w:rsidR="00882200" w:rsidRPr="00882200">
        <w:rPr>
          <w:noProof/>
          <w:u w:val="none"/>
        </w:rPr>
        <w:t>)</w:t>
      </w:r>
      <w:r w:rsidR="00882200">
        <w:rPr>
          <w:u w:val="none"/>
        </w:rPr>
        <w:fldChar w:fldCharType="end"/>
      </w:r>
      <w:r w:rsidR="00882200">
        <w:rPr>
          <w:u w:val="none"/>
        </w:rPr>
        <w:t>.</w:t>
      </w:r>
      <w:r w:rsidR="00EC553B">
        <w:rPr>
          <w:u w:val="none"/>
        </w:rPr>
        <w:t xml:space="preserve"> In this analysis we</w:t>
      </w:r>
      <w:r w:rsidRPr="0096329F">
        <w:rPr>
          <w:u w:val="none"/>
        </w:rPr>
        <w:t xml:space="preserve"> focus on</w:t>
      </w:r>
      <w:r w:rsidR="00EC553B">
        <w:rPr>
          <w:u w:val="none"/>
        </w:rPr>
        <w:t xml:space="preserve"> the near-term</w:t>
      </w:r>
      <w:r w:rsidRPr="0096329F">
        <w:rPr>
          <w:u w:val="none"/>
        </w:rPr>
        <w:t xml:space="preserve"> </w:t>
      </w:r>
      <w:r w:rsidR="00EC553B">
        <w:rPr>
          <w:u w:val="none"/>
        </w:rPr>
        <w:t xml:space="preserve">(2020-2024) </w:t>
      </w:r>
      <w:r w:rsidRPr="0096329F">
        <w:rPr>
          <w:u w:val="none"/>
        </w:rPr>
        <w:t>investment</w:t>
      </w:r>
      <w:r w:rsidR="00EC553B">
        <w:rPr>
          <w:u w:val="none"/>
        </w:rPr>
        <w:t xml:space="preserve"> needs</w:t>
      </w:r>
      <w:r w:rsidRPr="0096329F">
        <w:rPr>
          <w:u w:val="none"/>
        </w:rPr>
        <w:t xml:space="preserve"> under </w:t>
      </w:r>
      <w:r w:rsidR="00017FEF">
        <w:rPr>
          <w:u w:val="none"/>
        </w:rPr>
        <w:t>a</w:t>
      </w:r>
      <w:r w:rsidR="00017FEF" w:rsidRPr="0096329F">
        <w:rPr>
          <w:u w:val="none"/>
        </w:rPr>
        <w:t xml:space="preserve"> </w:t>
      </w:r>
      <w:r w:rsidRPr="0096329F">
        <w:rPr>
          <w:u w:val="none"/>
        </w:rPr>
        <w:t>current policies</w:t>
      </w:r>
      <w:r w:rsidR="00017FEF">
        <w:rPr>
          <w:u w:val="none"/>
        </w:rPr>
        <w:t xml:space="preserve"> scenario</w:t>
      </w:r>
      <w:r w:rsidRPr="0096329F">
        <w:rPr>
          <w:u w:val="none"/>
        </w:rPr>
        <w:t xml:space="preserve"> (</w:t>
      </w:r>
      <w:r w:rsidR="00017FEF">
        <w:rPr>
          <w:u w:val="none"/>
        </w:rPr>
        <w:t>i.e.,</w:t>
      </w:r>
      <w:r w:rsidRPr="0096329F">
        <w:rPr>
          <w:u w:val="none"/>
        </w:rPr>
        <w:t xml:space="preserve"> each model’s baseline) and on</w:t>
      </w:r>
      <w:r w:rsidR="00017FEF">
        <w:rPr>
          <w:u w:val="none"/>
        </w:rPr>
        <w:t xml:space="preserve"> the</w:t>
      </w:r>
      <w:r w:rsidRPr="0096329F">
        <w:rPr>
          <w:u w:val="none"/>
        </w:rPr>
        <w:t xml:space="preserve"> upscaling requirements for</w:t>
      </w:r>
      <w:r w:rsidR="00017FEF">
        <w:rPr>
          <w:u w:val="none"/>
        </w:rPr>
        <w:t xml:space="preserve"> moving toward an</w:t>
      </w:r>
      <w:r w:rsidRPr="0096329F">
        <w:rPr>
          <w:u w:val="none"/>
        </w:rPr>
        <w:t xml:space="preserve"> energy system compatible with the 1.5</w:t>
      </w:r>
      <w:r w:rsidRPr="0096329F">
        <w:rPr>
          <w:u w:val="none"/>
        </w:rPr>
        <w:sym w:font="Symbol" w:char="F0B0"/>
      </w:r>
      <w:r w:rsidRPr="0096329F">
        <w:rPr>
          <w:u w:val="none"/>
        </w:rPr>
        <w:t>C target of the Paris Agreement. The models cover different types of energy technologies, including resource extraction, power generation, fuel conversion, transmission, energy storage and end-use demand services. We group these technologies into two broad sectors</w:t>
      </w:r>
      <w:r w:rsidR="00017FEF">
        <w:rPr>
          <w:u w:val="none"/>
        </w:rPr>
        <w:t xml:space="preserve"> for our investments analysis</w:t>
      </w:r>
      <w:r w:rsidRPr="0096329F">
        <w:rPr>
          <w:u w:val="none"/>
        </w:rPr>
        <w:t>:</w:t>
      </w:r>
    </w:p>
    <w:p w14:paraId="42055B54" w14:textId="04437B8D" w:rsidR="00EC553B" w:rsidRDefault="0096329F" w:rsidP="00DE4E6E">
      <w:pPr>
        <w:pStyle w:val="SMSubheading"/>
        <w:numPr>
          <w:ilvl w:val="0"/>
          <w:numId w:val="11"/>
        </w:numPr>
        <w:rPr>
          <w:u w:val="none"/>
        </w:rPr>
      </w:pPr>
      <w:r w:rsidRPr="0096329F">
        <w:rPr>
          <w:u w:val="none"/>
        </w:rPr>
        <w:t>fossil fuels</w:t>
      </w:r>
      <w:r w:rsidR="00EC553B">
        <w:rPr>
          <w:b/>
          <w:bCs/>
          <w:u w:val="none"/>
        </w:rPr>
        <w:t xml:space="preserve">: </w:t>
      </w:r>
      <w:r w:rsidRPr="0096329F">
        <w:rPr>
          <w:u w:val="none"/>
        </w:rPr>
        <w:t>extraction and conversion of fossil fuels, electricity from fossil fuels without Carbon Capture and Storage (CCS) technologies and hydrogen from fossil fuels</w:t>
      </w:r>
    </w:p>
    <w:p w14:paraId="6FC72904" w14:textId="3B5866A0" w:rsidR="00EC553B" w:rsidRPr="002C5DE8" w:rsidRDefault="0096329F" w:rsidP="00DE4E6E">
      <w:pPr>
        <w:pStyle w:val="SMSubheading"/>
        <w:numPr>
          <w:ilvl w:val="0"/>
          <w:numId w:val="11"/>
        </w:numPr>
        <w:rPr>
          <w:u w:val="none"/>
        </w:rPr>
      </w:pPr>
      <w:r w:rsidRPr="0096329F">
        <w:rPr>
          <w:u w:val="none"/>
        </w:rPr>
        <w:t>low carbon sources</w:t>
      </w:r>
      <w:r w:rsidR="00EC553B">
        <w:rPr>
          <w:b/>
          <w:bCs/>
          <w:u w:val="none"/>
        </w:rPr>
        <w:t xml:space="preserve">: </w:t>
      </w:r>
      <w:r w:rsidRPr="0096329F">
        <w:rPr>
          <w:u w:val="none"/>
        </w:rPr>
        <w:t>extraction and conversion of nuclear energy, CCS, electricity from non-bio renewables, hydrogen from non-fossil fuels, extraction and conversion of bioenergy, electricity transmission and distribution and storage, and energy efficienc</w:t>
      </w:r>
      <w:r w:rsidR="002C5DE8">
        <w:rPr>
          <w:u w:val="none"/>
        </w:rPr>
        <w:t>y</w:t>
      </w:r>
    </w:p>
    <w:p w14:paraId="3D456583" w14:textId="77777777" w:rsidR="002C5DE8" w:rsidRDefault="002C5DE8" w:rsidP="00DE4E6E">
      <w:pPr>
        <w:pStyle w:val="SMSubheading"/>
        <w:rPr>
          <w:u w:val="none"/>
        </w:rPr>
      </w:pPr>
    </w:p>
    <w:p w14:paraId="71A8C29E" w14:textId="6F1DAA63" w:rsidR="00017FEF" w:rsidRPr="00F33CF5" w:rsidRDefault="00017FEF" w:rsidP="00017FEF">
      <w:pPr>
        <w:pStyle w:val="SMSubheading"/>
        <w:rPr>
          <w:u w:val="none"/>
        </w:rPr>
      </w:pPr>
      <w:r w:rsidRPr="00F33CF5">
        <w:rPr>
          <w:u w:val="none"/>
        </w:rPr>
        <w:t xml:space="preserve">In this analysis, for purposes of quantifying highly uncertain ‘demand-side’, or ‘energy efficiency-increasing’ investments, we inherit the methodology of McCollum et al. (2018), the original source for all of our energy investment numbers. That study calculated demand-side energy efficiency investments across the end-use sectors (buildings, transport, industry) in a harmonized way for each of the global models. The calculations take into account two separate, additive components: (1) base-year energy efficiency and (2) supply-side offset. The base-year component is calculated by taking the level of energy efficiency investments estimated globally by </w:t>
      </w:r>
      <w:r>
        <w:rPr>
          <w:u w:val="none"/>
        </w:rPr>
        <w:t>the International Energy Agency</w:t>
      </w:r>
      <w:r w:rsidRPr="00F33CF5">
        <w:rPr>
          <w:u w:val="none"/>
        </w:rPr>
        <w:t xml:space="preserve"> in 2015 and then scaling those efficiency investments with total final energy demand in the models’ scenarios going forward. The supply-side offset component compares total final energy demand for a given model in a policy scenario (e.g., 1.5</w:t>
      </w:r>
      <w:r w:rsidRPr="0096329F">
        <w:rPr>
          <w:u w:val="none"/>
        </w:rPr>
        <w:sym w:font="Symbol" w:char="F0B0"/>
      </w:r>
      <w:r w:rsidRPr="00F33CF5">
        <w:rPr>
          <w:u w:val="none"/>
        </w:rPr>
        <w:t>C) to that model’s demand in the reference case, and then assumes that, in equilibrium, the investments made to reduce energy demand can be equated to investments that are simultaneously being offset on the supply side. Such an approximation, which is a first-order approximation to be sure, implicitly includes both technological (e.g., air conditioner efficiency) and systems (e.g., urban land use and transit) changes that could allow for less energy-intensive lifestyles than today. Based on this methodology, however, investments into individual demand-side measures cannot be tracked explicitly.</w:t>
      </w:r>
    </w:p>
    <w:p w14:paraId="723F152A" w14:textId="77777777" w:rsidR="00017FEF" w:rsidRPr="00C5781D" w:rsidRDefault="00017FEF" w:rsidP="00017FEF">
      <w:pPr>
        <w:pStyle w:val="SMSubheading"/>
        <w:rPr>
          <w:u w:val="single"/>
        </w:rPr>
      </w:pPr>
    </w:p>
    <w:p w14:paraId="21AB49D5" w14:textId="074697EA" w:rsidR="00E97569" w:rsidRPr="0096329F" w:rsidRDefault="00017FEF" w:rsidP="00DE4E6E">
      <w:pPr>
        <w:pStyle w:val="SMSubheading"/>
        <w:rPr>
          <w:u w:val="none"/>
        </w:rPr>
      </w:pPr>
      <w:r>
        <w:rPr>
          <w:u w:val="none"/>
        </w:rPr>
        <w:t>All</w:t>
      </w:r>
      <w:r w:rsidRPr="0096329F">
        <w:rPr>
          <w:u w:val="none"/>
        </w:rPr>
        <w:t xml:space="preserve"> </w:t>
      </w:r>
      <w:r w:rsidR="0096329F" w:rsidRPr="0096329F">
        <w:rPr>
          <w:u w:val="none"/>
        </w:rPr>
        <w:t xml:space="preserve">investment </w:t>
      </w:r>
      <w:r>
        <w:rPr>
          <w:u w:val="none"/>
        </w:rPr>
        <w:t xml:space="preserve">estimates from </w:t>
      </w:r>
      <w:r w:rsidRPr="00F33CF5">
        <w:rPr>
          <w:u w:val="none"/>
        </w:rPr>
        <w:t>McCollum et al. (2018)</w:t>
      </w:r>
      <w:r w:rsidRPr="0096329F">
        <w:rPr>
          <w:u w:val="none"/>
        </w:rPr>
        <w:t xml:space="preserve"> </w:t>
      </w:r>
      <w:r w:rsidR="0096329F" w:rsidRPr="0096329F">
        <w:rPr>
          <w:u w:val="none"/>
        </w:rPr>
        <w:t xml:space="preserve">were corrected for inflation (from USD 2015 to </w:t>
      </w:r>
      <w:commentRangeStart w:id="2"/>
      <w:r w:rsidR="0096329F" w:rsidRPr="0096329F">
        <w:rPr>
          <w:u w:val="none"/>
        </w:rPr>
        <w:t>USD</w:t>
      </w:r>
      <w:commentRangeEnd w:id="2"/>
      <w:r>
        <w:rPr>
          <w:rStyle w:val="CommentReference"/>
          <w:u w:val="none"/>
        </w:rPr>
        <w:commentReference w:id="2"/>
      </w:r>
      <w:r w:rsidR="00C2116F">
        <w:rPr>
          <w:u w:val="none"/>
        </w:rPr>
        <w:t xml:space="preserve"> 2019</w:t>
      </w:r>
      <w:r w:rsidR="0096329F" w:rsidRPr="0096329F">
        <w:rPr>
          <w:u w:val="none"/>
        </w:rPr>
        <w:t>)</w:t>
      </w:r>
      <w:r w:rsidR="00EC553B">
        <w:rPr>
          <w:u w:val="none"/>
        </w:rPr>
        <w:t xml:space="preserve"> and are reported</w:t>
      </w:r>
      <w:r>
        <w:rPr>
          <w:u w:val="none"/>
        </w:rPr>
        <w:t xml:space="preserve"> here</w:t>
      </w:r>
      <w:r w:rsidR="00EC553B">
        <w:rPr>
          <w:u w:val="none"/>
        </w:rPr>
        <w:t xml:space="preserve"> as </w:t>
      </w:r>
      <w:r w:rsidR="0096329F" w:rsidRPr="0096329F">
        <w:rPr>
          <w:u w:val="none"/>
        </w:rPr>
        <w:t>model average</w:t>
      </w:r>
      <w:r w:rsidR="00EC553B">
        <w:rPr>
          <w:u w:val="none"/>
        </w:rPr>
        <w:t>s</w:t>
      </w:r>
      <w:r w:rsidR="0096329F" w:rsidRPr="0096329F">
        <w:rPr>
          <w:u w:val="none"/>
        </w:rPr>
        <w:t>.</w:t>
      </w:r>
    </w:p>
    <w:p w14:paraId="712B072A" w14:textId="1ED3B9EF" w:rsidR="0096329F" w:rsidRDefault="0096329F" w:rsidP="00DE4E6E">
      <w:pPr>
        <w:pStyle w:val="SMSubheading"/>
      </w:pPr>
    </w:p>
    <w:p w14:paraId="1DA276E0" w14:textId="77777777" w:rsidR="00F33CF5" w:rsidRDefault="00F33CF5" w:rsidP="00DE4E6E">
      <w:pPr>
        <w:pStyle w:val="SMSubheading"/>
      </w:pPr>
    </w:p>
    <w:p w14:paraId="63C5DBF8" w14:textId="08F315ED" w:rsidR="002C5DE8" w:rsidRDefault="00F33CF5" w:rsidP="00DE4E6E">
      <w:pPr>
        <w:pStyle w:val="SMSubheading"/>
        <w:rPr>
          <w:u w:val="single"/>
        </w:rPr>
      </w:pPr>
      <w:r>
        <w:rPr>
          <w:u w:val="single"/>
        </w:rPr>
        <w:t>Strengths and limitations of energy investment modelling estimates</w:t>
      </w:r>
    </w:p>
    <w:p w14:paraId="709CDF2A" w14:textId="4D2A45B1" w:rsidR="00F33CF5" w:rsidRDefault="00F33CF5" w:rsidP="00DE4E6E">
      <w:pPr>
        <w:pStyle w:val="SMSubheading"/>
        <w:rPr>
          <w:u w:val="single"/>
        </w:rPr>
      </w:pPr>
    </w:p>
    <w:p w14:paraId="3C2DD2B5" w14:textId="05BD9085" w:rsidR="00F33CF5" w:rsidRPr="00F33CF5" w:rsidRDefault="00F33CF5" w:rsidP="00F33CF5">
      <w:pPr>
        <w:pStyle w:val="SMSubheading"/>
        <w:rPr>
          <w:u w:val="none"/>
        </w:rPr>
      </w:pPr>
      <w:r w:rsidRPr="00F33CF5">
        <w:rPr>
          <w:u w:val="none"/>
        </w:rPr>
        <w:t xml:space="preserve">Estimating current and future energy investment flows is not an exact science. Private and publicly-traded companies, governments, stated-owned enterprises, and households are not required to report such information to statistical gathering organizations in all cases. For this reason, the numbers must be back-calculated based on physical quantities, such as gigawatts of </w:t>
      </w:r>
      <w:r w:rsidRPr="00F33CF5">
        <w:rPr>
          <w:u w:val="none"/>
        </w:rPr>
        <w:lastRenderedPageBreak/>
        <w:t xml:space="preserve">installed power plant capacity. Energy efficiency investments are the most uncertain, largely owing to definitional issues (what exactly is the energy-related part of a demand-side device, such as a consumer appliance?). Organizations like the International Energy Agency have adopted a certain set methodologies; global integrated assessment models do similar. Importantly, base-year uncertainties can contribute to differences in future year projections, especially further out in time (e.g., 2050). Fortunately, for this analysis, which focuses on the near-term period of 2020-2024 (i.e., a single model time-step for all but one of the models relied upon here), the differences across models are relatively small. </w:t>
      </w:r>
      <w:r w:rsidR="00017FEF">
        <w:rPr>
          <w:u w:val="none"/>
        </w:rPr>
        <w:t>Moreover, d</w:t>
      </w:r>
      <w:r w:rsidRPr="00F33CF5">
        <w:rPr>
          <w:u w:val="none"/>
        </w:rPr>
        <w:t>espite the lack of temporal granularity of these models (i.e., no annual or sub-annual timesteps), one of their acknowledged strengths is that they permit the analysis of near-term system responses in the context of long-term goals. This is as much true for fuel-technology mixes and greenhouse gas emissions as it is for investments (in dollar terms), even if the latter is less often the focus of IAM research.</w:t>
      </w:r>
    </w:p>
    <w:p w14:paraId="69C085D1" w14:textId="77777777" w:rsidR="00F33CF5" w:rsidRPr="00F33CF5" w:rsidRDefault="00F33CF5" w:rsidP="00DE4E6E">
      <w:pPr>
        <w:pStyle w:val="SMSubheading"/>
        <w:rPr>
          <w:u w:val="none"/>
        </w:rPr>
      </w:pPr>
    </w:p>
    <w:p w14:paraId="3C396E6C" w14:textId="77777777" w:rsidR="002C5DE8" w:rsidRDefault="002C5DE8" w:rsidP="00DE4E6E">
      <w:pPr>
        <w:pStyle w:val="SMSubheading"/>
      </w:pPr>
    </w:p>
    <w:p w14:paraId="6A581C5C" w14:textId="6ECB2FA5" w:rsidR="00882200" w:rsidRDefault="00882200" w:rsidP="00DE4E6E">
      <w:pPr>
        <w:pStyle w:val="SMSubheading"/>
        <w:rPr>
          <w:u w:val="single"/>
        </w:rPr>
      </w:pPr>
      <w:r>
        <w:rPr>
          <w:u w:val="single"/>
        </w:rPr>
        <w:t>Stimulus packages</w:t>
      </w:r>
    </w:p>
    <w:p w14:paraId="03EFC5E1" w14:textId="208702CF" w:rsidR="00882200" w:rsidRDefault="00882200" w:rsidP="00DE4E6E">
      <w:pPr>
        <w:pStyle w:val="SMSubheading"/>
        <w:rPr>
          <w:u w:val="single"/>
        </w:rPr>
      </w:pPr>
    </w:p>
    <w:p w14:paraId="616CBACD" w14:textId="49C11527" w:rsidR="00882200" w:rsidRPr="00882200" w:rsidRDefault="00EC553B" w:rsidP="00DE4E6E">
      <w:pPr>
        <w:pStyle w:val="SMSubheading"/>
        <w:rPr>
          <w:u w:val="none"/>
        </w:rPr>
      </w:pPr>
      <w:r>
        <w:rPr>
          <w:u w:val="none"/>
        </w:rPr>
        <w:t xml:space="preserve">The </w:t>
      </w:r>
      <w:r w:rsidR="00882200" w:rsidRPr="00882200">
        <w:rPr>
          <w:u w:val="none"/>
        </w:rPr>
        <w:t>International Monetary Fund (IMF) has been tracking the policy measures announced by governments in response to the COVID-19 pandemic</w:t>
      </w:r>
      <w:r w:rsidR="00882200">
        <w:rPr>
          <w:u w:val="none"/>
        </w:rPr>
        <w:t xml:space="preserve"> </w:t>
      </w:r>
      <w:r w:rsidR="00882200">
        <w:rPr>
          <w:u w:val="none"/>
        </w:rPr>
        <w:fldChar w:fldCharType="begin" w:fldLock="1"/>
      </w:r>
      <w:r w:rsidR="002254CD">
        <w:rPr>
          <w:u w:val="none"/>
        </w:rPr>
        <w:instrText>ADDIN CSL_CITATION {"citationItems":[{"id":"ITEM-1","itemData":{"author":[{"dropping-particle":"","family":"International Monetary Fund","given":"","non-dropping-particle":"","parse-names":false,"suffix":""}],"id":"ITEM-1","issued":{"date-parts":[["2020"]]},"title":"Policy Responses to COVID-19","type":"webpage"},"uris":["http://www.mendeley.com/documents/?uuid=63b048fc-6b89-4a56-b903-1094f679ed75"]}],"mendeley":{"formattedCitation":"(&lt;i&gt;8&lt;/i&gt;)","plainTextFormattedCitation":"(8)","previouslyFormattedCitation":"(&lt;i&gt;8&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8</w:t>
      </w:r>
      <w:r w:rsidR="00882200" w:rsidRPr="00882200">
        <w:rPr>
          <w:noProof/>
          <w:u w:val="none"/>
        </w:rPr>
        <w:t>)</w:t>
      </w:r>
      <w:r w:rsidR="00882200">
        <w:rPr>
          <w:u w:val="none"/>
        </w:rPr>
        <w:fldChar w:fldCharType="end"/>
      </w:r>
      <w:r w:rsidR="00882200">
        <w:rPr>
          <w:u w:val="none"/>
        </w:rPr>
        <w:t xml:space="preserve">. </w:t>
      </w:r>
      <w:r w:rsidR="00882200" w:rsidRPr="00882200">
        <w:rPr>
          <w:u w:val="none"/>
        </w:rPr>
        <w:t>For this analysis, we focus on the fiscal policy responses, which span a wide range of instruments such as spending and revenue measures</w:t>
      </w:r>
      <w:r w:rsidR="004444A4">
        <w:rPr>
          <w:u w:val="none"/>
        </w:rPr>
        <w:t xml:space="preserve">, </w:t>
      </w:r>
      <w:r w:rsidR="00882200" w:rsidRPr="00882200">
        <w:rPr>
          <w:u w:val="none"/>
        </w:rPr>
        <w:t>equity injections, asset purchases, extra-budgetary funds, guarantees on loans, etc. We extracted data for 17</w:t>
      </w:r>
      <w:r w:rsidR="00BD0989">
        <w:rPr>
          <w:u w:val="none"/>
        </w:rPr>
        <w:t>6</w:t>
      </w:r>
      <w:r w:rsidR="00882200" w:rsidRPr="00882200">
        <w:rPr>
          <w:u w:val="none"/>
        </w:rPr>
        <w:t xml:space="preserve"> countries and the European Union, announced </w:t>
      </w:r>
      <w:r>
        <w:rPr>
          <w:u w:val="none"/>
        </w:rPr>
        <w:t>until</w:t>
      </w:r>
      <w:r w:rsidR="00882200" w:rsidRPr="00882200">
        <w:rPr>
          <w:u w:val="none"/>
        </w:rPr>
        <w:t xml:space="preserve"> </w:t>
      </w:r>
      <w:r w:rsidR="004444A4">
        <w:rPr>
          <w:u w:val="none"/>
        </w:rPr>
        <w:t>July 23, 2020</w:t>
      </w:r>
      <w:r w:rsidR="00882200" w:rsidRPr="00882200">
        <w:rPr>
          <w:u w:val="none"/>
        </w:rPr>
        <w:t>.</w:t>
      </w:r>
    </w:p>
    <w:p w14:paraId="234741FC" w14:textId="77777777" w:rsidR="00882200" w:rsidRPr="00882200" w:rsidRDefault="00882200" w:rsidP="00DE4E6E">
      <w:pPr>
        <w:pStyle w:val="SMSubheading"/>
        <w:rPr>
          <w:u w:val="none"/>
        </w:rPr>
      </w:pPr>
    </w:p>
    <w:p w14:paraId="02E1BE7B" w14:textId="77777777" w:rsidR="00BD0989" w:rsidRDefault="00882200" w:rsidP="00DE4E6E">
      <w:pPr>
        <w:pStyle w:val="SMSubheading"/>
        <w:rPr>
          <w:u w:val="none"/>
        </w:rPr>
      </w:pPr>
      <w:r w:rsidRPr="00882200">
        <w:rPr>
          <w:u w:val="none"/>
        </w:rPr>
        <w:t>Countries announced their stabilization packages in different levels of detail and scope. Here we group the fiscal measures</w:t>
      </w:r>
      <w:r w:rsidR="00BD0989">
        <w:rPr>
          <w:u w:val="none"/>
        </w:rPr>
        <w:t xml:space="preserve"> broadly</w:t>
      </w:r>
      <w:r w:rsidRPr="00882200">
        <w:rPr>
          <w:u w:val="none"/>
        </w:rPr>
        <w:t xml:space="preserve"> </w:t>
      </w:r>
      <w:r w:rsidR="00BD0989">
        <w:rPr>
          <w:u w:val="none"/>
        </w:rPr>
        <w:t>in line with the IMF. The packages are split into:</w:t>
      </w:r>
    </w:p>
    <w:p w14:paraId="648B2D25" w14:textId="7171E388" w:rsidR="00BD0989" w:rsidRDefault="00BD0989" w:rsidP="00DE4E6E">
      <w:pPr>
        <w:pStyle w:val="SMSubheading"/>
        <w:numPr>
          <w:ilvl w:val="0"/>
          <w:numId w:val="12"/>
        </w:numPr>
        <w:rPr>
          <w:u w:val="none"/>
        </w:rPr>
      </w:pPr>
      <w:r>
        <w:rPr>
          <w:u w:val="none"/>
        </w:rPr>
        <w:t xml:space="preserve">“Above-the-line” measures which contain mostly spending measures, and which are further divided into those aimed at supporting the health sector </w:t>
      </w:r>
      <w:r w:rsidR="00EC553B">
        <w:rPr>
          <w:u w:val="none"/>
        </w:rPr>
        <w:t xml:space="preserve">(in figures labeled as </w:t>
      </w:r>
      <w:r w:rsidR="00EC553B" w:rsidRPr="00EC553B">
        <w:rPr>
          <w:i/>
          <w:iCs/>
          <w:u w:val="none"/>
        </w:rPr>
        <w:t>Health</w:t>
      </w:r>
      <w:r>
        <w:rPr>
          <w:i/>
          <w:iCs/>
          <w:u w:val="none"/>
        </w:rPr>
        <w:t xml:space="preserve"> sector spending</w:t>
      </w:r>
      <w:r w:rsidR="00EC553B">
        <w:rPr>
          <w:u w:val="none"/>
        </w:rPr>
        <w:t>)</w:t>
      </w:r>
      <w:r>
        <w:rPr>
          <w:u w:val="none"/>
        </w:rPr>
        <w:t xml:space="preserve"> and those intended for all other sectors of the economy (in figures labeled </w:t>
      </w:r>
      <w:r>
        <w:rPr>
          <w:i/>
          <w:iCs/>
          <w:u w:val="none"/>
        </w:rPr>
        <w:t>General spending</w:t>
      </w:r>
      <w:r>
        <w:rPr>
          <w:u w:val="none"/>
        </w:rPr>
        <w:t>), which include supporting individuals, households and businesses, as well as forgone and deferred revenue.</w:t>
      </w:r>
    </w:p>
    <w:p w14:paraId="26F67286" w14:textId="67DF4D64" w:rsidR="00BD0989" w:rsidRDefault="00BD0989" w:rsidP="00DE4E6E">
      <w:pPr>
        <w:pStyle w:val="SMSubheading"/>
        <w:numPr>
          <w:ilvl w:val="0"/>
          <w:numId w:val="12"/>
        </w:numPr>
        <w:rPr>
          <w:u w:val="none"/>
        </w:rPr>
      </w:pPr>
      <w:r>
        <w:rPr>
          <w:u w:val="none"/>
        </w:rPr>
        <w:t>Liquidity</w:t>
      </w:r>
      <w:r w:rsidR="00882200" w:rsidRPr="00882200">
        <w:rPr>
          <w:u w:val="none"/>
        </w:rPr>
        <w:t xml:space="preserve"> </w:t>
      </w:r>
      <w:r w:rsidR="00EC553B">
        <w:rPr>
          <w:u w:val="none"/>
        </w:rPr>
        <w:t>measures,</w:t>
      </w:r>
      <w:r>
        <w:rPr>
          <w:u w:val="none"/>
        </w:rPr>
        <w:t xml:space="preserve"> which</w:t>
      </w:r>
      <w:r w:rsidR="00EC553B">
        <w:rPr>
          <w:u w:val="none"/>
        </w:rPr>
        <w:t xml:space="preserve"> </w:t>
      </w:r>
      <w:r w:rsidR="00EC553B" w:rsidRPr="00EC553B">
        <w:rPr>
          <w:u w:val="none"/>
        </w:rPr>
        <w:t>including loans</w:t>
      </w:r>
      <w:r>
        <w:rPr>
          <w:u w:val="none"/>
        </w:rPr>
        <w:t xml:space="preserve">, </w:t>
      </w:r>
      <w:r w:rsidR="00EC553B" w:rsidRPr="00EC553B">
        <w:rPr>
          <w:u w:val="none"/>
        </w:rPr>
        <w:t>guarantees</w:t>
      </w:r>
      <w:r w:rsidR="00EC553B">
        <w:rPr>
          <w:u w:val="none"/>
        </w:rPr>
        <w:t xml:space="preserve"> </w:t>
      </w:r>
      <w:r>
        <w:rPr>
          <w:u w:val="none"/>
        </w:rPr>
        <w:t xml:space="preserve">and quasi-fiscal operations </w:t>
      </w:r>
      <w:r w:rsidR="00EC553B">
        <w:rPr>
          <w:u w:val="none"/>
        </w:rPr>
        <w:t xml:space="preserve">(labeled </w:t>
      </w:r>
      <w:r>
        <w:rPr>
          <w:i/>
          <w:iCs/>
          <w:u w:val="none"/>
        </w:rPr>
        <w:t>Liquidity support</w:t>
      </w:r>
      <w:r w:rsidR="00EC553B">
        <w:rPr>
          <w:u w:val="none"/>
        </w:rPr>
        <w:t>)</w:t>
      </w:r>
      <w:r>
        <w:rPr>
          <w:u w:val="none"/>
        </w:rPr>
        <w:t>.</w:t>
      </w:r>
    </w:p>
    <w:p w14:paraId="6C888C5D" w14:textId="77777777" w:rsidR="00BD0989" w:rsidRDefault="00BD0989" w:rsidP="00DE4E6E">
      <w:pPr>
        <w:pStyle w:val="SMSubheading"/>
        <w:ind w:left="423"/>
        <w:rPr>
          <w:u w:val="none"/>
        </w:rPr>
      </w:pPr>
    </w:p>
    <w:p w14:paraId="139F0F05" w14:textId="580FDCDA" w:rsidR="00E97569" w:rsidRPr="00EC553B" w:rsidRDefault="00EC553B" w:rsidP="00DE4E6E">
      <w:pPr>
        <w:pStyle w:val="SMSubheading"/>
        <w:ind w:left="63"/>
        <w:rPr>
          <w:u w:val="none"/>
        </w:rPr>
      </w:pPr>
      <w:r w:rsidRPr="00EC553B">
        <w:rPr>
          <w:u w:val="none"/>
        </w:rPr>
        <w:t>We do not account for governments' announcements to channel funds into international assistance, nor the recovery funds agreed between governments and the international finance institutions.</w:t>
      </w:r>
      <w:r>
        <w:rPr>
          <w:u w:val="none"/>
        </w:rPr>
        <w:t xml:space="preserve"> See Table S1 for country-level detail.</w:t>
      </w:r>
    </w:p>
    <w:p w14:paraId="57C965F2" w14:textId="2965CE20" w:rsidR="003755FE" w:rsidRDefault="003755FE" w:rsidP="00DE4E6E">
      <w:pPr>
        <w:pStyle w:val="SMSubheading"/>
        <w:rPr>
          <w:u w:val="none"/>
        </w:rPr>
      </w:pPr>
    </w:p>
    <w:p w14:paraId="41A16F67" w14:textId="77777777" w:rsidR="003755FE" w:rsidRDefault="003755FE" w:rsidP="00DE4E6E">
      <w:pPr>
        <w:pStyle w:val="SMSubheading"/>
        <w:rPr>
          <w:u w:val="none"/>
        </w:rPr>
      </w:pPr>
    </w:p>
    <w:p w14:paraId="402B5AD3" w14:textId="40A8DE52" w:rsidR="003755FE" w:rsidRDefault="003755FE" w:rsidP="00DE4E6E">
      <w:pPr>
        <w:pStyle w:val="SMSubheading"/>
        <w:rPr>
          <w:u w:val="none"/>
        </w:rPr>
      </w:pPr>
      <w:r>
        <w:rPr>
          <w:u w:val="none"/>
        </w:rPr>
        <w:t>References:</w:t>
      </w:r>
    </w:p>
    <w:p w14:paraId="795AFC7C" w14:textId="32951855" w:rsidR="002254CD" w:rsidRDefault="002254CD" w:rsidP="00DE4E6E">
      <w:pPr>
        <w:pStyle w:val="SMSubheading"/>
        <w:rPr>
          <w:u w:val="none"/>
        </w:rPr>
      </w:pPr>
    </w:p>
    <w:p w14:paraId="5E1297F8" w14:textId="487439DA" w:rsidR="002254CD" w:rsidRPr="002254CD" w:rsidRDefault="002254CD" w:rsidP="00DE4E6E">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Pr="002254CD">
        <w:rPr>
          <w:noProof/>
          <w:lang w:val="en-GB"/>
        </w:rPr>
        <w:t xml:space="preserve">1. </w:t>
      </w:r>
      <w:r w:rsidRPr="002254CD">
        <w:rPr>
          <w:noProof/>
          <w:lang w:val="en-GB"/>
        </w:rPr>
        <w:tab/>
        <w:t xml:space="preserve">D. L. McCollum, W. Zhou, C. Bertram, H. S. De Boer, V. Bosetti, S. Busch, J. Després, L. Drouet, J. Emmerling, M. Fay, O. Fricko, S. Fujimori, M. Gidden, M. Harmsen, D. Huppmann, G. Iyer, V. Krey, E. Kriegler, C. Nicolas, S. Pachauri, S. Parkinson, M. Poblete-Cazenave, P. Rafaj, N. Rao, J. Rozenberg, A. Schmitz, W. Schoepp, D. Van Vuuren, K. Riahi, Energy investment needs for fulfilling the Paris Agreement and achieving the Sustainable Development Goals. </w:t>
      </w:r>
      <w:r w:rsidRPr="002254CD">
        <w:rPr>
          <w:i/>
          <w:iCs/>
          <w:noProof/>
          <w:lang w:val="en-GB"/>
        </w:rPr>
        <w:t>Nat. Energy</w:t>
      </w:r>
      <w:r w:rsidRPr="002254CD">
        <w:rPr>
          <w:noProof/>
          <w:lang w:val="en-GB"/>
        </w:rPr>
        <w:t xml:space="preserve">. </w:t>
      </w:r>
      <w:r w:rsidRPr="002254CD">
        <w:rPr>
          <w:b/>
          <w:bCs/>
          <w:noProof/>
          <w:lang w:val="en-GB"/>
        </w:rPr>
        <w:t>3</w:t>
      </w:r>
      <w:r w:rsidRPr="002254CD">
        <w:rPr>
          <w:noProof/>
          <w:lang w:val="en-GB"/>
        </w:rPr>
        <w:t>, 589–599 (2018).</w:t>
      </w:r>
    </w:p>
    <w:p w14:paraId="0A5CFA6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lastRenderedPageBreak/>
        <w:t xml:space="preserve">2. </w:t>
      </w:r>
      <w:r w:rsidRPr="002254CD">
        <w:rPr>
          <w:noProof/>
          <w:lang w:val="en-GB"/>
        </w:rPr>
        <w:tab/>
        <w:t xml:space="preserve">S. Fujimori, T. Hasegawa, T. Masui, K. Takahashi, Land use representation in a global CGE model for long-term simulation: CET vs. logit functions. </w:t>
      </w:r>
      <w:r w:rsidRPr="002254CD">
        <w:rPr>
          <w:i/>
          <w:iCs/>
          <w:noProof/>
          <w:lang w:val="en-GB"/>
        </w:rPr>
        <w:t>Food Secur.</w:t>
      </w:r>
      <w:r w:rsidRPr="002254CD">
        <w:rPr>
          <w:noProof/>
          <w:lang w:val="en-GB"/>
        </w:rPr>
        <w:t xml:space="preserve"> </w:t>
      </w:r>
      <w:r w:rsidRPr="002254CD">
        <w:rPr>
          <w:b/>
          <w:bCs/>
          <w:noProof/>
          <w:lang w:val="en-GB"/>
        </w:rPr>
        <w:t>6</w:t>
      </w:r>
      <w:r w:rsidRPr="002254CD">
        <w:rPr>
          <w:noProof/>
          <w:lang w:val="en-GB"/>
        </w:rPr>
        <w:t>, 685–699 (2014).</w:t>
      </w:r>
    </w:p>
    <w:p w14:paraId="2C003909"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3. </w:t>
      </w:r>
      <w:r w:rsidRPr="002254CD">
        <w:rPr>
          <w:noProof/>
          <w:lang w:val="en-GB"/>
        </w:rPr>
        <w:tab/>
        <w:t>E. Stehfest, D. van Vuuren, T. Kram, L. Bouwman, R. Alkemade, M. Bakkenes, H. Biemans, A. Bouwman, M. den Elzen, J. Janse, P. Lucas, J. van Minnen, C. Müller, A. G. Prins, “Integrated Assessmnet of Global Environmental Change with IMAGE 3.0. Model Description and Policy Applications” (2014).</w:t>
      </w:r>
    </w:p>
    <w:p w14:paraId="1F98D767"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4. </w:t>
      </w:r>
      <w:r w:rsidRPr="002254CD">
        <w:rPr>
          <w:noProof/>
          <w:lang w:val="en-GB"/>
        </w:rPr>
        <w:tab/>
        <w:t>V. Krey, P. Havlik, O. Fricko, J. Zilliacus, M. Gidden, M. Strubegger, G. Kartasasmita, T. Ermolieva, N. Forsell, M. Gusti, N. Johnson, G. Kindermann, P. Kolp, D. McCollum, S. Pachauri, S. Rao, J. Rogelj, H. Valin, M. Obersteiner, K. Riahi, “MESSAGE-GLOBIOM 1.0 Documentation” (2016).</w:t>
      </w:r>
    </w:p>
    <w:p w14:paraId="458C48A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5. </w:t>
      </w:r>
      <w:r w:rsidRPr="002254CD">
        <w:rPr>
          <w:noProof/>
          <w:lang w:val="en-GB"/>
        </w:rPr>
        <w:tab/>
        <w:t xml:space="preserve">P. Criqui, S. Mima, P. Menanteau, A. Kitous, Mitigation strategies and energy technology learning: An assessment with the POLES model. </w:t>
      </w:r>
      <w:r w:rsidRPr="002254CD">
        <w:rPr>
          <w:i/>
          <w:iCs/>
          <w:noProof/>
          <w:lang w:val="en-GB"/>
        </w:rPr>
        <w:t>Technol. Forecast. Soc. Change</w:t>
      </w:r>
      <w:r w:rsidRPr="002254CD">
        <w:rPr>
          <w:noProof/>
          <w:lang w:val="en-GB"/>
        </w:rPr>
        <w:t xml:space="preserve">. </w:t>
      </w:r>
      <w:r w:rsidRPr="002254CD">
        <w:rPr>
          <w:b/>
          <w:bCs/>
          <w:noProof/>
          <w:lang w:val="en-GB"/>
        </w:rPr>
        <w:t>90</w:t>
      </w:r>
      <w:r w:rsidRPr="002254CD">
        <w:rPr>
          <w:noProof/>
          <w:lang w:val="en-GB"/>
        </w:rPr>
        <w:t>, 119–136 (2015).</w:t>
      </w:r>
    </w:p>
    <w:p w14:paraId="31CD393E"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6. </w:t>
      </w:r>
      <w:r w:rsidRPr="002254CD">
        <w:rPr>
          <w:noProof/>
          <w:lang w:val="en-GB"/>
        </w:rPr>
        <w:tab/>
        <w:t xml:space="preserve">E. Kriegler, N. Bauer, A. Popp, F. Humpenöder, M. Leimbach, J. Strefler, L. Baumstark, B. L. Bodirsky, J. Hilaire, D. Klein, I. Mouratiadou, I. Weindl, C. Bertram, J. P. Dietrich, G. Luderer, M. Pehl, R. Pietzcker, F. Piontek, H. Lotze-Campen, A. Biewald, M. Bonsch, A. Giannousakis, U. Kreidenweis, C. Müller, S. Rolinski, A. Schultes, J. Schwanitz, M. Stevanovic, K. Calvin, J. Emmerling, S. Fujimori, O. Edenhofer, Fossil-fueled development (SSP5): An energy and resource intensive scenario for the 21st century. </w:t>
      </w:r>
      <w:r w:rsidRPr="002254CD">
        <w:rPr>
          <w:i/>
          <w:iCs/>
          <w:noProof/>
          <w:lang w:val="en-GB"/>
        </w:rPr>
        <w:t>Glob. Environ. Chang.</w:t>
      </w:r>
      <w:r w:rsidRPr="002254CD">
        <w:rPr>
          <w:noProof/>
          <w:lang w:val="en-GB"/>
        </w:rPr>
        <w:t xml:space="preserve"> </w:t>
      </w:r>
      <w:r w:rsidRPr="002254CD">
        <w:rPr>
          <w:b/>
          <w:bCs/>
          <w:noProof/>
          <w:lang w:val="en-GB"/>
        </w:rPr>
        <w:t>42</w:t>
      </w:r>
      <w:r w:rsidRPr="002254CD">
        <w:rPr>
          <w:noProof/>
          <w:lang w:val="en-GB"/>
        </w:rPr>
        <w:t>, 297–315 (2017).</w:t>
      </w:r>
    </w:p>
    <w:p w14:paraId="2919C6E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7. </w:t>
      </w:r>
      <w:r w:rsidRPr="002254CD">
        <w:rPr>
          <w:noProof/>
          <w:lang w:val="en-GB"/>
        </w:rPr>
        <w:tab/>
        <w:t>V. Bosetti, C. Carraro, M. Galeotti, E. Massetti, M. Tavoni, “WITCH. A World Induced Technical Change Hybrid Model” (2006), (available at https://econpapers.repec.org/RePEc:ven:wpaper:2006_46).</w:t>
      </w:r>
    </w:p>
    <w:p w14:paraId="5CF17645" w14:textId="77777777" w:rsidR="002254CD" w:rsidRPr="002254CD" w:rsidRDefault="002254CD" w:rsidP="00DE4E6E">
      <w:pPr>
        <w:widowControl w:val="0"/>
        <w:autoSpaceDE w:val="0"/>
        <w:autoSpaceDN w:val="0"/>
        <w:adjustRightInd w:val="0"/>
        <w:ind w:left="640" w:hanging="640"/>
        <w:rPr>
          <w:noProof/>
        </w:rPr>
      </w:pPr>
      <w:r w:rsidRPr="002254CD">
        <w:rPr>
          <w:noProof/>
          <w:lang w:val="en-GB"/>
        </w:rPr>
        <w:t xml:space="preserve">8. </w:t>
      </w:r>
      <w:r w:rsidRPr="002254CD">
        <w:rPr>
          <w:noProof/>
          <w:lang w:val="en-GB"/>
        </w:rPr>
        <w:tab/>
        <w:t>International Monetary Fund, Policy Responses to COVID-19 (2020).</w:t>
      </w:r>
    </w:p>
    <w:p w14:paraId="1CD35550" w14:textId="36531ECB" w:rsidR="002254CD" w:rsidRPr="00882200" w:rsidRDefault="002254CD" w:rsidP="00DE4E6E">
      <w:pPr>
        <w:pStyle w:val="SMSubheading"/>
        <w:rPr>
          <w:u w:val="none"/>
        </w:rPr>
      </w:pPr>
      <w:r>
        <w:rPr>
          <w:u w:val="none"/>
        </w:rPr>
        <w:fldChar w:fldCharType="end"/>
      </w:r>
    </w:p>
    <w:p w14:paraId="09324174" w14:textId="77777777" w:rsidR="0096329F" w:rsidRPr="00355362" w:rsidRDefault="0096329F" w:rsidP="00DE4E6E">
      <w:pPr>
        <w:pStyle w:val="SMSubheading"/>
      </w:pPr>
    </w:p>
    <w:p w14:paraId="56F29DC2" w14:textId="33F094DE" w:rsidR="008218C4" w:rsidRDefault="008218C4" w:rsidP="00DE4E6E">
      <w:pPr>
        <w:pStyle w:val="SMText"/>
        <w:ind w:firstLine="0"/>
      </w:pPr>
    </w:p>
    <w:p w14:paraId="29D453A1" w14:textId="14663ACB" w:rsidR="009A5287" w:rsidRDefault="009A5287" w:rsidP="00DE4E6E">
      <w:pPr>
        <w:pStyle w:val="SMText"/>
      </w:pPr>
    </w:p>
    <w:p w14:paraId="30EA357E" w14:textId="011D21F2" w:rsidR="00882200" w:rsidRDefault="00882200" w:rsidP="00DE4E6E">
      <w:r>
        <w:br w:type="page"/>
      </w:r>
    </w:p>
    <w:p w14:paraId="55ABFE81" w14:textId="77777777" w:rsidR="00D766F1" w:rsidRDefault="00D766F1" w:rsidP="00DE4E6E">
      <w:pPr>
        <w:pStyle w:val="SMText"/>
      </w:pPr>
    </w:p>
    <w:p w14:paraId="7F032617" w14:textId="3E0133A7" w:rsidR="00882200" w:rsidRDefault="00CB7721" w:rsidP="00DE4E6E">
      <w:pPr>
        <w:pStyle w:val="SMcaption"/>
      </w:pPr>
      <w:r>
        <w:rPr>
          <w:noProof/>
        </w:rPr>
        <w:drawing>
          <wp:inline distT="0" distB="0" distL="0" distR="0" wp14:anchorId="4F2766D5" wp14:editId="38597A89">
            <wp:extent cx="5410200" cy="3581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_s1.png"/>
                    <pic:cNvPicPr/>
                  </pic:nvPicPr>
                  <pic:blipFill>
                    <a:blip r:embed="rId16">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D50BBEF" w14:textId="77777777" w:rsidR="00015F74" w:rsidRPr="00355362" w:rsidRDefault="007411A1" w:rsidP="00DE4E6E">
      <w:pPr>
        <w:pStyle w:val="SMHeading"/>
      </w:pPr>
      <w:r w:rsidRPr="00355362">
        <w:t>Fig. S1.</w:t>
      </w:r>
    </w:p>
    <w:p w14:paraId="4D46A919" w14:textId="545DEA60" w:rsidR="00015F74" w:rsidRDefault="00882200" w:rsidP="00DE4E6E">
      <w:pPr>
        <w:pStyle w:val="SMcaption"/>
      </w:pPr>
      <w:r>
        <w:t xml:space="preserve">Total amount of stimulus packages for five macro </w:t>
      </w:r>
      <w:r w:rsidR="007324FE">
        <w:t>regions</w:t>
      </w:r>
      <w:r w:rsidR="00C44957">
        <w:t xml:space="preserve"> (see table S2 for definitions of the regions)</w:t>
      </w:r>
      <w:r>
        <w:t xml:space="preserve"> and the world</w:t>
      </w:r>
      <w:r w:rsidR="007324FE">
        <w:t xml:space="preserve">, disaggregated in </w:t>
      </w:r>
      <w:r w:rsidR="00C44957">
        <w:t>three</w:t>
      </w:r>
      <w:r w:rsidR="007324FE">
        <w:t xml:space="preserve"> categories based on the targets of the fiscal instruments.</w:t>
      </w:r>
    </w:p>
    <w:p w14:paraId="5D692CD5" w14:textId="26E9D287" w:rsidR="007324FE" w:rsidRDefault="007324FE" w:rsidP="00DE4E6E">
      <w:r>
        <w:br w:type="page"/>
      </w:r>
    </w:p>
    <w:p w14:paraId="733E5523" w14:textId="7FF68C64" w:rsidR="007324FE" w:rsidRDefault="00CB7721" w:rsidP="00DE4E6E">
      <w:pPr>
        <w:pStyle w:val="SMcaption"/>
      </w:pPr>
      <w:r>
        <w:rPr>
          <w:noProof/>
        </w:rPr>
        <w:lastRenderedPageBreak/>
        <w:drawing>
          <wp:inline distT="0" distB="0" distL="0" distR="0" wp14:anchorId="3074D23D" wp14:editId="2BCF18B6">
            <wp:extent cx="5410200" cy="3581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s2.png"/>
                    <pic:cNvPicPr/>
                  </pic:nvPicPr>
                  <pic:blipFill>
                    <a:blip r:embed="rId17">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567FF95" w14:textId="37A2D101" w:rsidR="00112C5B" w:rsidRPr="00355362" w:rsidRDefault="00112C5B" w:rsidP="00DE4E6E">
      <w:pPr>
        <w:pStyle w:val="SMHeading"/>
      </w:pPr>
      <w:r w:rsidRPr="00355362">
        <w:t>Fig. S2</w:t>
      </w:r>
      <w:r w:rsidR="008218C4">
        <w:t>.</w:t>
      </w:r>
    </w:p>
    <w:p w14:paraId="501CF111" w14:textId="31F53739" w:rsidR="007324FE" w:rsidRDefault="007324FE" w:rsidP="00DE4E6E">
      <w:pPr>
        <w:pStyle w:val="SMcaption"/>
      </w:pPr>
      <w:r>
        <w:t>Total amount of stimulus packages for four large economies</w:t>
      </w:r>
      <w:r w:rsidR="00C44957">
        <w:t xml:space="preserve"> (China, European Union, India and the United States)</w:t>
      </w:r>
      <w:r>
        <w:t xml:space="preserve">, disaggregated in </w:t>
      </w:r>
      <w:r w:rsidR="00C44957">
        <w:t>three</w:t>
      </w:r>
      <w:r>
        <w:t xml:space="preserve"> categories based on the targets of the fiscal instruments.</w:t>
      </w:r>
    </w:p>
    <w:p w14:paraId="2507BD7C" w14:textId="2E0420EE" w:rsidR="00670299" w:rsidRDefault="00670299" w:rsidP="00DE4E6E">
      <w:pPr>
        <w:pStyle w:val="SMcaption"/>
      </w:pPr>
    </w:p>
    <w:p w14:paraId="6F702113" w14:textId="3E5CAD36" w:rsidR="007324FE" w:rsidRDefault="007324FE" w:rsidP="00DE4E6E">
      <w:r>
        <w:br w:type="page"/>
      </w:r>
    </w:p>
    <w:p w14:paraId="046DD5D9" w14:textId="77777777" w:rsidR="007324FE" w:rsidRDefault="007324FE" w:rsidP="00DE4E6E">
      <w:pPr>
        <w:pStyle w:val="SMcaption"/>
      </w:pPr>
    </w:p>
    <w:p w14:paraId="101640C2" w14:textId="4847EB2E" w:rsidR="007324FE" w:rsidRDefault="00CB7721" w:rsidP="00DE4E6E">
      <w:pPr>
        <w:pStyle w:val="SMHeading"/>
      </w:pPr>
      <w:r>
        <w:rPr>
          <w:noProof/>
        </w:rPr>
        <w:drawing>
          <wp:inline distT="0" distB="0" distL="0" distR="0" wp14:anchorId="0A160EDE" wp14:editId="5F41457D">
            <wp:extent cx="5410200" cy="3581400"/>
            <wp:effectExtent l="0" t="0" r="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_s3.png"/>
                    <pic:cNvPicPr/>
                  </pic:nvPicPr>
                  <pic:blipFill>
                    <a:blip r:embed="rId18">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F49D981" w14:textId="4F9B3392" w:rsidR="00112C5B" w:rsidRPr="00355362" w:rsidRDefault="00112C5B" w:rsidP="00DE4E6E">
      <w:pPr>
        <w:pStyle w:val="SMHeading"/>
      </w:pPr>
      <w:r w:rsidRPr="00355362">
        <w:t>Fig. S</w:t>
      </w:r>
      <w:r w:rsidR="00355362">
        <w:t>3</w:t>
      </w:r>
      <w:r w:rsidR="008218C4">
        <w:t>.</w:t>
      </w:r>
    </w:p>
    <w:p w14:paraId="7F2A0CB1" w14:textId="02E6D2E4" w:rsidR="00477182" w:rsidRDefault="007324FE" w:rsidP="00DE4E6E">
      <w:pPr>
        <w:pStyle w:val="SMcaption"/>
      </w:pPr>
      <w:r>
        <w:t xml:space="preserve">Annual energy system investments </w:t>
      </w:r>
      <w:r w:rsidR="0042183E">
        <w:t xml:space="preserve">between 2020 and 2024 </w:t>
      </w:r>
      <w:r>
        <w:t xml:space="preserve">for the current policy baseline (left) and </w:t>
      </w:r>
      <w:r w:rsidR="0042183E">
        <w:t>a pathway compatible with the 1.5</w:t>
      </w:r>
      <w:r w:rsidR="0042183E">
        <w:sym w:font="Symbol" w:char="F0B0"/>
      </w:r>
      <w:r w:rsidR="0042183E">
        <w:t>C limit of global mean temperature (right) for five macro regions</w:t>
      </w:r>
      <w:r w:rsidR="00C44957">
        <w:t xml:space="preserve"> (see table S2 for definitions of the regions)</w:t>
      </w:r>
      <w:r w:rsidR="0042183E">
        <w:t xml:space="preserve"> and the world.</w:t>
      </w:r>
    </w:p>
    <w:p w14:paraId="387C3CFD" w14:textId="113C83B0" w:rsidR="0042183E" w:rsidRDefault="0042183E" w:rsidP="00DE4E6E">
      <w:r>
        <w:br w:type="page"/>
      </w:r>
    </w:p>
    <w:p w14:paraId="64EB99B4" w14:textId="645EB80B" w:rsidR="0042183E" w:rsidRDefault="00CB7721" w:rsidP="00DE4E6E">
      <w:pPr>
        <w:pStyle w:val="SMHeading"/>
      </w:pPr>
      <w:r>
        <w:rPr>
          <w:noProof/>
        </w:rPr>
        <w:lastRenderedPageBreak/>
        <w:drawing>
          <wp:inline distT="0" distB="0" distL="0" distR="0" wp14:anchorId="20C761BA" wp14:editId="78192B1D">
            <wp:extent cx="5410200" cy="35814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s4.png"/>
                    <pic:cNvPicPr/>
                  </pic:nvPicPr>
                  <pic:blipFill>
                    <a:blip r:embed="rId19">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5EBC3E51" w14:textId="3A79923A" w:rsidR="007324FE" w:rsidRPr="00355362" w:rsidRDefault="007324FE" w:rsidP="00DE4E6E">
      <w:pPr>
        <w:pStyle w:val="SMHeading"/>
      </w:pPr>
      <w:r w:rsidRPr="00355362">
        <w:t>Fig. S</w:t>
      </w:r>
      <w:r>
        <w:t>4.</w:t>
      </w:r>
    </w:p>
    <w:p w14:paraId="424680DF" w14:textId="177BF6D6" w:rsidR="0042183E" w:rsidRDefault="0042183E" w:rsidP="00DE4E6E">
      <w:pPr>
        <w:pStyle w:val="SMcaption"/>
      </w:pPr>
      <w:r>
        <w:t>Annual energy system investments between 2020 and 2024 for the current policy baseline (left) and a pathway compatible with the 1.5</w:t>
      </w:r>
      <w:r>
        <w:sym w:font="Symbol" w:char="F0B0"/>
      </w:r>
      <w:r>
        <w:t>C limit of global mean temperature (right) for four large economies</w:t>
      </w:r>
      <w:r w:rsidR="00C44957">
        <w:t xml:space="preserve"> (China, European Union, India and the United States)</w:t>
      </w:r>
      <w:r>
        <w:t>.</w:t>
      </w:r>
    </w:p>
    <w:p w14:paraId="692E3774" w14:textId="2D125600" w:rsidR="0042183E" w:rsidRDefault="0042183E" w:rsidP="00DE4E6E">
      <w:r>
        <w:br w:type="page"/>
      </w:r>
    </w:p>
    <w:p w14:paraId="337A1751" w14:textId="738055A0" w:rsidR="0042183E" w:rsidRDefault="00CB7721" w:rsidP="00DE4E6E">
      <w:pPr>
        <w:pStyle w:val="SMcaption"/>
      </w:pPr>
      <w:r>
        <w:rPr>
          <w:noProof/>
        </w:rPr>
        <w:lastRenderedPageBreak/>
        <w:drawing>
          <wp:inline distT="0" distB="0" distL="0" distR="0" wp14:anchorId="1D61C30E" wp14:editId="10B2E6ED">
            <wp:extent cx="5410200" cy="3581400"/>
            <wp:effectExtent l="0" t="0" r="0" b="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_s5.png"/>
                    <pic:cNvPicPr/>
                  </pic:nvPicPr>
                  <pic:blipFill>
                    <a:blip r:embed="rId20">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1D51DB31" w14:textId="629E06FA" w:rsidR="007324FE" w:rsidRPr="00355362" w:rsidRDefault="007324FE" w:rsidP="00DE4E6E">
      <w:pPr>
        <w:pStyle w:val="SMHeading"/>
      </w:pPr>
      <w:r w:rsidRPr="00355362">
        <w:t>Fig. S</w:t>
      </w:r>
      <w:r>
        <w:t>5.</w:t>
      </w:r>
    </w:p>
    <w:p w14:paraId="6852B8FF" w14:textId="1285D441" w:rsidR="007324FE" w:rsidRDefault="0042183E" w:rsidP="00DE4E6E">
      <w:pPr>
        <w:pStyle w:val="SMcaption"/>
      </w:pPr>
      <w:r>
        <w:t>Annual shift in energy investments from the current policy baseline scenario to a pathway compatible with the 1.5</w:t>
      </w:r>
      <w:r>
        <w:sym w:font="Symbol" w:char="F0B0"/>
      </w:r>
      <w:r>
        <w:t>C limit of global mean temperature for five macro regions and the world (left) and four large economies (right).</w:t>
      </w:r>
    </w:p>
    <w:p w14:paraId="488FF271" w14:textId="332C74F1" w:rsidR="0042183E" w:rsidRDefault="0042183E" w:rsidP="00DE4E6E">
      <w:r>
        <w:br w:type="page"/>
      </w:r>
    </w:p>
    <w:p w14:paraId="4B8F0549" w14:textId="0EE3FC5E" w:rsidR="007324FE" w:rsidRDefault="00CB7721" w:rsidP="00DE4E6E">
      <w:pPr>
        <w:pStyle w:val="SMcaption"/>
      </w:pPr>
      <w:r>
        <w:rPr>
          <w:noProof/>
        </w:rPr>
        <w:lastRenderedPageBreak/>
        <w:drawing>
          <wp:inline distT="0" distB="0" distL="0" distR="0" wp14:anchorId="5B556AC1" wp14:editId="57A2B440">
            <wp:extent cx="5410200" cy="3581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s6.png"/>
                    <pic:cNvPicPr/>
                  </pic:nvPicPr>
                  <pic:blipFill>
                    <a:blip r:embed="rId21">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2D0F2A1F" w14:textId="07DEFEC9" w:rsidR="007324FE" w:rsidRPr="00355362" w:rsidRDefault="007324FE" w:rsidP="00DE4E6E">
      <w:pPr>
        <w:pStyle w:val="SMHeading"/>
      </w:pPr>
      <w:r w:rsidRPr="00355362">
        <w:t>Fig. S</w:t>
      </w:r>
      <w:r>
        <w:t>6.</w:t>
      </w:r>
    </w:p>
    <w:p w14:paraId="722A1460" w14:textId="7711092F" w:rsidR="007324FE" w:rsidRDefault="0042183E" w:rsidP="00DE4E6E">
      <w:pPr>
        <w:pStyle w:val="SMcaption"/>
      </w:pPr>
      <w:r>
        <w:t>Average annual energy investments compatible with the 1.5</w:t>
      </w:r>
      <w:r>
        <w:sym w:font="Symbol" w:char="F0B0"/>
      </w:r>
      <w:r>
        <w:t>C global mean temperature limit, and fiscal stimulus packages in response to COVID-19, expressed as a percentage of the 201</w:t>
      </w:r>
      <w:r w:rsidR="0006034C">
        <w:t>9</w:t>
      </w:r>
      <w:r>
        <w:t xml:space="preserve"> Gross Domestic Product (GDP)</w:t>
      </w:r>
      <w:r w:rsidR="002254CD">
        <w:t xml:space="preserve"> for five macro regions and the world (left) and four major economies (right).</w:t>
      </w:r>
    </w:p>
    <w:p w14:paraId="12677C80" w14:textId="271FECC7" w:rsidR="002254CD" w:rsidRDefault="002254CD" w:rsidP="00DE4E6E">
      <w:r>
        <w:br w:type="page"/>
      </w:r>
    </w:p>
    <w:p w14:paraId="0ECB6391" w14:textId="2FCEBAFF" w:rsidR="002254CD" w:rsidRDefault="00CB7721" w:rsidP="00DE4E6E">
      <w:pPr>
        <w:pStyle w:val="SMcaption"/>
      </w:pPr>
      <w:r>
        <w:rPr>
          <w:noProof/>
        </w:rPr>
        <w:lastRenderedPageBreak/>
        <w:drawing>
          <wp:inline distT="0" distB="0" distL="0" distR="0" wp14:anchorId="28E8A45A" wp14:editId="7BD89995">
            <wp:extent cx="5410200" cy="35814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_s7.png"/>
                    <pic:cNvPicPr/>
                  </pic:nvPicPr>
                  <pic:blipFill>
                    <a:blip r:embed="rId22">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6DFA1BA" w14:textId="3DAA665C" w:rsidR="007324FE" w:rsidRPr="00355362" w:rsidRDefault="007324FE" w:rsidP="00DE4E6E">
      <w:pPr>
        <w:pStyle w:val="SMHeading"/>
      </w:pPr>
      <w:r w:rsidRPr="00355362">
        <w:t>Fig. S</w:t>
      </w:r>
      <w:r>
        <w:t>7.</w:t>
      </w:r>
    </w:p>
    <w:p w14:paraId="0511E1BE" w14:textId="59547782" w:rsidR="002254CD" w:rsidRDefault="002254CD" w:rsidP="00DE4E6E">
      <w:pPr>
        <w:pStyle w:val="SMcaption"/>
      </w:pPr>
      <w:r>
        <w:t>Annual energy investments compatible with the 1.5</w:t>
      </w:r>
      <w:r>
        <w:sym w:font="Symbol" w:char="F0B0"/>
      </w:r>
      <w:r>
        <w:t xml:space="preserve">C global mean temperature limit, and fiscal stimulus packages in response to COVID-19, expressed in </w:t>
      </w:r>
      <w:r w:rsidR="003E6756">
        <w:t xml:space="preserve">2019 </w:t>
      </w:r>
      <w:r>
        <w:t>USD, for five macro regions and the world (left) and four major economies (right).</w:t>
      </w:r>
    </w:p>
    <w:p w14:paraId="24D9184A" w14:textId="3785A2E1" w:rsidR="007C594E" w:rsidRDefault="007C594E">
      <w:r>
        <w:br w:type="page"/>
      </w:r>
    </w:p>
    <w:p w14:paraId="014F15D4" w14:textId="2794ABC4" w:rsidR="007C594E" w:rsidRDefault="0027044C" w:rsidP="007C594E">
      <w:pPr>
        <w:pStyle w:val="SMcaption"/>
        <w:keepNext/>
      </w:pPr>
      <w:r>
        <w:rPr>
          <w:noProof/>
        </w:rPr>
        <w:lastRenderedPageBreak/>
        <w:drawing>
          <wp:inline distT="0" distB="0" distL="0" distR="0" wp14:anchorId="0D8E57D2" wp14:editId="36BB50EF">
            <wp:extent cx="5943600" cy="4545965"/>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_spread_2020202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p w14:paraId="1CC65CF8" w14:textId="5CF71861" w:rsidR="007C594E" w:rsidRPr="00CF3012" w:rsidRDefault="007C594E" w:rsidP="007C594E">
      <w:pPr>
        <w:pStyle w:val="Caption"/>
        <w:rPr>
          <w:lang w:val="en-DE"/>
        </w:rPr>
      </w:pPr>
      <w:r>
        <w:t>Fig S8</w:t>
      </w:r>
      <w:r w:rsidR="00CF3012">
        <w:t xml:space="preserve">: </w:t>
      </w:r>
      <w:r w:rsidR="00CF3012">
        <w:rPr>
          <w:b w:val="0"/>
          <w:bCs w:val="0"/>
        </w:rPr>
        <w:t xml:space="preserve">Model estimates </w:t>
      </w:r>
      <w:r w:rsidR="00CF3012" w:rsidRPr="00CF3012">
        <w:rPr>
          <w:b w:val="0"/>
          <w:bCs w:val="0"/>
        </w:rPr>
        <w:t>for</w:t>
      </w:r>
      <w:r w:rsidR="0027044C">
        <w:rPr>
          <w:b w:val="0"/>
          <w:bCs w:val="0"/>
        </w:rPr>
        <w:t xml:space="preserve"> annual</w:t>
      </w:r>
      <w:r w:rsidR="00CF3012" w:rsidRPr="00CF3012">
        <w:rPr>
          <w:b w:val="0"/>
          <w:bCs w:val="0"/>
        </w:rPr>
        <w:t xml:space="preserve"> shifts in energy investments between current policies and a </w:t>
      </w:r>
      <w:r w:rsidR="00CF3012" w:rsidRPr="00CF3012">
        <w:rPr>
          <w:b w:val="0"/>
          <w:bCs w:val="0"/>
        </w:rPr>
        <w:t>1.5</w:t>
      </w:r>
      <w:r w:rsidR="00CF3012" w:rsidRPr="00CF3012">
        <w:rPr>
          <w:b w:val="0"/>
          <w:bCs w:val="0"/>
        </w:rPr>
        <w:sym w:font="Symbol" w:char="F0B0"/>
      </w:r>
      <w:r w:rsidR="00CF3012" w:rsidRPr="00CF3012">
        <w:rPr>
          <w:b w:val="0"/>
          <w:bCs w:val="0"/>
        </w:rPr>
        <w:t>C</w:t>
      </w:r>
      <w:r w:rsidR="00CF3012" w:rsidRPr="00CF3012">
        <w:rPr>
          <w:b w:val="0"/>
          <w:bCs w:val="0"/>
        </w:rPr>
        <w:t>-compatible pathway</w:t>
      </w:r>
      <w:r w:rsidR="0027044C">
        <w:rPr>
          <w:b w:val="0"/>
          <w:bCs w:val="0"/>
        </w:rPr>
        <w:t>, for the period between 2020 and 2024</w:t>
      </w:r>
      <w:r w:rsidR="00CF3012">
        <w:rPr>
          <w:b w:val="0"/>
          <w:bCs w:val="0"/>
        </w:rPr>
        <w:t xml:space="preserve">. </w:t>
      </w:r>
      <w:r w:rsidR="00CF3012" w:rsidRPr="00CF3012">
        <w:rPr>
          <w:b w:val="0"/>
          <w:bCs w:val="0"/>
        </w:rPr>
        <w:t>Bar</w:t>
      </w:r>
      <w:r w:rsidR="00CF3012">
        <w:rPr>
          <w:b w:val="0"/>
          <w:bCs w:val="0"/>
        </w:rPr>
        <w:t>s</w:t>
      </w:r>
      <w:r w:rsidR="00CF3012" w:rsidRPr="00CF3012">
        <w:rPr>
          <w:b w:val="0"/>
          <w:bCs w:val="0"/>
        </w:rPr>
        <w:t xml:space="preserve"> represent multi-model means</w:t>
      </w:r>
      <w:r w:rsidR="00CF3012">
        <w:rPr>
          <w:b w:val="0"/>
          <w:bCs w:val="0"/>
        </w:rPr>
        <w:t xml:space="preserve"> and the</w:t>
      </w:r>
      <w:r w:rsidR="00CF3012" w:rsidRPr="00CF3012">
        <w:rPr>
          <w:b w:val="0"/>
          <w:bCs w:val="0"/>
        </w:rPr>
        <w:t xml:space="preserve"> whiskers give the minimum–maximum ranges across the models</w:t>
      </w:r>
      <w:r w:rsidR="00CF3012">
        <w:rPr>
          <w:b w:val="0"/>
          <w:bCs w:val="0"/>
        </w:rPr>
        <w:t>.</w:t>
      </w:r>
    </w:p>
    <w:p w14:paraId="2E92BAB6" w14:textId="77777777" w:rsidR="007C594E" w:rsidRDefault="007C594E">
      <w:r>
        <w:br w:type="page"/>
      </w:r>
    </w:p>
    <w:p w14:paraId="17885842" w14:textId="090F380D" w:rsidR="007C594E" w:rsidRDefault="0027044C" w:rsidP="007C594E">
      <w:pPr>
        <w:keepNext/>
      </w:pPr>
      <w:r>
        <w:rPr>
          <w:noProof/>
        </w:rPr>
        <w:lastRenderedPageBreak/>
        <w:drawing>
          <wp:inline distT="0" distB="0" distL="0" distR="0" wp14:anchorId="27E61282" wp14:editId="16F3AB20">
            <wp:extent cx="5943600" cy="4545965"/>
            <wp:effectExtent l="0" t="0" r="0" b="63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spread_20202050.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p w14:paraId="64AEA2C8" w14:textId="3B754827" w:rsidR="007C594E" w:rsidRDefault="007C594E" w:rsidP="007C594E">
      <w:pPr>
        <w:pStyle w:val="Caption"/>
      </w:pPr>
      <w:r>
        <w:t>Fig. S9</w:t>
      </w:r>
      <w:r w:rsidR="00B165A3">
        <w:t xml:space="preserve">: </w:t>
      </w:r>
      <w:r w:rsidR="00B165A3">
        <w:rPr>
          <w:b w:val="0"/>
          <w:bCs w:val="0"/>
        </w:rPr>
        <w:t xml:space="preserve">Model estimates </w:t>
      </w:r>
      <w:r w:rsidR="00B165A3" w:rsidRPr="00CF3012">
        <w:rPr>
          <w:b w:val="0"/>
          <w:bCs w:val="0"/>
        </w:rPr>
        <w:t>for</w:t>
      </w:r>
      <w:r w:rsidR="00B165A3">
        <w:rPr>
          <w:b w:val="0"/>
          <w:bCs w:val="0"/>
        </w:rPr>
        <w:t xml:space="preserve"> annual</w:t>
      </w:r>
      <w:r w:rsidR="00B165A3" w:rsidRPr="00CF3012">
        <w:rPr>
          <w:b w:val="0"/>
          <w:bCs w:val="0"/>
        </w:rPr>
        <w:t xml:space="preserve"> shifts in energy investments between current policies and a 1.5</w:t>
      </w:r>
      <w:r w:rsidR="00B165A3" w:rsidRPr="00CF3012">
        <w:rPr>
          <w:b w:val="0"/>
          <w:bCs w:val="0"/>
        </w:rPr>
        <w:sym w:font="Symbol" w:char="F0B0"/>
      </w:r>
      <w:r w:rsidR="00B165A3" w:rsidRPr="00CF3012">
        <w:rPr>
          <w:b w:val="0"/>
          <w:bCs w:val="0"/>
        </w:rPr>
        <w:t>C-compatible pathway</w:t>
      </w:r>
      <w:r w:rsidR="00B165A3">
        <w:rPr>
          <w:b w:val="0"/>
          <w:bCs w:val="0"/>
        </w:rPr>
        <w:t>, for the period between 2020 and 20</w:t>
      </w:r>
      <w:r w:rsidR="00B165A3">
        <w:rPr>
          <w:b w:val="0"/>
          <w:bCs w:val="0"/>
        </w:rPr>
        <w:t>50</w:t>
      </w:r>
      <w:r w:rsidR="00B165A3">
        <w:rPr>
          <w:b w:val="0"/>
          <w:bCs w:val="0"/>
        </w:rPr>
        <w:t xml:space="preserve">. </w:t>
      </w:r>
      <w:r w:rsidR="00B165A3" w:rsidRPr="00CF3012">
        <w:rPr>
          <w:b w:val="0"/>
          <w:bCs w:val="0"/>
        </w:rPr>
        <w:t>Bar</w:t>
      </w:r>
      <w:r w:rsidR="00B165A3">
        <w:rPr>
          <w:b w:val="0"/>
          <w:bCs w:val="0"/>
        </w:rPr>
        <w:t>s</w:t>
      </w:r>
      <w:r w:rsidR="00B165A3" w:rsidRPr="00CF3012">
        <w:rPr>
          <w:b w:val="0"/>
          <w:bCs w:val="0"/>
        </w:rPr>
        <w:t xml:space="preserve"> represent multi-model means</w:t>
      </w:r>
      <w:r w:rsidR="00B165A3">
        <w:rPr>
          <w:b w:val="0"/>
          <w:bCs w:val="0"/>
        </w:rPr>
        <w:t xml:space="preserve"> and the</w:t>
      </w:r>
      <w:r w:rsidR="00B165A3" w:rsidRPr="00CF3012">
        <w:rPr>
          <w:b w:val="0"/>
          <w:bCs w:val="0"/>
        </w:rPr>
        <w:t xml:space="preserve"> whiskers give the minimum–maximum ranges across the models</w:t>
      </w:r>
      <w:r w:rsidR="00B165A3">
        <w:rPr>
          <w:b w:val="0"/>
          <w:bCs w:val="0"/>
        </w:rPr>
        <w:t>.</w:t>
      </w:r>
    </w:p>
    <w:p w14:paraId="0CB7F20E" w14:textId="7D71F31B" w:rsidR="00EC26B3" w:rsidRDefault="00EC26B3">
      <w:ins w:id="3" w:author="Marina Andrijevic" w:date="2020-08-01T22:24:00Z">
        <w:r>
          <w:br w:type="page"/>
        </w:r>
      </w:ins>
    </w:p>
    <w:p w14:paraId="46E09258" w14:textId="77777777" w:rsidR="007C594E" w:rsidRDefault="007C594E">
      <w:pPr>
        <w:rPr>
          <w:ins w:id="4" w:author="Marina Andrijevic" w:date="2020-08-01T22:24:00Z"/>
        </w:rPr>
      </w:pPr>
    </w:p>
    <w:tbl>
      <w:tblPr>
        <w:tblStyle w:val="TableGrid"/>
        <w:tblW w:w="0" w:type="auto"/>
        <w:tblLook w:val="04A0" w:firstRow="1" w:lastRow="0" w:firstColumn="1" w:lastColumn="0" w:noHBand="0" w:noVBand="1"/>
      </w:tblPr>
      <w:tblGrid>
        <w:gridCol w:w="1980"/>
        <w:gridCol w:w="992"/>
        <w:gridCol w:w="1843"/>
        <w:gridCol w:w="2265"/>
        <w:gridCol w:w="1760"/>
      </w:tblGrid>
      <w:tr w:rsidR="00EC26B3" w:rsidRPr="00EC26B3" w14:paraId="72FF3E1E" w14:textId="77777777" w:rsidTr="00C2116F">
        <w:trPr>
          <w:trHeight w:val="320"/>
        </w:trPr>
        <w:tc>
          <w:tcPr>
            <w:tcW w:w="8840" w:type="dxa"/>
            <w:gridSpan w:val="5"/>
            <w:noWrap/>
          </w:tcPr>
          <w:p w14:paraId="45CC34C6" w14:textId="77777777" w:rsidR="00EC26B3" w:rsidRPr="00EC26B3" w:rsidRDefault="00EC26B3" w:rsidP="00EC26B3">
            <w:pPr>
              <w:rPr>
                <w:rFonts w:ascii="Times New Roman" w:hAnsi="Times New Roman" w:cs="Times New Roman"/>
                <w:b/>
                <w:bCs/>
                <w:sz w:val="20"/>
                <w:szCs w:val="20"/>
                <w:lang w:val="en-GB"/>
              </w:rPr>
            </w:pPr>
            <w:r w:rsidRPr="00EC26B3">
              <w:rPr>
                <w:rFonts w:ascii="Times New Roman" w:hAnsi="Times New Roman" w:cs="Times New Roman"/>
                <w:b/>
                <w:bCs/>
                <w:sz w:val="20"/>
                <w:szCs w:val="20"/>
                <w:lang w:val="en-GB"/>
              </w:rPr>
              <w:t xml:space="preserve">Table S1: </w:t>
            </w:r>
          </w:p>
          <w:p w14:paraId="1846E656" w14:textId="3E0B4F59" w:rsidR="00EC26B3" w:rsidRPr="00EC26B3" w:rsidRDefault="00EC26B3" w:rsidP="00EC26B3">
            <w:pPr>
              <w:rPr>
                <w:sz w:val="20"/>
                <w:szCs w:val="20"/>
              </w:rPr>
            </w:pPr>
            <w:r w:rsidRPr="00EC26B3">
              <w:rPr>
                <w:rFonts w:ascii="Times New Roman" w:hAnsi="Times New Roman" w:cs="Times New Roman"/>
                <w:b/>
                <w:bCs/>
                <w:sz w:val="20"/>
                <w:szCs w:val="20"/>
                <w:lang w:val="en-GB"/>
              </w:rPr>
              <w:t>Inventory and categorisation of stimulus packages in response to COVID-19, based on the IMF Policy Tracker (IMF, 2020). Explanations for categories can be found in the Materials and Methods section (SM p.2).</w:t>
            </w:r>
            <w:r w:rsidR="006D23EF">
              <w:rPr>
                <w:rFonts w:ascii="Times New Roman" w:hAnsi="Times New Roman" w:cs="Times New Roman"/>
                <w:b/>
                <w:bCs/>
                <w:sz w:val="20"/>
                <w:szCs w:val="20"/>
                <w:lang w:val="en-GB"/>
              </w:rPr>
              <w:t xml:space="preserve"> </w:t>
            </w:r>
            <w:r w:rsidR="00D0204B">
              <w:rPr>
                <w:rFonts w:ascii="Times New Roman" w:hAnsi="Times New Roman" w:cs="Times New Roman"/>
                <w:b/>
                <w:bCs/>
                <w:sz w:val="20"/>
                <w:szCs w:val="20"/>
                <w:lang w:val="en-GB"/>
              </w:rPr>
              <w:t>R</w:t>
            </w:r>
            <w:r w:rsidR="006D23EF">
              <w:rPr>
                <w:rFonts w:ascii="Times New Roman" w:hAnsi="Times New Roman" w:cs="Times New Roman"/>
                <w:b/>
                <w:bCs/>
                <w:sz w:val="20"/>
                <w:szCs w:val="20"/>
                <w:lang w:val="en-GB"/>
              </w:rPr>
              <w:t>eported in billions of US dollars.</w:t>
            </w:r>
          </w:p>
        </w:tc>
      </w:tr>
      <w:tr w:rsidR="00EC26B3" w:rsidRPr="00EC26B3" w14:paraId="4AC8B1B5" w14:textId="77777777" w:rsidTr="00EC26B3">
        <w:trPr>
          <w:trHeight w:val="320"/>
        </w:trPr>
        <w:tc>
          <w:tcPr>
            <w:tcW w:w="1980" w:type="dxa"/>
            <w:noWrap/>
            <w:hideMark/>
          </w:tcPr>
          <w:p w14:paraId="2A1A5A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Country</w:t>
            </w:r>
          </w:p>
        </w:tc>
        <w:tc>
          <w:tcPr>
            <w:tcW w:w="992" w:type="dxa"/>
            <w:noWrap/>
            <w:hideMark/>
          </w:tcPr>
          <w:p w14:paraId="50080B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Region</w:t>
            </w:r>
          </w:p>
        </w:tc>
        <w:tc>
          <w:tcPr>
            <w:tcW w:w="1843" w:type="dxa"/>
            <w:noWrap/>
            <w:hideMark/>
          </w:tcPr>
          <w:p w14:paraId="5FA856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General spending</w:t>
            </w:r>
          </w:p>
        </w:tc>
        <w:tc>
          <w:tcPr>
            <w:tcW w:w="2265" w:type="dxa"/>
            <w:noWrap/>
            <w:hideMark/>
          </w:tcPr>
          <w:p w14:paraId="5808B8E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Health sector spending</w:t>
            </w:r>
          </w:p>
        </w:tc>
        <w:tc>
          <w:tcPr>
            <w:tcW w:w="1760" w:type="dxa"/>
            <w:noWrap/>
            <w:hideMark/>
          </w:tcPr>
          <w:p w14:paraId="61A9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Liquidity support</w:t>
            </w:r>
          </w:p>
        </w:tc>
      </w:tr>
      <w:tr w:rsidR="00EC26B3" w:rsidRPr="00EC26B3" w14:paraId="590A0646" w14:textId="77777777" w:rsidTr="00EC26B3">
        <w:trPr>
          <w:trHeight w:val="320"/>
        </w:trPr>
        <w:tc>
          <w:tcPr>
            <w:tcW w:w="1980" w:type="dxa"/>
            <w:noWrap/>
            <w:hideMark/>
          </w:tcPr>
          <w:p w14:paraId="10565A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Afghanistan</w:t>
            </w:r>
          </w:p>
        </w:tc>
        <w:tc>
          <w:tcPr>
            <w:tcW w:w="992" w:type="dxa"/>
            <w:noWrap/>
            <w:hideMark/>
          </w:tcPr>
          <w:p w14:paraId="5BECE3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9E8B47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5F6093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70FED29" w14:textId="4EA86B5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E1359E" w14:textId="77777777" w:rsidTr="00EC26B3">
        <w:trPr>
          <w:trHeight w:val="320"/>
        </w:trPr>
        <w:tc>
          <w:tcPr>
            <w:tcW w:w="1980" w:type="dxa"/>
            <w:noWrap/>
            <w:hideMark/>
          </w:tcPr>
          <w:p w14:paraId="709F97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Albania</w:t>
            </w:r>
          </w:p>
        </w:tc>
        <w:tc>
          <w:tcPr>
            <w:tcW w:w="992" w:type="dxa"/>
            <w:noWrap/>
            <w:hideMark/>
          </w:tcPr>
          <w:p w14:paraId="35749A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569930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2265" w:type="dxa"/>
            <w:noWrap/>
            <w:hideMark/>
          </w:tcPr>
          <w:p w14:paraId="4E3A4E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2DD718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0.24</w:t>
            </w:r>
          </w:p>
        </w:tc>
      </w:tr>
      <w:tr w:rsidR="00EC26B3" w:rsidRPr="00EC26B3" w14:paraId="29A89F3E" w14:textId="77777777" w:rsidTr="00EC26B3">
        <w:trPr>
          <w:trHeight w:val="320"/>
        </w:trPr>
        <w:tc>
          <w:tcPr>
            <w:tcW w:w="1980" w:type="dxa"/>
            <w:noWrap/>
            <w:hideMark/>
          </w:tcPr>
          <w:p w14:paraId="6DD2C0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Algeria</w:t>
            </w:r>
          </w:p>
        </w:tc>
        <w:tc>
          <w:tcPr>
            <w:tcW w:w="992" w:type="dxa"/>
            <w:noWrap/>
            <w:hideMark/>
          </w:tcPr>
          <w:p w14:paraId="49392A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12A70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4438384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1760" w:type="dxa"/>
            <w:noWrap/>
            <w:hideMark/>
          </w:tcPr>
          <w:p w14:paraId="3BD306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60DF5064" w14:textId="77777777" w:rsidTr="00EC26B3">
        <w:trPr>
          <w:trHeight w:val="320"/>
        </w:trPr>
        <w:tc>
          <w:tcPr>
            <w:tcW w:w="1980" w:type="dxa"/>
            <w:noWrap/>
            <w:hideMark/>
          </w:tcPr>
          <w:p w14:paraId="44F1C5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Angola</w:t>
            </w:r>
          </w:p>
        </w:tc>
        <w:tc>
          <w:tcPr>
            <w:tcW w:w="992" w:type="dxa"/>
            <w:noWrap/>
            <w:hideMark/>
          </w:tcPr>
          <w:p w14:paraId="0A3266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AA2E750" w14:textId="4CF3607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690CCC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C0C59D6" w14:textId="21AE480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19CC763" w14:textId="77777777" w:rsidTr="00EC26B3">
        <w:trPr>
          <w:trHeight w:val="320"/>
        </w:trPr>
        <w:tc>
          <w:tcPr>
            <w:tcW w:w="1980" w:type="dxa"/>
            <w:noWrap/>
            <w:hideMark/>
          </w:tcPr>
          <w:p w14:paraId="721BEA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Argentina</w:t>
            </w:r>
          </w:p>
        </w:tc>
        <w:tc>
          <w:tcPr>
            <w:tcW w:w="992" w:type="dxa"/>
            <w:noWrap/>
            <w:hideMark/>
          </w:tcPr>
          <w:p w14:paraId="340089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3B3014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11.00</w:t>
            </w:r>
          </w:p>
        </w:tc>
        <w:tc>
          <w:tcPr>
            <w:tcW w:w="2265" w:type="dxa"/>
            <w:noWrap/>
            <w:hideMark/>
          </w:tcPr>
          <w:p w14:paraId="55457E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60750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8.30</w:t>
            </w:r>
          </w:p>
        </w:tc>
      </w:tr>
      <w:tr w:rsidR="00EC26B3" w:rsidRPr="00EC26B3" w14:paraId="074E84F9" w14:textId="77777777" w:rsidTr="00EC26B3">
        <w:trPr>
          <w:trHeight w:val="320"/>
        </w:trPr>
        <w:tc>
          <w:tcPr>
            <w:tcW w:w="1980" w:type="dxa"/>
            <w:noWrap/>
            <w:hideMark/>
          </w:tcPr>
          <w:p w14:paraId="3699FB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Armenia</w:t>
            </w:r>
          </w:p>
        </w:tc>
        <w:tc>
          <w:tcPr>
            <w:tcW w:w="992" w:type="dxa"/>
            <w:noWrap/>
            <w:hideMark/>
          </w:tcPr>
          <w:p w14:paraId="4C4E81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C9DDB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D4C933F" w14:textId="5B15A9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DB9ADD4" w14:textId="1DCF9E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A18D7A" w14:textId="77777777" w:rsidTr="00EC26B3">
        <w:trPr>
          <w:trHeight w:val="320"/>
        </w:trPr>
        <w:tc>
          <w:tcPr>
            <w:tcW w:w="1980" w:type="dxa"/>
            <w:noWrap/>
            <w:hideMark/>
          </w:tcPr>
          <w:p w14:paraId="6A4FE7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Australia</w:t>
            </w:r>
          </w:p>
        </w:tc>
        <w:tc>
          <w:tcPr>
            <w:tcW w:w="992" w:type="dxa"/>
            <w:noWrap/>
            <w:hideMark/>
          </w:tcPr>
          <w:p w14:paraId="167A79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391522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107.00</w:t>
            </w:r>
          </w:p>
        </w:tc>
        <w:tc>
          <w:tcPr>
            <w:tcW w:w="2265" w:type="dxa"/>
            <w:noWrap/>
            <w:hideMark/>
          </w:tcPr>
          <w:p w14:paraId="29091F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5E092A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102CD95E" w14:textId="77777777" w:rsidTr="00EC26B3">
        <w:trPr>
          <w:trHeight w:val="320"/>
        </w:trPr>
        <w:tc>
          <w:tcPr>
            <w:tcW w:w="1980" w:type="dxa"/>
            <w:noWrap/>
            <w:hideMark/>
          </w:tcPr>
          <w:p w14:paraId="70BD4D3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Austria</w:t>
            </w:r>
          </w:p>
        </w:tc>
        <w:tc>
          <w:tcPr>
            <w:tcW w:w="992" w:type="dxa"/>
            <w:noWrap/>
            <w:hideMark/>
          </w:tcPr>
          <w:p w14:paraId="29485D9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3C75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44.56</w:t>
            </w:r>
          </w:p>
        </w:tc>
        <w:tc>
          <w:tcPr>
            <w:tcW w:w="2265" w:type="dxa"/>
            <w:noWrap/>
            <w:hideMark/>
          </w:tcPr>
          <w:p w14:paraId="2270C5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4.35</w:t>
            </w:r>
          </w:p>
        </w:tc>
        <w:tc>
          <w:tcPr>
            <w:tcW w:w="1760" w:type="dxa"/>
            <w:noWrap/>
            <w:hideMark/>
          </w:tcPr>
          <w:p w14:paraId="5B5CBF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4270E644" w14:textId="77777777" w:rsidTr="00EC26B3">
        <w:trPr>
          <w:trHeight w:val="320"/>
        </w:trPr>
        <w:tc>
          <w:tcPr>
            <w:tcW w:w="1980" w:type="dxa"/>
            <w:noWrap/>
            <w:hideMark/>
          </w:tcPr>
          <w:p w14:paraId="239BA2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Azerbaijan</w:t>
            </w:r>
          </w:p>
        </w:tc>
        <w:tc>
          <w:tcPr>
            <w:tcW w:w="992" w:type="dxa"/>
            <w:noWrap/>
            <w:hideMark/>
          </w:tcPr>
          <w:p w14:paraId="24B6AB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0ECDBAD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1.94</w:t>
            </w:r>
          </w:p>
        </w:tc>
        <w:tc>
          <w:tcPr>
            <w:tcW w:w="2265" w:type="dxa"/>
            <w:noWrap/>
            <w:hideMark/>
          </w:tcPr>
          <w:p w14:paraId="05849F46" w14:textId="7D375C2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BDEEE83" w14:textId="669344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32BF9E0" w14:textId="77777777" w:rsidTr="00EC26B3">
        <w:trPr>
          <w:trHeight w:val="320"/>
        </w:trPr>
        <w:tc>
          <w:tcPr>
            <w:tcW w:w="1980" w:type="dxa"/>
            <w:noWrap/>
            <w:hideMark/>
          </w:tcPr>
          <w:p w14:paraId="003E8DE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Bahamas</w:t>
            </w:r>
          </w:p>
        </w:tc>
        <w:tc>
          <w:tcPr>
            <w:tcW w:w="992" w:type="dxa"/>
            <w:noWrap/>
            <w:hideMark/>
          </w:tcPr>
          <w:p w14:paraId="7AD6B0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93F34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28CF5FFC" w14:textId="403A99E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6A215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r>
      <w:tr w:rsidR="00EC26B3" w:rsidRPr="00EC26B3" w14:paraId="069D529F" w14:textId="77777777" w:rsidTr="00EC26B3">
        <w:trPr>
          <w:trHeight w:val="320"/>
        </w:trPr>
        <w:tc>
          <w:tcPr>
            <w:tcW w:w="1980" w:type="dxa"/>
            <w:noWrap/>
            <w:hideMark/>
          </w:tcPr>
          <w:p w14:paraId="491DBF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Bahrain</w:t>
            </w:r>
          </w:p>
        </w:tc>
        <w:tc>
          <w:tcPr>
            <w:tcW w:w="992" w:type="dxa"/>
            <w:noWrap/>
            <w:hideMark/>
          </w:tcPr>
          <w:p w14:paraId="153608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020C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4AA6432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0.47</w:t>
            </w:r>
          </w:p>
        </w:tc>
        <w:tc>
          <w:tcPr>
            <w:tcW w:w="1760" w:type="dxa"/>
            <w:noWrap/>
            <w:hideMark/>
          </w:tcPr>
          <w:p w14:paraId="676AC891" w14:textId="0AB429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D69EB4" w14:textId="77777777" w:rsidTr="00EC26B3">
        <w:trPr>
          <w:trHeight w:val="320"/>
        </w:trPr>
        <w:tc>
          <w:tcPr>
            <w:tcW w:w="1980" w:type="dxa"/>
            <w:noWrap/>
            <w:hideMark/>
          </w:tcPr>
          <w:p w14:paraId="5C775F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Bangladesh</w:t>
            </w:r>
          </w:p>
        </w:tc>
        <w:tc>
          <w:tcPr>
            <w:tcW w:w="992" w:type="dxa"/>
            <w:noWrap/>
            <w:hideMark/>
          </w:tcPr>
          <w:p w14:paraId="6A968A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C42F5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1.05</w:t>
            </w:r>
          </w:p>
        </w:tc>
        <w:tc>
          <w:tcPr>
            <w:tcW w:w="2265" w:type="dxa"/>
            <w:noWrap/>
            <w:hideMark/>
          </w:tcPr>
          <w:p w14:paraId="1FE40052" w14:textId="7E446F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ED049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6.23</w:t>
            </w:r>
          </w:p>
        </w:tc>
      </w:tr>
      <w:tr w:rsidR="00EC26B3" w:rsidRPr="00EC26B3" w14:paraId="79892272" w14:textId="77777777" w:rsidTr="00EC26B3">
        <w:trPr>
          <w:trHeight w:val="320"/>
        </w:trPr>
        <w:tc>
          <w:tcPr>
            <w:tcW w:w="1980" w:type="dxa"/>
            <w:noWrap/>
            <w:hideMark/>
          </w:tcPr>
          <w:p w14:paraId="4F9324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Barbados</w:t>
            </w:r>
          </w:p>
        </w:tc>
        <w:tc>
          <w:tcPr>
            <w:tcW w:w="992" w:type="dxa"/>
            <w:noWrap/>
            <w:hideMark/>
          </w:tcPr>
          <w:p w14:paraId="5AEE01C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C7E15F" w14:textId="44A3A3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1DF9CA" w14:textId="7DDE09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B049305" w14:textId="598E04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B8D4F46" w14:textId="77777777" w:rsidTr="00EC26B3">
        <w:trPr>
          <w:trHeight w:val="320"/>
        </w:trPr>
        <w:tc>
          <w:tcPr>
            <w:tcW w:w="1980" w:type="dxa"/>
            <w:noWrap/>
            <w:hideMark/>
          </w:tcPr>
          <w:p w14:paraId="1CFB64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Belarus</w:t>
            </w:r>
          </w:p>
        </w:tc>
        <w:tc>
          <w:tcPr>
            <w:tcW w:w="992" w:type="dxa"/>
            <w:noWrap/>
            <w:hideMark/>
          </w:tcPr>
          <w:p w14:paraId="734C654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4D67DFB" w14:textId="0F3E84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3ABE5B8" w14:textId="5D489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4988E06" w14:textId="44DEB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D1F0D5" w14:textId="77777777" w:rsidTr="00EC26B3">
        <w:trPr>
          <w:trHeight w:val="320"/>
        </w:trPr>
        <w:tc>
          <w:tcPr>
            <w:tcW w:w="1980" w:type="dxa"/>
            <w:noWrap/>
            <w:hideMark/>
          </w:tcPr>
          <w:p w14:paraId="57271B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Belgium</w:t>
            </w:r>
          </w:p>
        </w:tc>
        <w:tc>
          <w:tcPr>
            <w:tcW w:w="992" w:type="dxa"/>
            <w:noWrap/>
            <w:hideMark/>
          </w:tcPr>
          <w:p w14:paraId="12488D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46E9F7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15.54</w:t>
            </w:r>
          </w:p>
        </w:tc>
        <w:tc>
          <w:tcPr>
            <w:tcW w:w="2265" w:type="dxa"/>
            <w:noWrap/>
            <w:hideMark/>
          </w:tcPr>
          <w:p w14:paraId="22E7D4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2D2BE0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56.52</w:t>
            </w:r>
          </w:p>
        </w:tc>
      </w:tr>
      <w:tr w:rsidR="00EC26B3" w:rsidRPr="00EC26B3" w14:paraId="4DF4D6DC" w14:textId="77777777" w:rsidTr="00EC26B3">
        <w:trPr>
          <w:trHeight w:val="320"/>
        </w:trPr>
        <w:tc>
          <w:tcPr>
            <w:tcW w:w="1980" w:type="dxa"/>
            <w:noWrap/>
            <w:hideMark/>
          </w:tcPr>
          <w:p w14:paraId="6610FB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Belize</w:t>
            </w:r>
          </w:p>
        </w:tc>
        <w:tc>
          <w:tcPr>
            <w:tcW w:w="992" w:type="dxa"/>
            <w:noWrap/>
            <w:hideMark/>
          </w:tcPr>
          <w:p w14:paraId="34964B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4E56A5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702D0755" w14:textId="6DECB2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A7F3A86" w14:textId="4EAC61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933CF5B" w14:textId="77777777" w:rsidTr="00EC26B3">
        <w:trPr>
          <w:trHeight w:val="320"/>
        </w:trPr>
        <w:tc>
          <w:tcPr>
            <w:tcW w:w="1980" w:type="dxa"/>
            <w:noWrap/>
            <w:hideMark/>
          </w:tcPr>
          <w:p w14:paraId="44E387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Benin</w:t>
            </w:r>
          </w:p>
        </w:tc>
        <w:tc>
          <w:tcPr>
            <w:tcW w:w="992" w:type="dxa"/>
            <w:noWrap/>
            <w:hideMark/>
          </w:tcPr>
          <w:p w14:paraId="67E12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3EF57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3E5B7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56DBCC27" w14:textId="4EC66DB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C34939" w14:textId="77777777" w:rsidTr="00EC26B3">
        <w:trPr>
          <w:trHeight w:val="320"/>
        </w:trPr>
        <w:tc>
          <w:tcPr>
            <w:tcW w:w="1980" w:type="dxa"/>
            <w:noWrap/>
            <w:hideMark/>
          </w:tcPr>
          <w:p w14:paraId="63A6B21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Bhutan</w:t>
            </w:r>
          </w:p>
        </w:tc>
        <w:tc>
          <w:tcPr>
            <w:tcW w:w="992" w:type="dxa"/>
            <w:noWrap/>
            <w:hideMark/>
          </w:tcPr>
          <w:p w14:paraId="0D0A38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25754A" w14:textId="0D7741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1170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4C27D92C" w14:textId="7E1A86A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F3CF00" w14:textId="77777777" w:rsidTr="00EC26B3">
        <w:trPr>
          <w:trHeight w:val="320"/>
        </w:trPr>
        <w:tc>
          <w:tcPr>
            <w:tcW w:w="1980" w:type="dxa"/>
            <w:noWrap/>
            <w:hideMark/>
          </w:tcPr>
          <w:p w14:paraId="71DCDA2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Bolivia</w:t>
            </w:r>
          </w:p>
        </w:tc>
        <w:tc>
          <w:tcPr>
            <w:tcW w:w="992" w:type="dxa"/>
            <w:noWrap/>
            <w:hideMark/>
          </w:tcPr>
          <w:p w14:paraId="40AB2C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1C57C4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103DD1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1760" w:type="dxa"/>
            <w:noWrap/>
            <w:hideMark/>
          </w:tcPr>
          <w:p w14:paraId="2EA0413F" w14:textId="0BFA0FE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35B0138" w14:textId="77777777" w:rsidTr="00EC26B3">
        <w:trPr>
          <w:trHeight w:val="320"/>
        </w:trPr>
        <w:tc>
          <w:tcPr>
            <w:tcW w:w="1980" w:type="dxa"/>
            <w:noWrap/>
            <w:hideMark/>
          </w:tcPr>
          <w:p w14:paraId="285906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Bosnia &amp; Herzegovina</w:t>
            </w:r>
          </w:p>
        </w:tc>
        <w:tc>
          <w:tcPr>
            <w:tcW w:w="992" w:type="dxa"/>
            <w:noWrap/>
            <w:hideMark/>
          </w:tcPr>
          <w:p w14:paraId="7A6B4F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E8AF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c>
          <w:tcPr>
            <w:tcW w:w="2265" w:type="dxa"/>
            <w:noWrap/>
            <w:hideMark/>
          </w:tcPr>
          <w:p w14:paraId="569AB3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07F594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r>
      <w:tr w:rsidR="00EC26B3" w:rsidRPr="00EC26B3" w14:paraId="1FDE4D9E" w14:textId="77777777" w:rsidTr="00EC26B3">
        <w:trPr>
          <w:trHeight w:val="320"/>
        </w:trPr>
        <w:tc>
          <w:tcPr>
            <w:tcW w:w="1980" w:type="dxa"/>
            <w:noWrap/>
            <w:hideMark/>
          </w:tcPr>
          <w:p w14:paraId="054AC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Botswana</w:t>
            </w:r>
          </w:p>
        </w:tc>
        <w:tc>
          <w:tcPr>
            <w:tcW w:w="992" w:type="dxa"/>
            <w:noWrap/>
            <w:hideMark/>
          </w:tcPr>
          <w:p w14:paraId="2090E2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148E9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2265" w:type="dxa"/>
            <w:noWrap/>
            <w:hideMark/>
          </w:tcPr>
          <w:p w14:paraId="1534589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143712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2FE6AA2C" w14:textId="77777777" w:rsidTr="00EC26B3">
        <w:trPr>
          <w:trHeight w:val="320"/>
        </w:trPr>
        <w:tc>
          <w:tcPr>
            <w:tcW w:w="1980" w:type="dxa"/>
            <w:noWrap/>
            <w:hideMark/>
          </w:tcPr>
          <w:p w14:paraId="2E5464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Brazil</w:t>
            </w:r>
          </w:p>
        </w:tc>
        <w:tc>
          <w:tcPr>
            <w:tcW w:w="992" w:type="dxa"/>
            <w:noWrap/>
            <w:hideMark/>
          </w:tcPr>
          <w:p w14:paraId="769B25F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0B66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112.00</w:t>
            </w:r>
          </w:p>
        </w:tc>
        <w:tc>
          <w:tcPr>
            <w:tcW w:w="2265" w:type="dxa"/>
            <w:noWrap/>
            <w:hideMark/>
          </w:tcPr>
          <w:p w14:paraId="0565D9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1760" w:type="dxa"/>
            <w:noWrap/>
            <w:hideMark/>
          </w:tcPr>
          <w:p w14:paraId="2F5376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71.00</w:t>
            </w:r>
          </w:p>
        </w:tc>
      </w:tr>
      <w:tr w:rsidR="00EC26B3" w:rsidRPr="00EC26B3" w14:paraId="4E01CEF1" w14:textId="77777777" w:rsidTr="00EC26B3">
        <w:trPr>
          <w:trHeight w:val="320"/>
        </w:trPr>
        <w:tc>
          <w:tcPr>
            <w:tcW w:w="1980" w:type="dxa"/>
            <w:noWrap/>
            <w:hideMark/>
          </w:tcPr>
          <w:p w14:paraId="3F1B34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Brunei</w:t>
            </w:r>
          </w:p>
        </w:tc>
        <w:tc>
          <w:tcPr>
            <w:tcW w:w="992" w:type="dxa"/>
            <w:noWrap/>
            <w:hideMark/>
          </w:tcPr>
          <w:p w14:paraId="11CB156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70038E7" w14:textId="4B6CDA0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E93C9C4" w14:textId="29845F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B0217F" w14:textId="1A659F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BB64D9A" w14:textId="77777777" w:rsidTr="00EC26B3">
        <w:trPr>
          <w:trHeight w:val="320"/>
        </w:trPr>
        <w:tc>
          <w:tcPr>
            <w:tcW w:w="1980" w:type="dxa"/>
            <w:noWrap/>
            <w:hideMark/>
          </w:tcPr>
          <w:p w14:paraId="366CCA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Bulgaria</w:t>
            </w:r>
          </w:p>
        </w:tc>
        <w:tc>
          <w:tcPr>
            <w:tcW w:w="992" w:type="dxa"/>
            <w:noWrap/>
            <w:hideMark/>
          </w:tcPr>
          <w:p w14:paraId="0694AC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0ACDB1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w:t>
            </w:r>
          </w:p>
        </w:tc>
        <w:tc>
          <w:tcPr>
            <w:tcW w:w="2265" w:type="dxa"/>
            <w:noWrap/>
            <w:hideMark/>
          </w:tcPr>
          <w:p w14:paraId="525DE5D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77470C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2.60</w:t>
            </w:r>
          </w:p>
        </w:tc>
      </w:tr>
      <w:tr w:rsidR="00EC26B3" w:rsidRPr="00EC26B3" w14:paraId="5D813437" w14:textId="77777777" w:rsidTr="00EC26B3">
        <w:trPr>
          <w:trHeight w:val="320"/>
        </w:trPr>
        <w:tc>
          <w:tcPr>
            <w:tcW w:w="1980" w:type="dxa"/>
            <w:noWrap/>
            <w:hideMark/>
          </w:tcPr>
          <w:p w14:paraId="1BCC10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Burkina Faso</w:t>
            </w:r>
          </w:p>
        </w:tc>
        <w:tc>
          <w:tcPr>
            <w:tcW w:w="992" w:type="dxa"/>
            <w:noWrap/>
            <w:hideMark/>
          </w:tcPr>
          <w:p w14:paraId="7E9FB6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03700C5" w14:textId="2C355DF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925604D" w14:textId="69D242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EC68E6" w14:textId="657B90A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8E4A67" w14:textId="77777777" w:rsidTr="00EC26B3">
        <w:trPr>
          <w:trHeight w:val="320"/>
        </w:trPr>
        <w:tc>
          <w:tcPr>
            <w:tcW w:w="1980" w:type="dxa"/>
            <w:noWrap/>
            <w:hideMark/>
          </w:tcPr>
          <w:p w14:paraId="40BD1B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Burundi</w:t>
            </w:r>
          </w:p>
        </w:tc>
        <w:tc>
          <w:tcPr>
            <w:tcW w:w="992" w:type="dxa"/>
            <w:noWrap/>
            <w:hideMark/>
          </w:tcPr>
          <w:p w14:paraId="31C4230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C80CB2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03FEDB42" w14:textId="0E406EC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32E3403" w14:textId="2231AC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EE12BE" w14:textId="77777777" w:rsidTr="00EC26B3">
        <w:trPr>
          <w:trHeight w:val="320"/>
        </w:trPr>
        <w:tc>
          <w:tcPr>
            <w:tcW w:w="1980" w:type="dxa"/>
            <w:noWrap/>
            <w:hideMark/>
          </w:tcPr>
          <w:p w14:paraId="33C940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w:t>
            </w:r>
            <w:proofErr w:type="spellStart"/>
            <w:r w:rsidRPr="00EC26B3">
              <w:rPr>
                <w:rFonts w:ascii="Times New Roman" w:hAnsi="Times New Roman" w:cs="Times New Roman"/>
                <w:sz w:val="20"/>
                <w:szCs w:val="20"/>
              </w:rPr>
              <w:t>te</w:t>
            </w:r>
            <w:proofErr w:type="spellEnd"/>
            <w:r w:rsidRPr="00EC26B3">
              <w:rPr>
                <w:rFonts w:ascii="Times New Roman" w:hAnsi="Times New Roman" w:cs="Times New Roman"/>
                <w:sz w:val="20"/>
                <w:szCs w:val="20"/>
              </w:rPr>
              <w:t xml:space="preserve"> </w:t>
            </w:r>
            <w:proofErr w:type="spellStart"/>
            <w:r w:rsidRPr="00EC26B3">
              <w:rPr>
                <w:rFonts w:ascii="Times New Roman" w:hAnsi="Times New Roman" w:cs="Times New Roman"/>
                <w:sz w:val="20"/>
                <w:szCs w:val="20"/>
              </w:rPr>
              <w:t>d‚ÄôIvoire</w:t>
            </w:r>
            <w:proofErr w:type="spellEnd"/>
          </w:p>
        </w:tc>
        <w:tc>
          <w:tcPr>
            <w:tcW w:w="992" w:type="dxa"/>
            <w:noWrap/>
            <w:hideMark/>
          </w:tcPr>
          <w:p w14:paraId="4AAF50B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B864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c>
          <w:tcPr>
            <w:tcW w:w="2265" w:type="dxa"/>
            <w:noWrap/>
            <w:hideMark/>
          </w:tcPr>
          <w:p w14:paraId="3704E03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0.13</w:t>
            </w:r>
          </w:p>
        </w:tc>
        <w:tc>
          <w:tcPr>
            <w:tcW w:w="1760" w:type="dxa"/>
            <w:noWrap/>
            <w:hideMark/>
          </w:tcPr>
          <w:p w14:paraId="511B85EF" w14:textId="2B973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203BA0" w14:textId="77777777" w:rsidTr="00EC26B3">
        <w:trPr>
          <w:trHeight w:val="320"/>
        </w:trPr>
        <w:tc>
          <w:tcPr>
            <w:tcW w:w="1980" w:type="dxa"/>
            <w:noWrap/>
            <w:hideMark/>
          </w:tcPr>
          <w:p w14:paraId="7351D2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Cambodia</w:t>
            </w:r>
          </w:p>
        </w:tc>
        <w:tc>
          <w:tcPr>
            <w:tcW w:w="992" w:type="dxa"/>
            <w:noWrap/>
            <w:hideMark/>
          </w:tcPr>
          <w:p w14:paraId="25090DA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5E7472" w14:textId="0DE28F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A62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5A59B276" w14:textId="5B086A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44B7A9E" w14:textId="77777777" w:rsidTr="00EC26B3">
        <w:trPr>
          <w:trHeight w:val="320"/>
        </w:trPr>
        <w:tc>
          <w:tcPr>
            <w:tcW w:w="1980" w:type="dxa"/>
            <w:noWrap/>
            <w:hideMark/>
          </w:tcPr>
          <w:p w14:paraId="759C2C0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Cameroon</w:t>
            </w:r>
          </w:p>
        </w:tc>
        <w:tc>
          <w:tcPr>
            <w:tcW w:w="992" w:type="dxa"/>
            <w:noWrap/>
            <w:hideMark/>
          </w:tcPr>
          <w:p w14:paraId="035236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413E94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AE8A4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19F7036F" w14:textId="56DE5D5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3CA4DA" w14:textId="77777777" w:rsidTr="00EC26B3">
        <w:trPr>
          <w:trHeight w:val="320"/>
        </w:trPr>
        <w:tc>
          <w:tcPr>
            <w:tcW w:w="1980" w:type="dxa"/>
            <w:noWrap/>
            <w:hideMark/>
          </w:tcPr>
          <w:p w14:paraId="4EABC24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Canada</w:t>
            </w:r>
          </w:p>
        </w:tc>
        <w:tc>
          <w:tcPr>
            <w:tcW w:w="992" w:type="dxa"/>
            <w:noWrap/>
            <w:hideMark/>
          </w:tcPr>
          <w:p w14:paraId="2E4A326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F7C94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c>
          <w:tcPr>
            <w:tcW w:w="2265" w:type="dxa"/>
            <w:noWrap/>
            <w:hideMark/>
          </w:tcPr>
          <w:p w14:paraId="194F43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10E6C5BD" w14:textId="79D6C52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w:t>
            </w:r>
          </w:p>
        </w:tc>
      </w:tr>
      <w:tr w:rsidR="00EC26B3" w:rsidRPr="00EC26B3" w14:paraId="4ACABDDC" w14:textId="77777777" w:rsidTr="00EC26B3">
        <w:trPr>
          <w:trHeight w:val="320"/>
        </w:trPr>
        <w:tc>
          <w:tcPr>
            <w:tcW w:w="1980" w:type="dxa"/>
            <w:noWrap/>
            <w:hideMark/>
          </w:tcPr>
          <w:p w14:paraId="318CF3B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Cape Verde</w:t>
            </w:r>
          </w:p>
        </w:tc>
        <w:tc>
          <w:tcPr>
            <w:tcW w:w="992" w:type="dxa"/>
            <w:noWrap/>
            <w:hideMark/>
          </w:tcPr>
          <w:p w14:paraId="076EC0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D5EAC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2F9CA2F8" w14:textId="64370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24D34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0C4137EF" w14:textId="77777777" w:rsidTr="00EC26B3">
        <w:trPr>
          <w:trHeight w:val="320"/>
        </w:trPr>
        <w:tc>
          <w:tcPr>
            <w:tcW w:w="1980" w:type="dxa"/>
            <w:noWrap/>
            <w:hideMark/>
          </w:tcPr>
          <w:p w14:paraId="5EE2840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Central African Republic</w:t>
            </w:r>
          </w:p>
        </w:tc>
        <w:tc>
          <w:tcPr>
            <w:tcW w:w="992" w:type="dxa"/>
            <w:noWrap/>
            <w:hideMark/>
          </w:tcPr>
          <w:p w14:paraId="32F0CC7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AE131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C31D28E" w14:textId="0D23E3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E674EA6" w14:textId="20289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A22D94" w14:textId="77777777" w:rsidTr="00EC26B3">
        <w:trPr>
          <w:trHeight w:val="320"/>
        </w:trPr>
        <w:tc>
          <w:tcPr>
            <w:tcW w:w="1980" w:type="dxa"/>
            <w:noWrap/>
            <w:hideMark/>
          </w:tcPr>
          <w:p w14:paraId="3D0B88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Chad</w:t>
            </w:r>
          </w:p>
        </w:tc>
        <w:tc>
          <w:tcPr>
            <w:tcW w:w="992" w:type="dxa"/>
            <w:noWrap/>
            <w:hideMark/>
          </w:tcPr>
          <w:p w14:paraId="7E83EE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665A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448B9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14FA6931" w14:textId="13F3C97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9DB699F" w14:textId="77777777" w:rsidTr="00EC26B3">
        <w:trPr>
          <w:trHeight w:val="320"/>
        </w:trPr>
        <w:tc>
          <w:tcPr>
            <w:tcW w:w="1980" w:type="dxa"/>
            <w:noWrap/>
            <w:hideMark/>
          </w:tcPr>
          <w:p w14:paraId="19BB6A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Chile</w:t>
            </w:r>
          </w:p>
        </w:tc>
        <w:tc>
          <w:tcPr>
            <w:tcW w:w="992" w:type="dxa"/>
            <w:noWrap/>
            <w:hideMark/>
          </w:tcPr>
          <w:p w14:paraId="45E2FB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FD95D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c>
          <w:tcPr>
            <w:tcW w:w="2265" w:type="dxa"/>
            <w:noWrap/>
            <w:hideMark/>
          </w:tcPr>
          <w:p w14:paraId="40EC006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w:t>
            </w:r>
          </w:p>
        </w:tc>
        <w:tc>
          <w:tcPr>
            <w:tcW w:w="1760" w:type="dxa"/>
            <w:noWrap/>
            <w:hideMark/>
          </w:tcPr>
          <w:p w14:paraId="38D762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5.60</w:t>
            </w:r>
          </w:p>
        </w:tc>
      </w:tr>
      <w:tr w:rsidR="00EC26B3" w:rsidRPr="00EC26B3" w14:paraId="6962B20B" w14:textId="77777777" w:rsidTr="00EC26B3">
        <w:trPr>
          <w:trHeight w:val="320"/>
        </w:trPr>
        <w:tc>
          <w:tcPr>
            <w:tcW w:w="1980" w:type="dxa"/>
            <w:noWrap/>
            <w:hideMark/>
          </w:tcPr>
          <w:p w14:paraId="316FBB0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China</w:t>
            </w:r>
          </w:p>
        </w:tc>
        <w:tc>
          <w:tcPr>
            <w:tcW w:w="992" w:type="dxa"/>
            <w:noWrap/>
            <w:hideMark/>
          </w:tcPr>
          <w:p w14:paraId="2665B8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75E4E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841.00</w:t>
            </w:r>
          </w:p>
        </w:tc>
        <w:tc>
          <w:tcPr>
            <w:tcW w:w="2265" w:type="dxa"/>
            <w:noWrap/>
            <w:hideMark/>
          </w:tcPr>
          <w:p w14:paraId="67EBF8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1760" w:type="dxa"/>
            <w:noWrap/>
            <w:hideMark/>
          </w:tcPr>
          <w:p w14:paraId="62B23330" w14:textId="31A0BD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w:t>
            </w:r>
          </w:p>
        </w:tc>
      </w:tr>
      <w:tr w:rsidR="00EC26B3" w:rsidRPr="00EC26B3" w14:paraId="7A8E42AA" w14:textId="77777777" w:rsidTr="00EC26B3">
        <w:trPr>
          <w:trHeight w:val="320"/>
        </w:trPr>
        <w:tc>
          <w:tcPr>
            <w:tcW w:w="1980" w:type="dxa"/>
            <w:noWrap/>
            <w:hideMark/>
          </w:tcPr>
          <w:p w14:paraId="0A5548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Colombia</w:t>
            </w:r>
          </w:p>
        </w:tc>
        <w:tc>
          <w:tcPr>
            <w:tcW w:w="992" w:type="dxa"/>
            <w:noWrap/>
            <w:hideMark/>
          </w:tcPr>
          <w:p w14:paraId="04D033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24B64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2265" w:type="dxa"/>
            <w:noWrap/>
            <w:hideMark/>
          </w:tcPr>
          <w:p w14:paraId="616D0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1.90</w:t>
            </w:r>
          </w:p>
        </w:tc>
        <w:tc>
          <w:tcPr>
            <w:tcW w:w="1760" w:type="dxa"/>
            <w:noWrap/>
            <w:hideMark/>
          </w:tcPr>
          <w:p w14:paraId="2DAA551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r>
      <w:tr w:rsidR="00EC26B3" w:rsidRPr="00EC26B3" w14:paraId="6FCBAEAD" w14:textId="77777777" w:rsidTr="00EC26B3">
        <w:trPr>
          <w:trHeight w:val="320"/>
        </w:trPr>
        <w:tc>
          <w:tcPr>
            <w:tcW w:w="1980" w:type="dxa"/>
            <w:noWrap/>
            <w:hideMark/>
          </w:tcPr>
          <w:p w14:paraId="3EA0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Comoros</w:t>
            </w:r>
          </w:p>
        </w:tc>
        <w:tc>
          <w:tcPr>
            <w:tcW w:w="992" w:type="dxa"/>
            <w:noWrap/>
            <w:hideMark/>
          </w:tcPr>
          <w:p w14:paraId="2E0045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B7192EB" w14:textId="3798FE8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1E1990" w14:textId="503F57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0C77B23" w14:textId="39E2FF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47B0C5" w14:textId="77777777" w:rsidTr="00EC26B3">
        <w:trPr>
          <w:trHeight w:val="320"/>
        </w:trPr>
        <w:tc>
          <w:tcPr>
            <w:tcW w:w="1980" w:type="dxa"/>
            <w:noWrap/>
            <w:hideMark/>
          </w:tcPr>
          <w:p w14:paraId="73F90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Brazzaville</w:t>
            </w:r>
          </w:p>
        </w:tc>
        <w:tc>
          <w:tcPr>
            <w:tcW w:w="992" w:type="dxa"/>
            <w:noWrap/>
            <w:hideMark/>
          </w:tcPr>
          <w:p w14:paraId="34C8BD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26CD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0.18</w:t>
            </w:r>
          </w:p>
        </w:tc>
        <w:tc>
          <w:tcPr>
            <w:tcW w:w="2265" w:type="dxa"/>
            <w:noWrap/>
            <w:hideMark/>
          </w:tcPr>
          <w:p w14:paraId="2FB4C0C6" w14:textId="3E590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45440D3" w14:textId="220B824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277F403" w14:textId="77777777" w:rsidTr="00EC26B3">
        <w:trPr>
          <w:trHeight w:val="320"/>
        </w:trPr>
        <w:tc>
          <w:tcPr>
            <w:tcW w:w="1980" w:type="dxa"/>
            <w:noWrap/>
            <w:hideMark/>
          </w:tcPr>
          <w:p w14:paraId="2C5578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Kinshasa</w:t>
            </w:r>
          </w:p>
        </w:tc>
        <w:tc>
          <w:tcPr>
            <w:tcW w:w="992" w:type="dxa"/>
            <w:noWrap/>
            <w:hideMark/>
          </w:tcPr>
          <w:p w14:paraId="6606D32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EDEE1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376C6273" w14:textId="4E68D06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409AE7E" w14:textId="78C725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4BA01BB" w14:textId="77777777" w:rsidTr="00EC26B3">
        <w:trPr>
          <w:trHeight w:val="320"/>
        </w:trPr>
        <w:tc>
          <w:tcPr>
            <w:tcW w:w="1980" w:type="dxa"/>
            <w:noWrap/>
            <w:hideMark/>
          </w:tcPr>
          <w:p w14:paraId="1ED8E19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Costa Rica</w:t>
            </w:r>
          </w:p>
        </w:tc>
        <w:tc>
          <w:tcPr>
            <w:tcW w:w="992" w:type="dxa"/>
            <w:noWrap/>
            <w:hideMark/>
          </w:tcPr>
          <w:p w14:paraId="015266A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138A2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4B1A6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2E5457D3" w14:textId="608987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B64250" w14:textId="77777777" w:rsidTr="00EC26B3">
        <w:trPr>
          <w:trHeight w:val="320"/>
        </w:trPr>
        <w:tc>
          <w:tcPr>
            <w:tcW w:w="1980" w:type="dxa"/>
            <w:noWrap/>
            <w:hideMark/>
          </w:tcPr>
          <w:p w14:paraId="1EE159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Croatia</w:t>
            </w:r>
          </w:p>
        </w:tc>
        <w:tc>
          <w:tcPr>
            <w:tcW w:w="992" w:type="dxa"/>
            <w:noWrap/>
            <w:hideMark/>
          </w:tcPr>
          <w:p w14:paraId="4623D8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840ACE0" w14:textId="0A69B9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34F202" w14:textId="392600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34E807" w14:textId="7045F6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5C6D8E8" w14:textId="77777777" w:rsidTr="00EC26B3">
        <w:trPr>
          <w:trHeight w:val="320"/>
        </w:trPr>
        <w:tc>
          <w:tcPr>
            <w:tcW w:w="1980" w:type="dxa"/>
            <w:noWrap/>
            <w:hideMark/>
          </w:tcPr>
          <w:p w14:paraId="111AD4E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Cuba</w:t>
            </w:r>
          </w:p>
        </w:tc>
        <w:tc>
          <w:tcPr>
            <w:tcW w:w="992" w:type="dxa"/>
            <w:noWrap/>
            <w:hideMark/>
          </w:tcPr>
          <w:p w14:paraId="4D6558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40A0973" w14:textId="59F07B2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1962DC" w14:textId="2A5B3C6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8F262D7" w14:textId="1D4323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B11289" w14:textId="77777777" w:rsidTr="00EC26B3">
        <w:trPr>
          <w:trHeight w:val="320"/>
        </w:trPr>
        <w:tc>
          <w:tcPr>
            <w:tcW w:w="1980" w:type="dxa"/>
            <w:noWrap/>
            <w:hideMark/>
          </w:tcPr>
          <w:p w14:paraId="387BE7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Cyprus</w:t>
            </w:r>
          </w:p>
        </w:tc>
        <w:tc>
          <w:tcPr>
            <w:tcW w:w="992" w:type="dxa"/>
            <w:noWrap/>
            <w:hideMark/>
          </w:tcPr>
          <w:p w14:paraId="045C462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2FC0A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7A3A22D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23588347" w14:textId="7901D3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C6A7E5" w14:textId="77777777" w:rsidTr="00EC26B3">
        <w:trPr>
          <w:trHeight w:val="320"/>
        </w:trPr>
        <w:tc>
          <w:tcPr>
            <w:tcW w:w="1980" w:type="dxa"/>
            <w:noWrap/>
            <w:hideMark/>
          </w:tcPr>
          <w:p w14:paraId="4520E02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Czechia</w:t>
            </w:r>
          </w:p>
        </w:tc>
        <w:tc>
          <w:tcPr>
            <w:tcW w:w="992" w:type="dxa"/>
            <w:noWrap/>
            <w:hideMark/>
          </w:tcPr>
          <w:p w14:paraId="1943C5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7EE6D1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2265" w:type="dxa"/>
            <w:noWrap/>
            <w:hideMark/>
          </w:tcPr>
          <w:p w14:paraId="70DBC6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A5FB5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r>
      <w:tr w:rsidR="00EC26B3" w:rsidRPr="00EC26B3" w14:paraId="50383B89" w14:textId="77777777" w:rsidTr="00EC26B3">
        <w:trPr>
          <w:trHeight w:val="320"/>
        </w:trPr>
        <w:tc>
          <w:tcPr>
            <w:tcW w:w="1980" w:type="dxa"/>
            <w:noWrap/>
            <w:hideMark/>
          </w:tcPr>
          <w:p w14:paraId="5423B2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Denmark</w:t>
            </w:r>
          </w:p>
        </w:tc>
        <w:tc>
          <w:tcPr>
            <w:tcW w:w="992" w:type="dxa"/>
            <w:noWrap/>
            <w:hideMark/>
          </w:tcPr>
          <w:p w14:paraId="78871F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2D9D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2AAE79D9" w14:textId="78A4F91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28555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31.00</w:t>
            </w:r>
          </w:p>
        </w:tc>
      </w:tr>
      <w:tr w:rsidR="00EC26B3" w:rsidRPr="00EC26B3" w14:paraId="1ADB024C" w14:textId="77777777" w:rsidTr="00EC26B3">
        <w:trPr>
          <w:trHeight w:val="320"/>
        </w:trPr>
        <w:tc>
          <w:tcPr>
            <w:tcW w:w="1980" w:type="dxa"/>
            <w:noWrap/>
            <w:hideMark/>
          </w:tcPr>
          <w:p w14:paraId="1850CFD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Djibouti</w:t>
            </w:r>
          </w:p>
        </w:tc>
        <w:tc>
          <w:tcPr>
            <w:tcW w:w="992" w:type="dxa"/>
            <w:noWrap/>
            <w:hideMark/>
          </w:tcPr>
          <w:p w14:paraId="6F431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61D8BF" w14:textId="3A61F4F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C50934" w14:textId="3DA3D3D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1FEE66F" w14:textId="14CE0B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CE15E0" w14:textId="77777777" w:rsidTr="00EC26B3">
        <w:trPr>
          <w:trHeight w:val="320"/>
        </w:trPr>
        <w:tc>
          <w:tcPr>
            <w:tcW w:w="1980" w:type="dxa"/>
            <w:noWrap/>
            <w:hideMark/>
          </w:tcPr>
          <w:p w14:paraId="5EF3EC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Dominican Republic</w:t>
            </w:r>
          </w:p>
        </w:tc>
        <w:tc>
          <w:tcPr>
            <w:tcW w:w="992" w:type="dxa"/>
            <w:noWrap/>
            <w:hideMark/>
          </w:tcPr>
          <w:p w14:paraId="4EC51B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AB659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2265" w:type="dxa"/>
            <w:noWrap/>
            <w:hideMark/>
          </w:tcPr>
          <w:p w14:paraId="40862B3E" w14:textId="7D3B18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35C4DC" w14:textId="1F081C8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528EF50" w14:textId="77777777" w:rsidTr="00EC26B3">
        <w:trPr>
          <w:trHeight w:val="320"/>
        </w:trPr>
        <w:tc>
          <w:tcPr>
            <w:tcW w:w="1980" w:type="dxa"/>
            <w:noWrap/>
            <w:hideMark/>
          </w:tcPr>
          <w:p w14:paraId="0829DF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Ecuador</w:t>
            </w:r>
          </w:p>
        </w:tc>
        <w:tc>
          <w:tcPr>
            <w:tcW w:w="992" w:type="dxa"/>
            <w:noWrap/>
            <w:hideMark/>
          </w:tcPr>
          <w:p w14:paraId="497DB83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10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D65F8A3" w14:textId="3B88F2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05E28" w14:textId="697643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391307A" w14:textId="77777777" w:rsidTr="00EC26B3">
        <w:trPr>
          <w:trHeight w:val="320"/>
        </w:trPr>
        <w:tc>
          <w:tcPr>
            <w:tcW w:w="1980" w:type="dxa"/>
            <w:noWrap/>
            <w:hideMark/>
          </w:tcPr>
          <w:p w14:paraId="2E718E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Egypt</w:t>
            </w:r>
          </w:p>
        </w:tc>
        <w:tc>
          <w:tcPr>
            <w:tcW w:w="992" w:type="dxa"/>
            <w:noWrap/>
            <w:hideMark/>
          </w:tcPr>
          <w:p w14:paraId="556844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C1672B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5.70</w:t>
            </w:r>
          </w:p>
        </w:tc>
        <w:tc>
          <w:tcPr>
            <w:tcW w:w="2265" w:type="dxa"/>
            <w:noWrap/>
            <w:hideMark/>
          </w:tcPr>
          <w:p w14:paraId="243B1A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0A64AEC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7F480F58" w14:textId="77777777" w:rsidTr="00EC26B3">
        <w:trPr>
          <w:trHeight w:val="320"/>
        </w:trPr>
        <w:tc>
          <w:tcPr>
            <w:tcW w:w="1980" w:type="dxa"/>
            <w:noWrap/>
            <w:hideMark/>
          </w:tcPr>
          <w:p w14:paraId="03FD96A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El Salvador</w:t>
            </w:r>
          </w:p>
        </w:tc>
        <w:tc>
          <w:tcPr>
            <w:tcW w:w="992" w:type="dxa"/>
            <w:noWrap/>
            <w:hideMark/>
          </w:tcPr>
          <w:p w14:paraId="328978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EC6581" w14:textId="6368E8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FEEA91" w14:textId="7838971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799B50" w14:textId="5921E36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E854AE" w14:textId="77777777" w:rsidTr="00EC26B3">
        <w:trPr>
          <w:trHeight w:val="320"/>
        </w:trPr>
        <w:tc>
          <w:tcPr>
            <w:tcW w:w="1980" w:type="dxa"/>
            <w:noWrap/>
            <w:hideMark/>
          </w:tcPr>
          <w:p w14:paraId="0A81A7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Equatorial Guinea</w:t>
            </w:r>
          </w:p>
        </w:tc>
        <w:tc>
          <w:tcPr>
            <w:tcW w:w="992" w:type="dxa"/>
            <w:noWrap/>
            <w:hideMark/>
          </w:tcPr>
          <w:p w14:paraId="2B04593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0E003F3" w14:textId="7054BCC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0D0461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C0E5539" w14:textId="31A7B2B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857505" w14:textId="77777777" w:rsidTr="00EC26B3">
        <w:trPr>
          <w:trHeight w:val="320"/>
        </w:trPr>
        <w:tc>
          <w:tcPr>
            <w:tcW w:w="1980" w:type="dxa"/>
            <w:noWrap/>
            <w:hideMark/>
          </w:tcPr>
          <w:p w14:paraId="080583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Eritrea</w:t>
            </w:r>
          </w:p>
        </w:tc>
        <w:tc>
          <w:tcPr>
            <w:tcW w:w="992" w:type="dxa"/>
            <w:noWrap/>
            <w:hideMark/>
          </w:tcPr>
          <w:p w14:paraId="5691F1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7EDAA2F" w14:textId="6FAE13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3A6AABC" w14:textId="2BD73A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F0CA16" w14:textId="5EAC3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B8A06E" w14:textId="77777777" w:rsidTr="00EC26B3">
        <w:trPr>
          <w:trHeight w:val="320"/>
        </w:trPr>
        <w:tc>
          <w:tcPr>
            <w:tcW w:w="1980" w:type="dxa"/>
            <w:noWrap/>
            <w:hideMark/>
          </w:tcPr>
          <w:p w14:paraId="3DE748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Estonia</w:t>
            </w:r>
          </w:p>
        </w:tc>
        <w:tc>
          <w:tcPr>
            <w:tcW w:w="992" w:type="dxa"/>
            <w:noWrap/>
            <w:hideMark/>
          </w:tcPr>
          <w:p w14:paraId="6CD5A1A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AA687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0.63</w:t>
            </w:r>
          </w:p>
        </w:tc>
        <w:tc>
          <w:tcPr>
            <w:tcW w:w="2265" w:type="dxa"/>
            <w:noWrap/>
            <w:hideMark/>
          </w:tcPr>
          <w:p w14:paraId="41B227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1760" w:type="dxa"/>
            <w:noWrap/>
            <w:hideMark/>
          </w:tcPr>
          <w:p w14:paraId="6A8F97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1.68</w:t>
            </w:r>
          </w:p>
        </w:tc>
      </w:tr>
      <w:tr w:rsidR="00EC26B3" w:rsidRPr="00EC26B3" w14:paraId="562B0455" w14:textId="77777777" w:rsidTr="00EC26B3">
        <w:trPr>
          <w:trHeight w:val="320"/>
        </w:trPr>
        <w:tc>
          <w:tcPr>
            <w:tcW w:w="1980" w:type="dxa"/>
            <w:noWrap/>
            <w:hideMark/>
          </w:tcPr>
          <w:p w14:paraId="42EF64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Ethiopia</w:t>
            </w:r>
          </w:p>
        </w:tc>
        <w:tc>
          <w:tcPr>
            <w:tcW w:w="992" w:type="dxa"/>
            <w:noWrap/>
            <w:hideMark/>
          </w:tcPr>
          <w:p w14:paraId="74EF090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39D7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2265" w:type="dxa"/>
            <w:noWrap/>
            <w:hideMark/>
          </w:tcPr>
          <w:p w14:paraId="72FD51E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7B3C5F9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r>
      <w:tr w:rsidR="00EC26B3" w:rsidRPr="00EC26B3" w14:paraId="345DAF81" w14:textId="77777777" w:rsidTr="00EC26B3">
        <w:trPr>
          <w:trHeight w:val="320"/>
        </w:trPr>
        <w:tc>
          <w:tcPr>
            <w:tcW w:w="1980" w:type="dxa"/>
            <w:noWrap/>
            <w:hideMark/>
          </w:tcPr>
          <w:p w14:paraId="4B5215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Fiji</w:t>
            </w:r>
          </w:p>
        </w:tc>
        <w:tc>
          <w:tcPr>
            <w:tcW w:w="992" w:type="dxa"/>
            <w:noWrap/>
            <w:hideMark/>
          </w:tcPr>
          <w:p w14:paraId="271B73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32607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0.48</w:t>
            </w:r>
          </w:p>
        </w:tc>
        <w:tc>
          <w:tcPr>
            <w:tcW w:w="2265" w:type="dxa"/>
            <w:noWrap/>
            <w:hideMark/>
          </w:tcPr>
          <w:p w14:paraId="44ED8F34" w14:textId="2EB430B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9B9987" w14:textId="50DDA5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7E8AE6" w14:textId="77777777" w:rsidTr="00EC26B3">
        <w:trPr>
          <w:trHeight w:val="320"/>
        </w:trPr>
        <w:tc>
          <w:tcPr>
            <w:tcW w:w="1980" w:type="dxa"/>
            <w:noWrap/>
            <w:hideMark/>
          </w:tcPr>
          <w:p w14:paraId="0922AB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Finland</w:t>
            </w:r>
          </w:p>
        </w:tc>
        <w:tc>
          <w:tcPr>
            <w:tcW w:w="992" w:type="dxa"/>
            <w:noWrap/>
            <w:hideMark/>
          </w:tcPr>
          <w:p w14:paraId="1209CF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D5B9C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E8506E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065CD3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1D2EA72" w14:textId="77777777" w:rsidTr="00EC26B3">
        <w:trPr>
          <w:trHeight w:val="320"/>
        </w:trPr>
        <w:tc>
          <w:tcPr>
            <w:tcW w:w="1980" w:type="dxa"/>
            <w:noWrap/>
            <w:hideMark/>
          </w:tcPr>
          <w:p w14:paraId="2DA384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France</w:t>
            </w:r>
          </w:p>
        </w:tc>
        <w:tc>
          <w:tcPr>
            <w:tcW w:w="992" w:type="dxa"/>
            <w:noWrap/>
            <w:hideMark/>
          </w:tcPr>
          <w:p w14:paraId="75129E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6535F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115.00</w:t>
            </w:r>
          </w:p>
        </w:tc>
        <w:tc>
          <w:tcPr>
            <w:tcW w:w="2265" w:type="dxa"/>
            <w:noWrap/>
            <w:hideMark/>
          </w:tcPr>
          <w:p w14:paraId="278A92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1760" w:type="dxa"/>
            <w:noWrap/>
            <w:hideMark/>
          </w:tcPr>
          <w:p w14:paraId="0A1279AF" w14:textId="1E32DC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w:t>
            </w:r>
          </w:p>
        </w:tc>
      </w:tr>
      <w:tr w:rsidR="00EC26B3" w:rsidRPr="00EC26B3" w14:paraId="4B74AACE" w14:textId="77777777" w:rsidTr="00EC26B3">
        <w:trPr>
          <w:trHeight w:val="320"/>
        </w:trPr>
        <w:tc>
          <w:tcPr>
            <w:tcW w:w="1980" w:type="dxa"/>
            <w:noWrap/>
            <w:hideMark/>
          </w:tcPr>
          <w:p w14:paraId="1378CF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French Polynesia</w:t>
            </w:r>
          </w:p>
        </w:tc>
        <w:tc>
          <w:tcPr>
            <w:tcW w:w="992" w:type="dxa"/>
            <w:noWrap/>
            <w:hideMark/>
          </w:tcPr>
          <w:p w14:paraId="1CCCF5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DFFFB90" w14:textId="7F68E2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062C7EF" w14:textId="601598B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89D0925" w14:textId="5B6286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8B6A5D" w14:textId="77777777" w:rsidTr="00EC26B3">
        <w:trPr>
          <w:trHeight w:val="320"/>
        </w:trPr>
        <w:tc>
          <w:tcPr>
            <w:tcW w:w="1980" w:type="dxa"/>
            <w:noWrap/>
            <w:hideMark/>
          </w:tcPr>
          <w:p w14:paraId="55C97C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Gabon</w:t>
            </w:r>
          </w:p>
        </w:tc>
        <w:tc>
          <w:tcPr>
            <w:tcW w:w="992" w:type="dxa"/>
            <w:noWrap/>
            <w:hideMark/>
          </w:tcPr>
          <w:p w14:paraId="2DCA4C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EB00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0.68</w:t>
            </w:r>
          </w:p>
        </w:tc>
        <w:tc>
          <w:tcPr>
            <w:tcW w:w="2265" w:type="dxa"/>
            <w:noWrap/>
            <w:hideMark/>
          </w:tcPr>
          <w:p w14:paraId="067C2F11" w14:textId="4B2D62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264E01" w14:textId="072D8C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4A9CDF" w14:textId="77777777" w:rsidTr="00EC26B3">
        <w:trPr>
          <w:trHeight w:val="320"/>
        </w:trPr>
        <w:tc>
          <w:tcPr>
            <w:tcW w:w="1980" w:type="dxa"/>
            <w:noWrap/>
            <w:hideMark/>
          </w:tcPr>
          <w:p w14:paraId="447C17C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Gambia</w:t>
            </w:r>
          </w:p>
        </w:tc>
        <w:tc>
          <w:tcPr>
            <w:tcW w:w="992" w:type="dxa"/>
            <w:noWrap/>
            <w:hideMark/>
          </w:tcPr>
          <w:p w14:paraId="67A8E4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4AD1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3246E969" w14:textId="16E0220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7540FA" w14:textId="6CB74CD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8A7D1ED" w14:textId="77777777" w:rsidTr="00EC26B3">
        <w:trPr>
          <w:trHeight w:val="320"/>
        </w:trPr>
        <w:tc>
          <w:tcPr>
            <w:tcW w:w="1980" w:type="dxa"/>
            <w:noWrap/>
            <w:hideMark/>
          </w:tcPr>
          <w:p w14:paraId="6F70FFF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Georgia</w:t>
            </w:r>
          </w:p>
        </w:tc>
        <w:tc>
          <w:tcPr>
            <w:tcW w:w="992" w:type="dxa"/>
            <w:noWrap/>
            <w:hideMark/>
          </w:tcPr>
          <w:p w14:paraId="5D1952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2F8827F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0.93</w:t>
            </w:r>
          </w:p>
        </w:tc>
        <w:tc>
          <w:tcPr>
            <w:tcW w:w="2265" w:type="dxa"/>
            <w:noWrap/>
            <w:hideMark/>
          </w:tcPr>
          <w:p w14:paraId="157188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3F9A973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r>
      <w:tr w:rsidR="00EC26B3" w:rsidRPr="00EC26B3" w14:paraId="0808DB06" w14:textId="77777777" w:rsidTr="00EC26B3">
        <w:trPr>
          <w:trHeight w:val="320"/>
        </w:trPr>
        <w:tc>
          <w:tcPr>
            <w:tcW w:w="1980" w:type="dxa"/>
            <w:noWrap/>
            <w:hideMark/>
          </w:tcPr>
          <w:p w14:paraId="492D4C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Germany</w:t>
            </w:r>
          </w:p>
        </w:tc>
        <w:tc>
          <w:tcPr>
            <w:tcW w:w="992" w:type="dxa"/>
            <w:noWrap/>
            <w:hideMark/>
          </w:tcPr>
          <w:p w14:paraId="69E5A7C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6180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307.00</w:t>
            </w:r>
          </w:p>
        </w:tc>
        <w:tc>
          <w:tcPr>
            <w:tcW w:w="2265" w:type="dxa"/>
            <w:noWrap/>
            <w:hideMark/>
          </w:tcPr>
          <w:p w14:paraId="7992B72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25.00</w:t>
            </w:r>
          </w:p>
        </w:tc>
        <w:tc>
          <w:tcPr>
            <w:tcW w:w="1760" w:type="dxa"/>
            <w:noWrap/>
            <w:hideMark/>
          </w:tcPr>
          <w:p w14:paraId="0C893D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1115.00</w:t>
            </w:r>
          </w:p>
        </w:tc>
      </w:tr>
      <w:tr w:rsidR="00EC26B3" w:rsidRPr="00EC26B3" w14:paraId="05A1D7D0" w14:textId="77777777" w:rsidTr="00EC26B3">
        <w:trPr>
          <w:trHeight w:val="320"/>
        </w:trPr>
        <w:tc>
          <w:tcPr>
            <w:tcW w:w="1980" w:type="dxa"/>
            <w:noWrap/>
            <w:hideMark/>
          </w:tcPr>
          <w:p w14:paraId="56C73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Ghana</w:t>
            </w:r>
          </w:p>
        </w:tc>
        <w:tc>
          <w:tcPr>
            <w:tcW w:w="992" w:type="dxa"/>
            <w:noWrap/>
            <w:hideMark/>
          </w:tcPr>
          <w:p w14:paraId="34860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3340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2265" w:type="dxa"/>
            <w:noWrap/>
            <w:hideMark/>
          </w:tcPr>
          <w:p w14:paraId="0D466E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20F72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5690C5E1" w14:textId="77777777" w:rsidTr="00EC26B3">
        <w:trPr>
          <w:trHeight w:val="320"/>
        </w:trPr>
        <w:tc>
          <w:tcPr>
            <w:tcW w:w="1980" w:type="dxa"/>
            <w:noWrap/>
            <w:hideMark/>
          </w:tcPr>
          <w:p w14:paraId="2CE0E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Greece</w:t>
            </w:r>
          </w:p>
        </w:tc>
        <w:tc>
          <w:tcPr>
            <w:tcW w:w="992" w:type="dxa"/>
            <w:noWrap/>
            <w:hideMark/>
          </w:tcPr>
          <w:p w14:paraId="4BA91D0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1CBF0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23.91</w:t>
            </w:r>
          </w:p>
        </w:tc>
        <w:tc>
          <w:tcPr>
            <w:tcW w:w="2265" w:type="dxa"/>
            <w:noWrap/>
            <w:hideMark/>
          </w:tcPr>
          <w:p w14:paraId="77D59571" w14:textId="696555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7D30C6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2.17</w:t>
            </w:r>
          </w:p>
        </w:tc>
      </w:tr>
      <w:tr w:rsidR="00EC26B3" w:rsidRPr="00EC26B3" w14:paraId="45A51EA9" w14:textId="77777777" w:rsidTr="00EC26B3">
        <w:trPr>
          <w:trHeight w:val="320"/>
        </w:trPr>
        <w:tc>
          <w:tcPr>
            <w:tcW w:w="1980" w:type="dxa"/>
            <w:noWrap/>
            <w:hideMark/>
          </w:tcPr>
          <w:p w14:paraId="0B0434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Guam</w:t>
            </w:r>
          </w:p>
        </w:tc>
        <w:tc>
          <w:tcPr>
            <w:tcW w:w="992" w:type="dxa"/>
            <w:noWrap/>
            <w:hideMark/>
          </w:tcPr>
          <w:p w14:paraId="3B5E5A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DC3D2F2" w14:textId="0540A4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068F4" w14:textId="07CECD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54726B7" w14:textId="5FB95E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AA3C38" w14:textId="77777777" w:rsidTr="00EC26B3">
        <w:trPr>
          <w:trHeight w:val="320"/>
        </w:trPr>
        <w:tc>
          <w:tcPr>
            <w:tcW w:w="1980" w:type="dxa"/>
            <w:noWrap/>
            <w:hideMark/>
          </w:tcPr>
          <w:p w14:paraId="6A960D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Guatemala</w:t>
            </w:r>
          </w:p>
        </w:tc>
        <w:tc>
          <w:tcPr>
            <w:tcW w:w="992" w:type="dxa"/>
            <w:noWrap/>
            <w:hideMark/>
          </w:tcPr>
          <w:p w14:paraId="199800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4657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2.67</w:t>
            </w:r>
          </w:p>
        </w:tc>
        <w:tc>
          <w:tcPr>
            <w:tcW w:w="2265" w:type="dxa"/>
            <w:noWrap/>
            <w:hideMark/>
          </w:tcPr>
          <w:p w14:paraId="60874CC4" w14:textId="5E2D41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198E587" w14:textId="298D9FC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771149" w14:textId="77777777" w:rsidTr="00EC26B3">
        <w:trPr>
          <w:trHeight w:val="320"/>
        </w:trPr>
        <w:tc>
          <w:tcPr>
            <w:tcW w:w="1980" w:type="dxa"/>
            <w:noWrap/>
            <w:hideMark/>
          </w:tcPr>
          <w:p w14:paraId="1AD4F1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Guinea-Bissau</w:t>
            </w:r>
          </w:p>
        </w:tc>
        <w:tc>
          <w:tcPr>
            <w:tcW w:w="992" w:type="dxa"/>
            <w:noWrap/>
            <w:hideMark/>
          </w:tcPr>
          <w:p w14:paraId="763FE9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EABEDC" w14:textId="2FB4F8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A8C3AF" w14:textId="7C05EA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967C82B" w14:textId="73FB05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37AF26" w14:textId="77777777" w:rsidTr="00EC26B3">
        <w:trPr>
          <w:trHeight w:val="320"/>
        </w:trPr>
        <w:tc>
          <w:tcPr>
            <w:tcW w:w="1980" w:type="dxa"/>
            <w:noWrap/>
            <w:hideMark/>
          </w:tcPr>
          <w:p w14:paraId="7BDED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Guyana</w:t>
            </w:r>
          </w:p>
        </w:tc>
        <w:tc>
          <w:tcPr>
            <w:tcW w:w="992" w:type="dxa"/>
            <w:noWrap/>
            <w:hideMark/>
          </w:tcPr>
          <w:p w14:paraId="2E7D52E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8E14780" w14:textId="18E23AA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580B11A" w14:textId="76EE61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16DD62" w14:textId="367E6F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10466D" w14:textId="77777777" w:rsidTr="00EC26B3">
        <w:trPr>
          <w:trHeight w:val="320"/>
        </w:trPr>
        <w:tc>
          <w:tcPr>
            <w:tcW w:w="1980" w:type="dxa"/>
            <w:noWrap/>
            <w:hideMark/>
          </w:tcPr>
          <w:p w14:paraId="484727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Haiti</w:t>
            </w:r>
          </w:p>
        </w:tc>
        <w:tc>
          <w:tcPr>
            <w:tcW w:w="992" w:type="dxa"/>
            <w:noWrap/>
            <w:hideMark/>
          </w:tcPr>
          <w:p w14:paraId="6CC862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68104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594655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7A408A8D" w14:textId="7B2ED29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7776FA" w14:textId="77777777" w:rsidTr="00EC26B3">
        <w:trPr>
          <w:trHeight w:val="320"/>
        </w:trPr>
        <w:tc>
          <w:tcPr>
            <w:tcW w:w="1980" w:type="dxa"/>
            <w:noWrap/>
            <w:hideMark/>
          </w:tcPr>
          <w:p w14:paraId="206A79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Honduras</w:t>
            </w:r>
          </w:p>
        </w:tc>
        <w:tc>
          <w:tcPr>
            <w:tcW w:w="992" w:type="dxa"/>
            <w:noWrap/>
            <w:hideMark/>
          </w:tcPr>
          <w:p w14:paraId="2FB761F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935A6B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A4A2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0.22</w:t>
            </w:r>
          </w:p>
        </w:tc>
        <w:tc>
          <w:tcPr>
            <w:tcW w:w="1760" w:type="dxa"/>
            <w:noWrap/>
            <w:hideMark/>
          </w:tcPr>
          <w:p w14:paraId="5A9FB8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3B53DFB" w14:textId="77777777" w:rsidTr="00EC26B3">
        <w:trPr>
          <w:trHeight w:val="320"/>
        </w:trPr>
        <w:tc>
          <w:tcPr>
            <w:tcW w:w="1980" w:type="dxa"/>
            <w:noWrap/>
            <w:hideMark/>
          </w:tcPr>
          <w:p w14:paraId="4E1C1D6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Hong Kong SAR China</w:t>
            </w:r>
          </w:p>
        </w:tc>
        <w:tc>
          <w:tcPr>
            <w:tcW w:w="992" w:type="dxa"/>
            <w:noWrap/>
            <w:hideMark/>
          </w:tcPr>
          <w:p w14:paraId="27A1B8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23BD1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32.85</w:t>
            </w:r>
          </w:p>
        </w:tc>
        <w:tc>
          <w:tcPr>
            <w:tcW w:w="2265" w:type="dxa"/>
            <w:noWrap/>
            <w:hideMark/>
          </w:tcPr>
          <w:p w14:paraId="4BE91E4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3.83</w:t>
            </w:r>
          </w:p>
        </w:tc>
        <w:tc>
          <w:tcPr>
            <w:tcW w:w="1760" w:type="dxa"/>
            <w:noWrap/>
            <w:hideMark/>
          </w:tcPr>
          <w:p w14:paraId="493AE6CE" w14:textId="4B7F2C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AF1BF7" w14:textId="77777777" w:rsidTr="00EC26B3">
        <w:trPr>
          <w:trHeight w:val="320"/>
        </w:trPr>
        <w:tc>
          <w:tcPr>
            <w:tcW w:w="1980" w:type="dxa"/>
            <w:noWrap/>
            <w:hideMark/>
          </w:tcPr>
          <w:p w14:paraId="0B17BB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Hungary</w:t>
            </w:r>
          </w:p>
        </w:tc>
        <w:tc>
          <w:tcPr>
            <w:tcW w:w="992" w:type="dxa"/>
            <w:noWrap/>
            <w:hideMark/>
          </w:tcPr>
          <w:p w14:paraId="2881C8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F72D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2.47</w:t>
            </w:r>
          </w:p>
        </w:tc>
        <w:tc>
          <w:tcPr>
            <w:tcW w:w="2265" w:type="dxa"/>
            <w:noWrap/>
            <w:hideMark/>
          </w:tcPr>
          <w:p w14:paraId="468DD9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0.95</w:t>
            </w:r>
          </w:p>
        </w:tc>
        <w:tc>
          <w:tcPr>
            <w:tcW w:w="1760" w:type="dxa"/>
            <w:noWrap/>
            <w:hideMark/>
          </w:tcPr>
          <w:p w14:paraId="4AEDBE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6.11</w:t>
            </w:r>
          </w:p>
        </w:tc>
      </w:tr>
      <w:tr w:rsidR="00EC26B3" w:rsidRPr="00EC26B3" w14:paraId="78FB0BD0" w14:textId="77777777" w:rsidTr="00EC26B3">
        <w:trPr>
          <w:trHeight w:val="320"/>
        </w:trPr>
        <w:tc>
          <w:tcPr>
            <w:tcW w:w="1980" w:type="dxa"/>
            <w:noWrap/>
            <w:hideMark/>
          </w:tcPr>
          <w:p w14:paraId="61D087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Iceland</w:t>
            </w:r>
          </w:p>
        </w:tc>
        <w:tc>
          <w:tcPr>
            <w:tcW w:w="992" w:type="dxa"/>
            <w:noWrap/>
            <w:hideMark/>
          </w:tcPr>
          <w:p w14:paraId="17E48E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64E41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2.12</w:t>
            </w:r>
          </w:p>
        </w:tc>
        <w:tc>
          <w:tcPr>
            <w:tcW w:w="2265" w:type="dxa"/>
            <w:noWrap/>
            <w:hideMark/>
          </w:tcPr>
          <w:p w14:paraId="7340F5AD" w14:textId="61E0B4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E1DD181" w14:textId="408408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746AC2" w14:textId="77777777" w:rsidTr="00EC26B3">
        <w:trPr>
          <w:trHeight w:val="320"/>
        </w:trPr>
        <w:tc>
          <w:tcPr>
            <w:tcW w:w="1980" w:type="dxa"/>
            <w:noWrap/>
            <w:hideMark/>
          </w:tcPr>
          <w:p w14:paraId="52013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India</w:t>
            </w:r>
          </w:p>
        </w:tc>
        <w:tc>
          <w:tcPr>
            <w:tcW w:w="992" w:type="dxa"/>
            <w:noWrap/>
            <w:hideMark/>
          </w:tcPr>
          <w:p w14:paraId="136D808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AE8B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43.00</w:t>
            </w:r>
          </w:p>
        </w:tc>
        <w:tc>
          <w:tcPr>
            <w:tcW w:w="2265" w:type="dxa"/>
            <w:noWrap/>
            <w:hideMark/>
          </w:tcPr>
          <w:p w14:paraId="7D55D2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606E02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r>
      <w:tr w:rsidR="00EC26B3" w:rsidRPr="00EC26B3" w14:paraId="25BD9924" w14:textId="77777777" w:rsidTr="00EC26B3">
        <w:trPr>
          <w:trHeight w:val="320"/>
        </w:trPr>
        <w:tc>
          <w:tcPr>
            <w:tcW w:w="1980" w:type="dxa"/>
            <w:noWrap/>
            <w:hideMark/>
          </w:tcPr>
          <w:p w14:paraId="48309B0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Indonesia</w:t>
            </w:r>
          </w:p>
        </w:tc>
        <w:tc>
          <w:tcPr>
            <w:tcW w:w="992" w:type="dxa"/>
            <w:noWrap/>
            <w:hideMark/>
          </w:tcPr>
          <w:p w14:paraId="0BB8FD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2F0E8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2265" w:type="dxa"/>
            <w:noWrap/>
            <w:hideMark/>
          </w:tcPr>
          <w:p w14:paraId="7F08B4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c>
          <w:tcPr>
            <w:tcW w:w="1760" w:type="dxa"/>
            <w:noWrap/>
            <w:hideMark/>
          </w:tcPr>
          <w:p w14:paraId="0BF7351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r>
      <w:tr w:rsidR="00EC26B3" w:rsidRPr="00EC26B3" w14:paraId="0E17EAAC" w14:textId="77777777" w:rsidTr="00EC26B3">
        <w:trPr>
          <w:trHeight w:val="320"/>
        </w:trPr>
        <w:tc>
          <w:tcPr>
            <w:tcW w:w="1980" w:type="dxa"/>
            <w:noWrap/>
            <w:hideMark/>
          </w:tcPr>
          <w:p w14:paraId="75A8BA5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Iran</w:t>
            </w:r>
          </w:p>
        </w:tc>
        <w:tc>
          <w:tcPr>
            <w:tcW w:w="992" w:type="dxa"/>
            <w:noWrap/>
            <w:hideMark/>
          </w:tcPr>
          <w:p w14:paraId="65027C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6162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30.56</w:t>
            </w:r>
          </w:p>
        </w:tc>
        <w:tc>
          <w:tcPr>
            <w:tcW w:w="2265" w:type="dxa"/>
            <w:noWrap/>
            <w:hideMark/>
          </w:tcPr>
          <w:p w14:paraId="521601E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9.26</w:t>
            </w:r>
          </w:p>
        </w:tc>
        <w:tc>
          <w:tcPr>
            <w:tcW w:w="1760" w:type="dxa"/>
            <w:noWrap/>
            <w:hideMark/>
          </w:tcPr>
          <w:p w14:paraId="3154679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20.37</w:t>
            </w:r>
          </w:p>
        </w:tc>
      </w:tr>
      <w:tr w:rsidR="00EC26B3" w:rsidRPr="00EC26B3" w14:paraId="55C2DA7E" w14:textId="77777777" w:rsidTr="00EC26B3">
        <w:trPr>
          <w:trHeight w:val="320"/>
        </w:trPr>
        <w:tc>
          <w:tcPr>
            <w:tcW w:w="1980" w:type="dxa"/>
            <w:noWrap/>
            <w:hideMark/>
          </w:tcPr>
          <w:p w14:paraId="46928C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Iraq</w:t>
            </w:r>
          </w:p>
        </w:tc>
        <w:tc>
          <w:tcPr>
            <w:tcW w:w="992" w:type="dxa"/>
            <w:noWrap/>
            <w:hideMark/>
          </w:tcPr>
          <w:p w14:paraId="7F3400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0FFA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4502A54E" w14:textId="5FCF76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18C7DCD" w14:textId="6EFEF8B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31DCF68" w14:textId="77777777" w:rsidTr="00EC26B3">
        <w:trPr>
          <w:trHeight w:val="320"/>
        </w:trPr>
        <w:tc>
          <w:tcPr>
            <w:tcW w:w="1980" w:type="dxa"/>
            <w:noWrap/>
            <w:hideMark/>
          </w:tcPr>
          <w:p w14:paraId="2F44F6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Ireland</w:t>
            </w:r>
          </w:p>
        </w:tc>
        <w:tc>
          <w:tcPr>
            <w:tcW w:w="992" w:type="dxa"/>
            <w:noWrap/>
            <w:hideMark/>
          </w:tcPr>
          <w:p w14:paraId="03ACC2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B16B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7.46</w:t>
            </w:r>
          </w:p>
        </w:tc>
        <w:tc>
          <w:tcPr>
            <w:tcW w:w="2265" w:type="dxa"/>
            <w:noWrap/>
            <w:hideMark/>
          </w:tcPr>
          <w:p w14:paraId="52702F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4D6E5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59A76C50" w14:textId="77777777" w:rsidTr="00EC26B3">
        <w:trPr>
          <w:trHeight w:val="320"/>
        </w:trPr>
        <w:tc>
          <w:tcPr>
            <w:tcW w:w="1980" w:type="dxa"/>
            <w:noWrap/>
            <w:hideMark/>
          </w:tcPr>
          <w:p w14:paraId="19AA9EA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Israel</w:t>
            </w:r>
          </w:p>
        </w:tc>
        <w:tc>
          <w:tcPr>
            <w:tcW w:w="992" w:type="dxa"/>
            <w:noWrap/>
            <w:hideMark/>
          </w:tcPr>
          <w:p w14:paraId="419526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EAB28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11.70</w:t>
            </w:r>
          </w:p>
        </w:tc>
        <w:tc>
          <w:tcPr>
            <w:tcW w:w="2265" w:type="dxa"/>
            <w:noWrap/>
            <w:hideMark/>
          </w:tcPr>
          <w:p w14:paraId="73CF05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3.06</w:t>
            </w:r>
          </w:p>
        </w:tc>
        <w:tc>
          <w:tcPr>
            <w:tcW w:w="1760" w:type="dxa"/>
            <w:noWrap/>
            <w:hideMark/>
          </w:tcPr>
          <w:p w14:paraId="682474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11.42</w:t>
            </w:r>
          </w:p>
        </w:tc>
      </w:tr>
      <w:tr w:rsidR="00EC26B3" w:rsidRPr="00EC26B3" w14:paraId="5DE49BD3" w14:textId="77777777" w:rsidTr="00EC26B3">
        <w:trPr>
          <w:trHeight w:val="320"/>
        </w:trPr>
        <w:tc>
          <w:tcPr>
            <w:tcW w:w="1980" w:type="dxa"/>
            <w:noWrap/>
            <w:hideMark/>
          </w:tcPr>
          <w:p w14:paraId="06F311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Italy</w:t>
            </w:r>
          </w:p>
        </w:tc>
        <w:tc>
          <w:tcPr>
            <w:tcW w:w="992" w:type="dxa"/>
            <w:noWrap/>
            <w:hideMark/>
          </w:tcPr>
          <w:p w14:paraId="35EC9C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1353F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61.00</w:t>
            </w:r>
          </w:p>
        </w:tc>
        <w:tc>
          <w:tcPr>
            <w:tcW w:w="2265" w:type="dxa"/>
            <w:noWrap/>
            <w:hideMark/>
          </w:tcPr>
          <w:p w14:paraId="02D37D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1760" w:type="dxa"/>
            <w:noWrap/>
            <w:hideMark/>
          </w:tcPr>
          <w:p w14:paraId="069003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583.00</w:t>
            </w:r>
          </w:p>
        </w:tc>
      </w:tr>
      <w:tr w:rsidR="00EC26B3" w:rsidRPr="00EC26B3" w14:paraId="715F7B39" w14:textId="77777777" w:rsidTr="00EC26B3">
        <w:trPr>
          <w:trHeight w:val="320"/>
        </w:trPr>
        <w:tc>
          <w:tcPr>
            <w:tcW w:w="1980" w:type="dxa"/>
            <w:noWrap/>
            <w:hideMark/>
          </w:tcPr>
          <w:p w14:paraId="263AE4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Jamaica</w:t>
            </w:r>
          </w:p>
        </w:tc>
        <w:tc>
          <w:tcPr>
            <w:tcW w:w="992" w:type="dxa"/>
            <w:noWrap/>
            <w:hideMark/>
          </w:tcPr>
          <w:p w14:paraId="3C5EF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133D1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2265" w:type="dxa"/>
            <w:noWrap/>
            <w:hideMark/>
          </w:tcPr>
          <w:p w14:paraId="5BED2E00" w14:textId="09C76E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50A90BD" w14:textId="778836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5A95B1" w14:textId="77777777" w:rsidTr="00EC26B3">
        <w:trPr>
          <w:trHeight w:val="320"/>
        </w:trPr>
        <w:tc>
          <w:tcPr>
            <w:tcW w:w="1980" w:type="dxa"/>
            <w:noWrap/>
            <w:hideMark/>
          </w:tcPr>
          <w:p w14:paraId="77072E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Japan</w:t>
            </w:r>
          </w:p>
        </w:tc>
        <w:tc>
          <w:tcPr>
            <w:tcW w:w="992" w:type="dxa"/>
            <w:noWrap/>
            <w:hideMark/>
          </w:tcPr>
          <w:p w14:paraId="698AC5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BC036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757.00</w:t>
            </w:r>
          </w:p>
        </w:tc>
        <w:tc>
          <w:tcPr>
            <w:tcW w:w="2265" w:type="dxa"/>
            <w:noWrap/>
            <w:hideMark/>
          </w:tcPr>
          <w:p w14:paraId="67FB6FA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38.00</w:t>
            </w:r>
          </w:p>
        </w:tc>
        <w:tc>
          <w:tcPr>
            <w:tcW w:w="1760" w:type="dxa"/>
            <w:noWrap/>
            <w:hideMark/>
          </w:tcPr>
          <w:p w14:paraId="33F88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1169.00</w:t>
            </w:r>
          </w:p>
        </w:tc>
      </w:tr>
      <w:tr w:rsidR="00EC26B3" w:rsidRPr="00EC26B3" w14:paraId="50FBA7A6" w14:textId="77777777" w:rsidTr="00EC26B3">
        <w:trPr>
          <w:trHeight w:val="320"/>
        </w:trPr>
        <w:tc>
          <w:tcPr>
            <w:tcW w:w="1980" w:type="dxa"/>
            <w:noWrap/>
            <w:hideMark/>
          </w:tcPr>
          <w:p w14:paraId="312D82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Jordan</w:t>
            </w:r>
          </w:p>
        </w:tc>
        <w:tc>
          <w:tcPr>
            <w:tcW w:w="992" w:type="dxa"/>
            <w:noWrap/>
            <w:hideMark/>
          </w:tcPr>
          <w:p w14:paraId="39F3D1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9B5F8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34FE84F4" w14:textId="17C8C9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33F5DBC" w14:textId="143F1A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E2E2144" w14:textId="77777777" w:rsidTr="00EC26B3">
        <w:trPr>
          <w:trHeight w:val="320"/>
        </w:trPr>
        <w:tc>
          <w:tcPr>
            <w:tcW w:w="1980" w:type="dxa"/>
            <w:noWrap/>
            <w:hideMark/>
          </w:tcPr>
          <w:p w14:paraId="615B67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Kazakhstan</w:t>
            </w:r>
          </w:p>
        </w:tc>
        <w:tc>
          <w:tcPr>
            <w:tcW w:w="992" w:type="dxa"/>
            <w:noWrap/>
            <w:hideMark/>
          </w:tcPr>
          <w:p w14:paraId="0AA009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38AB84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9.86</w:t>
            </w:r>
          </w:p>
        </w:tc>
        <w:tc>
          <w:tcPr>
            <w:tcW w:w="2265" w:type="dxa"/>
            <w:noWrap/>
            <w:hideMark/>
          </w:tcPr>
          <w:p w14:paraId="270423D0" w14:textId="75FF5E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DEB0B6" w14:textId="5F71EDF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F95549D" w14:textId="77777777" w:rsidTr="00EC26B3">
        <w:trPr>
          <w:trHeight w:val="320"/>
        </w:trPr>
        <w:tc>
          <w:tcPr>
            <w:tcW w:w="1980" w:type="dxa"/>
            <w:noWrap/>
            <w:hideMark/>
          </w:tcPr>
          <w:p w14:paraId="5ABEFD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Kenya</w:t>
            </w:r>
          </w:p>
        </w:tc>
        <w:tc>
          <w:tcPr>
            <w:tcW w:w="992" w:type="dxa"/>
            <w:noWrap/>
            <w:hideMark/>
          </w:tcPr>
          <w:p w14:paraId="6C1B81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65652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0.92</w:t>
            </w:r>
          </w:p>
        </w:tc>
        <w:tc>
          <w:tcPr>
            <w:tcW w:w="2265" w:type="dxa"/>
            <w:noWrap/>
            <w:hideMark/>
          </w:tcPr>
          <w:p w14:paraId="689D3F07" w14:textId="4D27B5B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387E627" w14:textId="6D720D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688D8CE" w14:textId="77777777" w:rsidTr="00EC26B3">
        <w:trPr>
          <w:trHeight w:val="320"/>
        </w:trPr>
        <w:tc>
          <w:tcPr>
            <w:tcW w:w="1980" w:type="dxa"/>
            <w:noWrap/>
            <w:hideMark/>
          </w:tcPr>
          <w:p w14:paraId="5EDBDA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Kuwait</w:t>
            </w:r>
          </w:p>
        </w:tc>
        <w:tc>
          <w:tcPr>
            <w:tcW w:w="992" w:type="dxa"/>
            <w:noWrap/>
            <w:hideMark/>
          </w:tcPr>
          <w:p w14:paraId="336CC81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F46072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w:t>
            </w:r>
          </w:p>
        </w:tc>
        <w:tc>
          <w:tcPr>
            <w:tcW w:w="2265" w:type="dxa"/>
            <w:noWrap/>
            <w:hideMark/>
          </w:tcPr>
          <w:p w14:paraId="6C8E5935" w14:textId="4C0BFE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13CDE" w14:textId="62CDAB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5875A27" w14:textId="77777777" w:rsidTr="00EC26B3">
        <w:trPr>
          <w:trHeight w:val="320"/>
        </w:trPr>
        <w:tc>
          <w:tcPr>
            <w:tcW w:w="1980" w:type="dxa"/>
            <w:noWrap/>
            <w:hideMark/>
          </w:tcPr>
          <w:p w14:paraId="0AF22D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Kyrgyzstan</w:t>
            </w:r>
          </w:p>
        </w:tc>
        <w:tc>
          <w:tcPr>
            <w:tcW w:w="992" w:type="dxa"/>
            <w:noWrap/>
            <w:hideMark/>
          </w:tcPr>
          <w:p w14:paraId="07CC53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4B888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0.56</w:t>
            </w:r>
          </w:p>
        </w:tc>
        <w:tc>
          <w:tcPr>
            <w:tcW w:w="2265" w:type="dxa"/>
            <w:noWrap/>
            <w:hideMark/>
          </w:tcPr>
          <w:p w14:paraId="764D7EA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60128CF" w14:textId="0A43C7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B516DDC" w14:textId="77777777" w:rsidTr="00EC26B3">
        <w:trPr>
          <w:trHeight w:val="320"/>
        </w:trPr>
        <w:tc>
          <w:tcPr>
            <w:tcW w:w="1980" w:type="dxa"/>
            <w:noWrap/>
            <w:hideMark/>
          </w:tcPr>
          <w:p w14:paraId="749A52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Laos</w:t>
            </w:r>
          </w:p>
        </w:tc>
        <w:tc>
          <w:tcPr>
            <w:tcW w:w="992" w:type="dxa"/>
            <w:noWrap/>
            <w:hideMark/>
          </w:tcPr>
          <w:p w14:paraId="5F5DB0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84A2B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4086A044" w14:textId="21C17D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7BF2740" w14:textId="39C9CC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C8DD732" w14:textId="77777777" w:rsidTr="00EC26B3">
        <w:trPr>
          <w:trHeight w:val="320"/>
        </w:trPr>
        <w:tc>
          <w:tcPr>
            <w:tcW w:w="1980" w:type="dxa"/>
            <w:noWrap/>
            <w:hideMark/>
          </w:tcPr>
          <w:p w14:paraId="0DF05F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Latvia</w:t>
            </w:r>
          </w:p>
        </w:tc>
        <w:tc>
          <w:tcPr>
            <w:tcW w:w="992" w:type="dxa"/>
            <w:noWrap/>
            <w:hideMark/>
          </w:tcPr>
          <w:p w14:paraId="5998DF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BEF2F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w:t>
            </w:r>
          </w:p>
        </w:tc>
        <w:tc>
          <w:tcPr>
            <w:tcW w:w="2265" w:type="dxa"/>
            <w:noWrap/>
            <w:hideMark/>
          </w:tcPr>
          <w:p w14:paraId="307AEB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6B5190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r>
      <w:tr w:rsidR="00EC26B3" w:rsidRPr="00EC26B3" w14:paraId="39FA141B" w14:textId="77777777" w:rsidTr="00EC26B3">
        <w:trPr>
          <w:trHeight w:val="320"/>
        </w:trPr>
        <w:tc>
          <w:tcPr>
            <w:tcW w:w="1980" w:type="dxa"/>
            <w:noWrap/>
            <w:hideMark/>
          </w:tcPr>
          <w:p w14:paraId="08854E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Lebanon</w:t>
            </w:r>
          </w:p>
        </w:tc>
        <w:tc>
          <w:tcPr>
            <w:tcW w:w="992" w:type="dxa"/>
            <w:noWrap/>
            <w:hideMark/>
          </w:tcPr>
          <w:p w14:paraId="7D2A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22262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1.09</w:t>
            </w:r>
          </w:p>
        </w:tc>
        <w:tc>
          <w:tcPr>
            <w:tcW w:w="2265" w:type="dxa"/>
            <w:noWrap/>
            <w:hideMark/>
          </w:tcPr>
          <w:p w14:paraId="5C2CA08E" w14:textId="77FA73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7184ACB" w14:textId="5BEE4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0B81609" w14:textId="77777777" w:rsidTr="00EC26B3">
        <w:trPr>
          <w:trHeight w:val="320"/>
        </w:trPr>
        <w:tc>
          <w:tcPr>
            <w:tcW w:w="1980" w:type="dxa"/>
            <w:noWrap/>
            <w:hideMark/>
          </w:tcPr>
          <w:p w14:paraId="49E218C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Lesotho</w:t>
            </w:r>
          </w:p>
        </w:tc>
        <w:tc>
          <w:tcPr>
            <w:tcW w:w="992" w:type="dxa"/>
            <w:noWrap/>
            <w:hideMark/>
          </w:tcPr>
          <w:p w14:paraId="01DDD4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61DBCD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2DE13E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351CE6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52237159" w14:textId="77777777" w:rsidTr="00EC26B3">
        <w:trPr>
          <w:trHeight w:val="320"/>
        </w:trPr>
        <w:tc>
          <w:tcPr>
            <w:tcW w:w="1980" w:type="dxa"/>
            <w:noWrap/>
            <w:hideMark/>
          </w:tcPr>
          <w:p w14:paraId="21321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Liberia</w:t>
            </w:r>
          </w:p>
        </w:tc>
        <w:tc>
          <w:tcPr>
            <w:tcW w:w="992" w:type="dxa"/>
            <w:noWrap/>
            <w:hideMark/>
          </w:tcPr>
          <w:p w14:paraId="19150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65D5398" w14:textId="568A1D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55CC00A" w14:textId="6DEF79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24026F5" w14:textId="0384F19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94317E" w14:textId="77777777" w:rsidTr="00EC26B3">
        <w:trPr>
          <w:trHeight w:val="320"/>
        </w:trPr>
        <w:tc>
          <w:tcPr>
            <w:tcW w:w="1980" w:type="dxa"/>
            <w:noWrap/>
            <w:hideMark/>
          </w:tcPr>
          <w:p w14:paraId="34C056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Libya</w:t>
            </w:r>
          </w:p>
        </w:tc>
        <w:tc>
          <w:tcPr>
            <w:tcW w:w="992" w:type="dxa"/>
            <w:noWrap/>
            <w:hideMark/>
          </w:tcPr>
          <w:p w14:paraId="51B7A7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DA037E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68D712F" w14:textId="6557CBE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B3BF0DE" w14:textId="5939A3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3F6716" w14:textId="77777777" w:rsidTr="00EC26B3">
        <w:trPr>
          <w:trHeight w:val="320"/>
        </w:trPr>
        <w:tc>
          <w:tcPr>
            <w:tcW w:w="1980" w:type="dxa"/>
            <w:noWrap/>
            <w:hideMark/>
          </w:tcPr>
          <w:p w14:paraId="713B75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Lithuania</w:t>
            </w:r>
          </w:p>
        </w:tc>
        <w:tc>
          <w:tcPr>
            <w:tcW w:w="992" w:type="dxa"/>
            <w:noWrap/>
            <w:hideMark/>
          </w:tcPr>
          <w:p w14:paraId="110962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00E2DB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8.70</w:t>
            </w:r>
          </w:p>
        </w:tc>
        <w:tc>
          <w:tcPr>
            <w:tcW w:w="2265" w:type="dxa"/>
            <w:noWrap/>
            <w:hideMark/>
          </w:tcPr>
          <w:p w14:paraId="2AFCD9B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0.54</w:t>
            </w:r>
          </w:p>
        </w:tc>
        <w:tc>
          <w:tcPr>
            <w:tcW w:w="1760" w:type="dxa"/>
            <w:noWrap/>
            <w:hideMark/>
          </w:tcPr>
          <w:p w14:paraId="413819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w:t>
            </w:r>
          </w:p>
        </w:tc>
      </w:tr>
      <w:tr w:rsidR="00EC26B3" w:rsidRPr="00EC26B3" w14:paraId="11896B82" w14:textId="77777777" w:rsidTr="00EC26B3">
        <w:trPr>
          <w:trHeight w:val="320"/>
        </w:trPr>
        <w:tc>
          <w:tcPr>
            <w:tcW w:w="1980" w:type="dxa"/>
            <w:noWrap/>
            <w:hideMark/>
          </w:tcPr>
          <w:p w14:paraId="3B6276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Luxembourg</w:t>
            </w:r>
          </w:p>
        </w:tc>
        <w:tc>
          <w:tcPr>
            <w:tcW w:w="992" w:type="dxa"/>
            <w:noWrap/>
            <w:hideMark/>
          </w:tcPr>
          <w:p w14:paraId="4B5BB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92544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7.18</w:t>
            </w:r>
          </w:p>
        </w:tc>
        <w:tc>
          <w:tcPr>
            <w:tcW w:w="2265" w:type="dxa"/>
            <w:noWrap/>
            <w:hideMark/>
          </w:tcPr>
          <w:p w14:paraId="45AFEF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0986C03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3.91</w:t>
            </w:r>
          </w:p>
        </w:tc>
      </w:tr>
      <w:tr w:rsidR="00EC26B3" w:rsidRPr="00EC26B3" w14:paraId="2A682C31" w14:textId="77777777" w:rsidTr="00EC26B3">
        <w:trPr>
          <w:trHeight w:val="320"/>
        </w:trPr>
        <w:tc>
          <w:tcPr>
            <w:tcW w:w="1980" w:type="dxa"/>
            <w:noWrap/>
            <w:hideMark/>
          </w:tcPr>
          <w:p w14:paraId="5FEE060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Macau SAR China</w:t>
            </w:r>
          </w:p>
        </w:tc>
        <w:tc>
          <w:tcPr>
            <w:tcW w:w="992" w:type="dxa"/>
            <w:noWrap/>
            <w:hideMark/>
          </w:tcPr>
          <w:p w14:paraId="496B51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51902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6.67</w:t>
            </w:r>
          </w:p>
        </w:tc>
        <w:tc>
          <w:tcPr>
            <w:tcW w:w="2265" w:type="dxa"/>
            <w:noWrap/>
            <w:hideMark/>
          </w:tcPr>
          <w:p w14:paraId="1B7C2B70" w14:textId="34FB27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9B1B04" w14:textId="7FFDF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CDEE2C" w14:textId="77777777" w:rsidTr="00EC26B3">
        <w:trPr>
          <w:trHeight w:val="320"/>
        </w:trPr>
        <w:tc>
          <w:tcPr>
            <w:tcW w:w="1980" w:type="dxa"/>
            <w:noWrap/>
            <w:hideMark/>
          </w:tcPr>
          <w:p w14:paraId="79740F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Macedonia</w:t>
            </w:r>
          </w:p>
        </w:tc>
        <w:tc>
          <w:tcPr>
            <w:tcW w:w="992" w:type="dxa"/>
            <w:noWrap/>
            <w:hideMark/>
          </w:tcPr>
          <w:p w14:paraId="7472F30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8E1B3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05AC2CE5" w14:textId="5CE207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94302C4" w14:textId="7F6795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DB0149" w14:textId="77777777" w:rsidTr="00EC26B3">
        <w:trPr>
          <w:trHeight w:val="320"/>
        </w:trPr>
        <w:tc>
          <w:tcPr>
            <w:tcW w:w="1980" w:type="dxa"/>
            <w:noWrap/>
            <w:hideMark/>
          </w:tcPr>
          <w:p w14:paraId="2936E7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Madagascar</w:t>
            </w:r>
          </w:p>
        </w:tc>
        <w:tc>
          <w:tcPr>
            <w:tcW w:w="992" w:type="dxa"/>
            <w:noWrap/>
            <w:hideMark/>
          </w:tcPr>
          <w:p w14:paraId="3A4B9C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1C435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F4A78B1" w14:textId="7FFD20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050D46" w14:textId="4F56B4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5129017" w14:textId="77777777" w:rsidTr="00EC26B3">
        <w:trPr>
          <w:trHeight w:val="320"/>
        </w:trPr>
        <w:tc>
          <w:tcPr>
            <w:tcW w:w="1980" w:type="dxa"/>
            <w:noWrap/>
            <w:hideMark/>
          </w:tcPr>
          <w:p w14:paraId="17CD12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Malawi</w:t>
            </w:r>
          </w:p>
        </w:tc>
        <w:tc>
          <w:tcPr>
            <w:tcW w:w="992" w:type="dxa"/>
            <w:noWrap/>
            <w:hideMark/>
          </w:tcPr>
          <w:p w14:paraId="314F89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36ACC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433018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271E6B99" w14:textId="37E2229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1D43AA3" w14:textId="77777777" w:rsidTr="00EC26B3">
        <w:trPr>
          <w:trHeight w:val="320"/>
        </w:trPr>
        <w:tc>
          <w:tcPr>
            <w:tcW w:w="1980" w:type="dxa"/>
            <w:noWrap/>
            <w:hideMark/>
          </w:tcPr>
          <w:p w14:paraId="442EB5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Malaysia</w:t>
            </w:r>
          </w:p>
        </w:tc>
        <w:tc>
          <w:tcPr>
            <w:tcW w:w="992" w:type="dxa"/>
            <w:noWrap/>
            <w:hideMark/>
          </w:tcPr>
          <w:p w14:paraId="4EF3B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75BD7F4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15.52</w:t>
            </w:r>
          </w:p>
        </w:tc>
        <w:tc>
          <w:tcPr>
            <w:tcW w:w="2265" w:type="dxa"/>
            <w:noWrap/>
            <w:hideMark/>
          </w:tcPr>
          <w:p w14:paraId="01C8ECEA" w14:textId="7E54987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3574F3" w14:textId="06135F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A2E31B2" w14:textId="77777777" w:rsidTr="00EC26B3">
        <w:trPr>
          <w:trHeight w:val="320"/>
        </w:trPr>
        <w:tc>
          <w:tcPr>
            <w:tcW w:w="1980" w:type="dxa"/>
            <w:noWrap/>
            <w:hideMark/>
          </w:tcPr>
          <w:p w14:paraId="25DA5E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Maldives</w:t>
            </w:r>
          </w:p>
        </w:tc>
        <w:tc>
          <w:tcPr>
            <w:tcW w:w="992" w:type="dxa"/>
            <w:noWrap/>
            <w:hideMark/>
          </w:tcPr>
          <w:p w14:paraId="4557D71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5E385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2265" w:type="dxa"/>
            <w:noWrap/>
            <w:hideMark/>
          </w:tcPr>
          <w:p w14:paraId="1486E676" w14:textId="662148D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64402DA" w14:textId="273A15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D0C493" w14:textId="77777777" w:rsidTr="00EC26B3">
        <w:trPr>
          <w:trHeight w:val="320"/>
        </w:trPr>
        <w:tc>
          <w:tcPr>
            <w:tcW w:w="1980" w:type="dxa"/>
            <w:noWrap/>
            <w:hideMark/>
          </w:tcPr>
          <w:p w14:paraId="693564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Mali</w:t>
            </w:r>
          </w:p>
        </w:tc>
        <w:tc>
          <w:tcPr>
            <w:tcW w:w="992" w:type="dxa"/>
            <w:noWrap/>
            <w:hideMark/>
          </w:tcPr>
          <w:p w14:paraId="406F0F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FAEBA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6D3CA45D" w14:textId="1BDD1EC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7A6711" w14:textId="596B517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ACF7DF" w14:textId="77777777" w:rsidTr="00EC26B3">
        <w:trPr>
          <w:trHeight w:val="320"/>
        </w:trPr>
        <w:tc>
          <w:tcPr>
            <w:tcW w:w="1980" w:type="dxa"/>
            <w:noWrap/>
            <w:hideMark/>
          </w:tcPr>
          <w:p w14:paraId="68122D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Malta</w:t>
            </w:r>
          </w:p>
        </w:tc>
        <w:tc>
          <w:tcPr>
            <w:tcW w:w="992" w:type="dxa"/>
            <w:noWrap/>
            <w:hideMark/>
          </w:tcPr>
          <w:p w14:paraId="1C6BF3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45C6F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191BE7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1760" w:type="dxa"/>
            <w:noWrap/>
            <w:hideMark/>
          </w:tcPr>
          <w:p w14:paraId="5E950350" w14:textId="744160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9CCC858" w14:textId="77777777" w:rsidTr="00EC26B3">
        <w:trPr>
          <w:trHeight w:val="320"/>
        </w:trPr>
        <w:tc>
          <w:tcPr>
            <w:tcW w:w="1980" w:type="dxa"/>
            <w:noWrap/>
            <w:hideMark/>
          </w:tcPr>
          <w:p w14:paraId="27ADD7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Mauritania</w:t>
            </w:r>
          </w:p>
        </w:tc>
        <w:tc>
          <w:tcPr>
            <w:tcW w:w="992" w:type="dxa"/>
            <w:noWrap/>
            <w:hideMark/>
          </w:tcPr>
          <w:p w14:paraId="532CE5B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7504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302A5D5E" w14:textId="72BD5D4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4C9A6A" w14:textId="22DDC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D5D489" w14:textId="77777777" w:rsidTr="00EC26B3">
        <w:trPr>
          <w:trHeight w:val="320"/>
        </w:trPr>
        <w:tc>
          <w:tcPr>
            <w:tcW w:w="1980" w:type="dxa"/>
            <w:noWrap/>
            <w:hideMark/>
          </w:tcPr>
          <w:p w14:paraId="702E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Mauritius</w:t>
            </w:r>
          </w:p>
        </w:tc>
        <w:tc>
          <w:tcPr>
            <w:tcW w:w="992" w:type="dxa"/>
            <w:noWrap/>
            <w:hideMark/>
          </w:tcPr>
          <w:p w14:paraId="4F19AD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2DE1B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0.32</w:t>
            </w:r>
          </w:p>
        </w:tc>
        <w:tc>
          <w:tcPr>
            <w:tcW w:w="2265" w:type="dxa"/>
            <w:noWrap/>
            <w:hideMark/>
          </w:tcPr>
          <w:p w14:paraId="263861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BFD69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000539E4" w14:textId="77777777" w:rsidTr="00EC26B3">
        <w:trPr>
          <w:trHeight w:val="320"/>
        </w:trPr>
        <w:tc>
          <w:tcPr>
            <w:tcW w:w="1980" w:type="dxa"/>
            <w:noWrap/>
            <w:hideMark/>
          </w:tcPr>
          <w:p w14:paraId="5D47560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Mexico</w:t>
            </w:r>
          </w:p>
        </w:tc>
        <w:tc>
          <w:tcPr>
            <w:tcW w:w="992" w:type="dxa"/>
            <w:noWrap/>
            <w:hideMark/>
          </w:tcPr>
          <w:p w14:paraId="14BBFE3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B1577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2265" w:type="dxa"/>
            <w:noWrap/>
            <w:hideMark/>
          </w:tcPr>
          <w:p w14:paraId="5186ED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40510A4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0D953A6C" w14:textId="77777777" w:rsidTr="00EC26B3">
        <w:trPr>
          <w:trHeight w:val="320"/>
        </w:trPr>
        <w:tc>
          <w:tcPr>
            <w:tcW w:w="1980" w:type="dxa"/>
            <w:noWrap/>
            <w:hideMark/>
          </w:tcPr>
          <w:p w14:paraId="638A94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Moldova</w:t>
            </w:r>
          </w:p>
        </w:tc>
        <w:tc>
          <w:tcPr>
            <w:tcW w:w="992" w:type="dxa"/>
            <w:noWrap/>
            <w:hideMark/>
          </w:tcPr>
          <w:p w14:paraId="566A27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16EA373" w14:textId="3D2958E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13709" w14:textId="447BA4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294052" w14:textId="45BE5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6CBE05" w14:textId="77777777" w:rsidTr="00EC26B3">
        <w:trPr>
          <w:trHeight w:val="320"/>
        </w:trPr>
        <w:tc>
          <w:tcPr>
            <w:tcW w:w="1980" w:type="dxa"/>
            <w:noWrap/>
            <w:hideMark/>
          </w:tcPr>
          <w:p w14:paraId="30EEF0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Mongolia</w:t>
            </w:r>
          </w:p>
        </w:tc>
        <w:tc>
          <w:tcPr>
            <w:tcW w:w="992" w:type="dxa"/>
            <w:noWrap/>
            <w:hideMark/>
          </w:tcPr>
          <w:p w14:paraId="5985236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3ACA6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7171B7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328DAE84" w14:textId="43108B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AF9C4F6" w14:textId="77777777" w:rsidTr="00EC26B3">
        <w:trPr>
          <w:trHeight w:val="320"/>
        </w:trPr>
        <w:tc>
          <w:tcPr>
            <w:tcW w:w="1980" w:type="dxa"/>
            <w:noWrap/>
            <w:hideMark/>
          </w:tcPr>
          <w:p w14:paraId="66C284E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Montenegro</w:t>
            </w:r>
          </w:p>
        </w:tc>
        <w:tc>
          <w:tcPr>
            <w:tcW w:w="992" w:type="dxa"/>
            <w:noWrap/>
            <w:hideMark/>
          </w:tcPr>
          <w:p w14:paraId="4F718FD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2A9504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44798DB5" w14:textId="10DFF9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63E3166" w14:textId="321895B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AC6D1C" w14:textId="77777777" w:rsidTr="00EC26B3">
        <w:trPr>
          <w:trHeight w:val="320"/>
        </w:trPr>
        <w:tc>
          <w:tcPr>
            <w:tcW w:w="1980" w:type="dxa"/>
            <w:noWrap/>
            <w:hideMark/>
          </w:tcPr>
          <w:p w14:paraId="7B05DFF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Morocco</w:t>
            </w:r>
          </w:p>
        </w:tc>
        <w:tc>
          <w:tcPr>
            <w:tcW w:w="992" w:type="dxa"/>
            <w:noWrap/>
            <w:hideMark/>
          </w:tcPr>
          <w:p w14:paraId="2B6DF5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4694EE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3.18</w:t>
            </w:r>
          </w:p>
        </w:tc>
        <w:tc>
          <w:tcPr>
            <w:tcW w:w="2265" w:type="dxa"/>
            <w:noWrap/>
            <w:hideMark/>
          </w:tcPr>
          <w:p w14:paraId="47043D38" w14:textId="0D7A10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AD769F" w14:textId="5759B8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A279AC" w14:textId="77777777" w:rsidTr="00EC26B3">
        <w:trPr>
          <w:trHeight w:val="320"/>
        </w:trPr>
        <w:tc>
          <w:tcPr>
            <w:tcW w:w="1980" w:type="dxa"/>
            <w:noWrap/>
            <w:hideMark/>
          </w:tcPr>
          <w:p w14:paraId="4EE27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Mozambique</w:t>
            </w:r>
          </w:p>
        </w:tc>
        <w:tc>
          <w:tcPr>
            <w:tcW w:w="992" w:type="dxa"/>
            <w:noWrap/>
            <w:hideMark/>
          </w:tcPr>
          <w:p w14:paraId="615281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536DA16" w14:textId="170E5F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594E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4126E816" w14:textId="70C4C4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646A74" w14:textId="77777777" w:rsidTr="00EC26B3">
        <w:trPr>
          <w:trHeight w:val="320"/>
        </w:trPr>
        <w:tc>
          <w:tcPr>
            <w:tcW w:w="1980" w:type="dxa"/>
            <w:noWrap/>
            <w:hideMark/>
          </w:tcPr>
          <w:p w14:paraId="502281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Myanmar (Burma)</w:t>
            </w:r>
          </w:p>
        </w:tc>
        <w:tc>
          <w:tcPr>
            <w:tcW w:w="992" w:type="dxa"/>
            <w:noWrap/>
            <w:hideMark/>
          </w:tcPr>
          <w:p w14:paraId="56D364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6D048C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7F8598E4" w14:textId="45A8F7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3475A6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0.07</w:t>
            </w:r>
          </w:p>
        </w:tc>
      </w:tr>
      <w:tr w:rsidR="00EC26B3" w:rsidRPr="00EC26B3" w14:paraId="7A52F6C6" w14:textId="77777777" w:rsidTr="00EC26B3">
        <w:trPr>
          <w:trHeight w:val="320"/>
        </w:trPr>
        <w:tc>
          <w:tcPr>
            <w:tcW w:w="1980" w:type="dxa"/>
            <w:noWrap/>
            <w:hideMark/>
          </w:tcPr>
          <w:p w14:paraId="5E54A4B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w:t>
            </w:r>
          </w:p>
        </w:tc>
        <w:tc>
          <w:tcPr>
            <w:tcW w:w="992" w:type="dxa"/>
            <w:noWrap/>
            <w:hideMark/>
          </w:tcPr>
          <w:p w14:paraId="704063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EU</w:t>
            </w:r>
          </w:p>
        </w:tc>
        <w:tc>
          <w:tcPr>
            <w:tcW w:w="1843" w:type="dxa"/>
            <w:noWrap/>
            <w:hideMark/>
          </w:tcPr>
          <w:p w14:paraId="7133A0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499.00</w:t>
            </w:r>
          </w:p>
        </w:tc>
        <w:tc>
          <w:tcPr>
            <w:tcW w:w="2265" w:type="dxa"/>
            <w:noWrap/>
            <w:hideMark/>
          </w:tcPr>
          <w:p w14:paraId="64AC752B" w14:textId="2861C17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17E25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866.00</w:t>
            </w:r>
          </w:p>
        </w:tc>
      </w:tr>
      <w:tr w:rsidR="00EC26B3" w:rsidRPr="00EC26B3" w14:paraId="4C7E7200" w14:textId="77777777" w:rsidTr="00EC26B3">
        <w:trPr>
          <w:trHeight w:val="320"/>
        </w:trPr>
        <w:tc>
          <w:tcPr>
            <w:tcW w:w="1980" w:type="dxa"/>
            <w:noWrap/>
            <w:hideMark/>
          </w:tcPr>
          <w:p w14:paraId="5BD1FB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Namibia</w:t>
            </w:r>
          </w:p>
        </w:tc>
        <w:tc>
          <w:tcPr>
            <w:tcW w:w="992" w:type="dxa"/>
            <w:noWrap/>
            <w:hideMark/>
          </w:tcPr>
          <w:p w14:paraId="21ADE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3E3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19A9A0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1760" w:type="dxa"/>
            <w:noWrap/>
            <w:hideMark/>
          </w:tcPr>
          <w:p w14:paraId="1B8B5D1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19E3E9B9" w14:textId="77777777" w:rsidTr="00EC26B3">
        <w:trPr>
          <w:trHeight w:val="320"/>
        </w:trPr>
        <w:tc>
          <w:tcPr>
            <w:tcW w:w="1980" w:type="dxa"/>
            <w:noWrap/>
            <w:hideMark/>
          </w:tcPr>
          <w:p w14:paraId="29E84A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Nepal</w:t>
            </w:r>
          </w:p>
        </w:tc>
        <w:tc>
          <w:tcPr>
            <w:tcW w:w="992" w:type="dxa"/>
            <w:noWrap/>
            <w:hideMark/>
          </w:tcPr>
          <w:p w14:paraId="4F7F35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E2B5BF3" w14:textId="6A48C5A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07368D9" w14:textId="6B8395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8A1211" w14:textId="2C8C0C4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5DABA9" w14:textId="77777777" w:rsidTr="00EC26B3">
        <w:trPr>
          <w:trHeight w:val="320"/>
        </w:trPr>
        <w:tc>
          <w:tcPr>
            <w:tcW w:w="1980" w:type="dxa"/>
            <w:noWrap/>
            <w:hideMark/>
          </w:tcPr>
          <w:p w14:paraId="578A25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Netherlands</w:t>
            </w:r>
          </w:p>
        </w:tc>
        <w:tc>
          <w:tcPr>
            <w:tcW w:w="992" w:type="dxa"/>
            <w:noWrap/>
            <w:hideMark/>
          </w:tcPr>
          <w:p w14:paraId="69E035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965BA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67.78</w:t>
            </w:r>
          </w:p>
        </w:tc>
        <w:tc>
          <w:tcPr>
            <w:tcW w:w="2265" w:type="dxa"/>
            <w:noWrap/>
            <w:hideMark/>
          </w:tcPr>
          <w:p w14:paraId="2EB632F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1ECE249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33.26</w:t>
            </w:r>
          </w:p>
        </w:tc>
      </w:tr>
      <w:tr w:rsidR="00EC26B3" w:rsidRPr="00EC26B3" w14:paraId="756C1767" w14:textId="77777777" w:rsidTr="00EC26B3">
        <w:trPr>
          <w:trHeight w:val="320"/>
        </w:trPr>
        <w:tc>
          <w:tcPr>
            <w:tcW w:w="1980" w:type="dxa"/>
            <w:noWrap/>
            <w:hideMark/>
          </w:tcPr>
          <w:p w14:paraId="558F5C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Caledonia</w:t>
            </w:r>
          </w:p>
        </w:tc>
        <w:tc>
          <w:tcPr>
            <w:tcW w:w="992" w:type="dxa"/>
            <w:noWrap/>
            <w:hideMark/>
          </w:tcPr>
          <w:p w14:paraId="77D0A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BF9CEB2" w14:textId="1CF0B8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97B541C" w14:textId="7F419D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B56A104" w14:textId="67B1A2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8E85A79" w14:textId="77777777" w:rsidTr="00EC26B3">
        <w:trPr>
          <w:trHeight w:val="320"/>
        </w:trPr>
        <w:tc>
          <w:tcPr>
            <w:tcW w:w="1980" w:type="dxa"/>
            <w:noWrap/>
            <w:hideMark/>
          </w:tcPr>
          <w:p w14:paraId="4ECABB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Zealand</w:t>
            </w:r>
          </w:p>
        </w:tc>
        <w:tc>
          <w:tcPr>
            <w:tcW w:w="992" w:type="dxa"/>
            <w:noWrap/>
            <w:hideMark/>
          </w:tcPr>
          <w:p w14:paraId="528761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EB958A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37.00</w:t>
            </w:r>
          </w:p>
        </w:tc>
        <w:tc>
          <w:tcPr>
            <w:tcW w:w="2265" w:type="dxa"/>
            <w:noWrap/>
            <w:hideMark/>
          </w:tcPr>
          <w:p w14:paraId="178B89A4" w14:textId="3F03629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F2C13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8.00</w:t>
            </w:r>
          </w:p>
        </w:tc>
      </w:tr>
      <w:tr w:rsidR="00EC26B3" w:rsidRPr="00EC26B3" w14:paraId="3CA37C2E" w14:textId="77777777" w:rsidTr="00EC26B3">
        <w:trPr>
          <w:trHeight w:val="320"/>
        </w:trPr>
        <w:tc>
          <w:tcPr>
            <w:tcW w:w="1980" w:type="dxa"/>
            <w:noWrap/>
            <w:hideMark/>
          </w:tcPr>
          <w:p w14:paraId="44E3A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Nicaragua</w:t>
            </w:r>
          </w:p>
        </w:tc>
        <w:tc>
          <w:tcPr>
            <w:tcW w:w="992" w:type="dxa"/>
            <w:noWrap/>
            <w:hideMark/>
          </w:tcPr>
          <w:p w14:paraId="6C502B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A93B42E" w14:textId="7E18A8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F743A3A" w14:textId="06197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8EAA407" w14:textId="07E73CC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215B687" w14:textId="77777777" w:rsidTr="00EC26B3">
        <w:trPr>
          <w:trHeight w:val="320"/>
        </w:trPr>
        <w:tc>
          <w:tcPr>
            <w:tcW w:w="1980" w:type="dxa"/>
            <w:noWrap/>
            <w:hideMark/>
          </w:tcPr>
          <w:p w14:paraId="66DFD0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w:t>
            </w:r>
          </w:p>
        </w:tc>
        <w:tc>
          <w:tcPr>
            <w:tcW w:w="992" w:type="dxa"/>
            <w:noWrap/>
            <w:hideMark/>
          </w:tcPr>
          <w:p w14:paraId="3341EB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2E8B462" w14:textId="112810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45CD790" w14:textId="0BA6FCF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C67F7C" w14:textId="3D3CCB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4F2CD6" w14:textId="77777777" w:rsidTr="00EC26B3">
        <w:trPr>
          <w:trHeight w:val="320"/>
        </w:trPr>
        <w:tc>
          <w:tcPr>
            <w:tcW w:w="1980" w:type="dxa"/>
            <w:noWrap/>
            <w:hideMark/>
          </w:tcPr>
          <w:p w14:paraId="360823E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Nigeria</w:t>
            </w:r>
          </w:p>
        </w:tc>
        <w:tc>
          <w:tcPr>
            <w:tcW w:w="992" w:type="dxa"/>
            <w:noWrap/>
            <w:hideMark/>
          </w:tcPr>
          <w:p w14:paraId="7155F3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70A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40BE21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c>
          <w:tcPr>
            <w:tcW w:w="1760" w:type="dxa"/>
            <w:noWrap/>
            <w:hideMark/>
          </w:tcPr>
          <w:p w14:paraId="59196547" w14:textId="7BDD7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2F6828F" w14:textId="77777777" w:rsidTr="00EC26B3">
        <w:trPr>
          <w:trHeight w:val="320"/>
        </w:trPr>
        <w:tc>
          <w:tcPr>
            <w:tcW w:w="1980" w:type="dxa"/>
            <w:noWrap/>
            <w:hideMark/>
          </w:tcPr>
          <w:p w14:paraId="7E77D1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Norway</w:t>
            </w:r>
          </w:p>
        </w:tc>
        <w:tc>
          <w:tcPr>
            <w:tcW w:w="992" w:type="dxa"/>
            <w:noWrap/>
            <w:hideMark/>
          </w:tcPr>
          <w:p w14:paraId="55B1D6B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2862FF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10EB3DF9" w14:textId="43AFEB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BB53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6C648566" w14:textId="77777777" w:rsidTr="00EC26B3">
        <w:trPr>
          <w:trHeight w:val="320"/>
        </w:trPr>
        <w:tc>
          <w:tcPr>
            <w:tcW w:w="1980" w:type="dxa"/>
            <w:noWrap/>
            <w:hideMark/>
          </w:tcPr>
          <w:p w14:paraId="25FB9F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Oman</w:t>
            </w:r>
          </w:p>
        </w:tc>
        <w:tc>
          <w:tcPr>
            <w:tcW w:w="992" w:type="dxa"/>
            <w:noWrap/>
            <w:hideMark/>
          </w:tcPr>
          <w:p w14:paraId="413280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67DE86" w14:textId="78539D6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0D0860F" w14:textId="23B396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B3BCF3" w14:textId="41CF8BE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5CFC76" w14:textId="77777777" w:rsidTr="00EC26B3">
        <w:trPr>
          <w:trHeight w:val="320"/>
        </w:trPr>
        <w:tc>
          <w:tcPr>
            <w:tcW w:w="1980" w:type="dxa"/>
            <w:noWrap/>
            <w:hideMark/>
          </w:tcPr>
          <w:p w14:paraId="675E931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Pakistan</w:t>
            </w:r>
          </w:p>
        </w:tc>
        <w:tc>
          <w:tcPr>
            <w:tcW w:w="992" w:type="dxa"/>
            <w:noWrap/>
            <w:hideMark/>
          </w:tcPr>
          <w:p w14:paraId="323CB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DD78F0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w:t>
            </w:r>
          </w:p>
        </w:tc>
        <w:tc>
          <w:tcPr>
            <w:tcW w:w="2265" w:type="dxa"/>
            <w:noWrap/>
            <w:hideMark/>
          </w:tcPr>
          <w:p w14:paraId="319825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1760" w:type="dxa"/>
            <w:noWrap/>
            <w:hideMark/>
          </w:tcPr>
          <w:p w14:paraId="34DC595C" w14:textId="02C745A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1430FB7" w14:textId="77777777" w:rsidTr="00EC26B3">
        <w:trPr>
          <w:trHeight w:val="320"/>
        </w:trPr>
        <w:tc>
          <w:tcPr>
            <w:tcW w:w="1980" w:type="dxa"/>
            <w:noWrap/>
            <w:hideMark/>
          </w:tcPr>
          <w:p w14:paraId="7E4DEC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Panama</w:t>
            </w:r>
          </w:p>
        </w:tc>
        <w:tc>
          <w:tcPr>
            <w:tcW w:w="992" w:type="dxa"/>
            <w:noWrap/>
            <w:hideMark/>
          </w:tcPr>
          <w:p w14:paraId="0E811A5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9DCF8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2265" w:type="dxa"/>
            <w:noWrap/>
            <w:hideMark/>
          </w:tcPr>
          <w:p w14:paraId="7D2FEEEE" w14:textId="71745F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2EE0BAF" w14:textId="62A6E1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BE9DC7" w14:textId="77777777" w:rsidTr="00EC26B3">
        <w:trPr>
          <w:trHeight w:val="320"/>
        </w:trPr>
        <w:tc>
          <w:tcPr>
            <w:tcW w:w="1980" w:type="dxa"/>
            <w:noWrap/>
            <w:hideMark/>
          </w:tcPr>
          <w:p w14:paraId="34BEC2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Papua New Guinea</w:t>
            </w:r>
          </w:p>
        </w:tc>
        <w:tc>
          <w:tcPr>
            <w:tcW w:w="992" w:type="dxa"/>
            <w:noWrap/>
            <w:hideMark/>
          </w:tcPr>
          <w:p w14:paraId="1545603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187E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w:t>
            </w:r>
          </w:p>
        </w:tc>
        <w:tc>
          <w:tcPr>
            <w:tcW w:w="2265" w:type="dxa"/>
            <w:noWrap/>
            <w:hideMark/>
          </w:tcPr>
          <w:p w14:paraId="74AD87BB" w14:textId="5D0EFBD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03D10E9" w14:textId="1D4E5E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6A85BB7" w14:textId="77777777" w:rsidTr="00EC26B3">
        <w:trPr>
          <w:trHeight w:val="320"/>
        </w:trPr>
        <w:tc>
          <w:tcPr>
            <w:tcW w:w="1980" w:type="dxa"/>
            <w:noWrap/>
            <w:hideMark/>
          </w:tcPr>
          <w:p w14:paraId="08B79A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Paraguay</w:t>
            </w:r>
          </w:p>
        </w:tc>
        <w:tc>
          <w:tcPr>
            <w:tcW w:w="992" w:type="dxa"/>
            <w:noWrap/>
            <w:hideMark/>
          </w:tcPr>
          <w:p w14:paraId="06B5F8A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E11F2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0.45</w:t>
            </w:r>
          </w:p>
        </w:tc>
        <w:tc>
          <w:tcPr>
            <w:tcW w:w="2265" w:type="dxa"/>
            <w:noWrap/>
            <w:hideMark/>
          </w:tcPr>
          <w:p w14:paraId="6183DA0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1A4F1369" w14:textId="2CD46D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C2B86D" w14:textId="77777777" w:rsidTr="00EC26B3">
        <w:trPr>
          <w:trHeight w:val="320"/>
        </w:trPr>
        <w:tc>
          <w:tcPr>
            <w:tcW w:w="1980" w:type="dxa"/>
            <w:noWrap/>
            <w:hideMark/>
          </w:tcPr>
          <w:p w14:paraId="63D35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Peru</w:t>
            </w:r>
          </w:p>
        </w:tc>
        <w:tc>
          <w:tcPr>
            <w:tcW w:w="992" w:type="dxa"/>
            <w:noWrap/>
            <w:hideMark/>
          </w:tcPr>
          <w:p w14:paraId="3E4913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47572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18.30</w:t>
            </w:r>
          </w:p>
        </w:tc>
        <w:tc>
          <w:tcPr>
            <w:tcW w:w="2265" w:type="dxa"/>
            <w:noWrap/>
            <w:hideMark/>
          </w:tcPr>
          <w:p w14:paraId="78B6349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010CAF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17.10</w:t>
            </w:r>
          </w:p>
        </w:tc>
      </w:tr>
      <w:tr w:rsidR="00EC26B3" w:rsidRPr="00EC26B3" w14:paraId="1A6043E7" w14:textId="77777777" w:rsidTr="00EC26B3">
        <w:trPr>
          <w:trHeight w:val="320"/>
        </w:trPr>
        <w:tc>
          <w:tcPr>
            <w:tcW w:w="1980" w:type="dxa"/>
            <w:noWrap/>
            <w:hideMark/>
          </w:tcPr>
          <w:p w14:paraId="6F2A07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Philippines</w:t>
            </w:r>
          </w:p>
        </w:tc>
        <w:tc>
          <w:tcPr>
            <w:tcW w:w="992" w:type="dxa"/>
            <w:noWrap/>
            <w:hideMark/>
          </w:tcPr>
          <w:p w14:paraId="3A804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86C56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10.80</w:t>
            </w:r>
          </w:p>
        </w:tc>
        <w:tc>
          <w:tcPr>
            <w:tcW w:w="2265" w:type="dxa"/>
            <w:noWrap/>
            <w:hideMark/>
          </w:tcPr>
          <w:p w14:paraId="38501B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1760" w:type="dxa"/>
            <w:noWrap/>
            <w:hideMark/>
          </w:tcPr>
          <w:p w14:paraId="74311785" w14:textId="18E9D8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995ACC" w14:textId="77777777" w:rsidTr="00EC26B3">
        <w:trPr>
          <w:trHeight w:val="320"/>
        </w:trPr>
        <w:tc>
          <w:tcPr>
            <w:tcW w:w="1980" w:type="dxa"/>
            <w:noWrap/>
            <w:hideMark/>
          </w:tcPr>
          <w:p w14:paraId="7A19AEA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Poland</w:t>
            </w:r>
          </w:p>
        </w:tc>
        <w:tc>
          <w:tcPr>
            <w:tcW w:w="992" w:type="dxa"/>
            <w:noWrap/>
            <w:hideMark/>
          </w:tcPr>
          <w:p w14:paraId="464F718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0C214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40.80</w:t>
            </w:r>
          </w:p>
        </w:tc>
        <w:tc>
          <w:tcPr>
            <w:tcW w:w="2265" w:type="dxa"/>
            <w:noWrap/>
            <w:hideMark/>
          </w:tcPr>
          <w:p w14:paraId="608B7E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w:t>
            </w:r>
          </w:p>
        </w:tc>
        <w:tc>
          <w:tcPr>
            <w:tcW w:w="1760" w:type="dxa"/>
            <w:noWrap/>
            <w:hideMark/>
          </w:tcPr>
          <w:p w14:paraId="627AEB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29.10</w:t>
            </w:r>
          </w:p>
        </w:tc>
      </w:tr>
      <w:tr w:rsidR="00EC26B3" w:rsidRPr="00EC26B3" w14:paraId="1CEDFA79" w14:textId="77777777" w:rsidTr="00EC26B3">
        <w:trPr>
          <w:trHeight w:val="320"/>
        </w:trPr>
        <w:tc>
          <w:tcPr>
            <w:tcW w:w="1980" w:type="dxa"/>
            <w:noWrap/>
            <w:hideMark/>
          </w:tcPr>
          <w:p w14:paraId="363D19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Portugal</w:t>
            </w:r>
          </w:p>
        </w:tc>
        <w:tc>
          <w:tcPr>
            <w:tcW w:w="992" w:type="dxa"/>
            <w:noWrap/>
            <w:hideMark/>
          </w:tcPr>
          <w:p w14:paraId="610C0C7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6467A0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10.76</w:t>
            </w:r>
          </w:p>
        </w:tc>
        <w:tc>
          <w:tcPr>
            <w:tcW w:w="2265" w:type="dxa"/>
            <w:noWrap/>
            <w:hideMark/>
          </w:tcPr>
          <w:p w14:paraId="78C37D95" w14:textId="7E170C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EB5BBAE" w14:textId="47C85B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2E8105" w14:textId="77777777" w:rsidTr="00EC26B3">
        <w:trPr>
          <w:trHeight w:val="320"/>
        </w:trPr>
        <w:tc>
          <w:tcPr>
            <w:tcW w:w="1980" w:type="dxa"/>
            <w:noWrap/>
            <w:hideMark/>
          </w:tcPr>
          <w:p w14:paraId="70AEB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Puerto Rico</w:t>
            </w:r>
          </w:p>
        </w:tc>
        <w:tc>
          <w:tcPr>
            <w:tcW w:w="992" w:type="dxa"/>
            <w:noWrap/>
            <w:hideMark/>
          </w:tcPr>
          <w:p w14:paraId="7A6DBB8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C14C11" w14:textId="3F176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8901067" w14:textId="349485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9D20C4C" w14:textId="0B5485C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5FC21F" w14:textId="77777777" w:rsidTr="00EC26B3">
        <w:trPr>
          <w:trHeight w:val="320"/>
        </w:trPr>
        <w:tc>
          <w:tcPr>
            <w:tcW w:w="1980" w:type="dxa"/>
            <w:noWrap/>
            <w:hideMark/>
          </w:tcPr>
          <w:p w14:paraId="45188C9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Qatar</w:t>
            </w:r>
          </w:p>
        </w:tc>
        <w:tc>
          <w:tcPr>
            <w:tcW w:w="992" w:type="dxa"/>
            <w:noWrap/>
            <w:hideMark/>
          </w:tcPr>
          <w:p w14:paraId="59D716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92F0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20.60</w:t>
            </w:r>
          </w:p>
        </w:tc>
        <w:tc>
          <w:tcPr>
            <w:tcW w:w="2265" w:type="dxa"/>
            <w:noWrap/>
            <w:hideMark/>
          </w:tcPr>
          <w:p w14:paraId="3F2A984B" w14:textId="7806A72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02144F8" w14:textId="7D81BA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D10FDCC" w14:textId="77777777" w:rsidTr="00EC26B3">
        <w:trPr>
          <w:trHeight w:val="320"/>
        </w:trPr>
        <w:tc>
          <w:tcPr>
            <w:tcW w:w="1980" w:type="dxa"/>
            <w:noWrap/>
            <w:hideMark/>
          </w:tcPr>
          <w:p w14:paraId="2FA70B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Romania</w:t>
            </w:r>
          </w:p>
        </w:tc>
        <w:tc>
          <w:tcPr>
            <w:tcW w:w="992" w:type="dxa"/>
            <w:noWrap/>
            <w:hideMark/>
          </w:tcPr>
          <w:p w14:paraId="3680AB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4BE69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2.40</w:t>
            </w:r>
          </w:p>
        </w:tc>
        <w:tc>
          <w:tcPr>
            <w:tcW w:w="2265" w:type="dxa"/>
            <w:noWrap/>
            <w:hideMark/>
          </w:tcPr>
          <w:p w14:paraId="57D9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w:t>
            </w:r>
          </w:p>
        </w:tc>
        <w:tc>
          <w:tcPr>
            <w:tcW w:w="1760" w:type="dxa"/>
            <w:noWrap/>
            <w:hideMark/>
          </w:tcPr>
          <w:p w14:paraId="5C6AEC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7.40</w:t>
            </w:r>
          </w:p>
        </w:tc>
      </w:tr>
      <w:tr w:rsidR="00EC26B3" w:rsidRPr="00EC26B3" w14:paraId="40F07026" w14:textId="77777777" w:rsidTr="00EC26B3">
        <w:trPr>
          <w:trHeight w:val="320"/>
        </w:trPr>
        <w:tc>
          <w:tcPr>
            <w:tcW w:w="1980" w:type="dxa"/>
            <w:noWrap/>
            <w:hideMark/>
          </w:tcPr>
          <w:p w14:paraId="5FE53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Russia</w:t>
            </w:r>
          </w:p>
        </w:tc>
        <w:tc>
          <w:tcPr>
            <w:tcW w:w="992" w:type="dxa"/>
            <w:noWrap/>
            <w:hideMark/>
          </w:tcPr>
          <w:p w14:paraId="771EF7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15F5E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378764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033DE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15.00</w:t>
            </w:r>
          </w:p>
        </w:tc>
      </w:tr>
      <w:tr w:rsidR="00EC26B3" w:rsidRPr="00EC26B3" w14:paraId="1C1C4D23" w14:textId="77777777" w:rsidTr="00EC26B3">
        <w:trPr>
          <w:trHeight w:val="320"/>
        </w:trPr>
        <w:tc>
          <w:tcPr>
            <w:tcW w:w="1980" w:type="dxa"/>
            <w:noWrap/>
            <w:hideMark/>
          </w:tcPr>
          <w:p w14:paraId="630B3B5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Rwanda</w:t>
            </w:r>
          </w:p>
        </w:tc>
        <w:tc>
          <w:tcPr>
            <w:tcW w:w="992" w:type="dxa"/>
            <w:noWrap/>
            <w:hideMark/>
          </w:tcPr>
          <w:p w14:paraId="40F07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4B08A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63CC0D03" w14:textId="66FE1A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1C05EE" w14:textId="5C2E77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5111BEE" w14:textId="77777777" w:rsidTr="00EC26B3">
        <w:trPr>
          <w:trHeight w:val="320"/>
        </w:trPr>
        <w:tc>
          <w:tcPr>
            <w:tcW w:w="1980" w:type="dxa"/>
            <w:noWrap/>
            <w:hideMark/>
          </w:tcPr>
          <w:p w14:paraId="04C7EA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Samoa</w:t>
            </w:r>
          </w:p>
        </w:tc>
        <w:tc>
          <w:tcPr>
            <w:tcW w:w="992" w:type="dxa"/>
            <w:noWrap/>
            <w:hideMark/>
          </w:tcPr>
          <w:p w14:paraId="04854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857E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2F6C3A58" w14:textId="7AE388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606FC7C" w14:textId="235AEE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9A9CEF" w14:textId="77777777" w:rsidTr="00EC26B3">
        <w:trPr>
          <w:trHeight w:val="320"/>
        </w:trPr>
        <w:tc>
          <w:tcPr>
            <w:tcW w:w="1980" w:type="dxa"/>
            <w:noWrap/>
            <w:hideMark/>
          </w:tcPr>
          <w:p w14:paraId="6C694F1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Saudi Arabia</w:t>
            </w:r>
          </w:p>
        </w:tc>
        <w:tc>
          <w:tcPr>
            <w:tcW w:w="992" w:type="dxa"/>
            <w:noWrap/>
            <w:hideMark/>
          </w:tcPr>
          <w:p w14:paraId="1F0C89E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F12A39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491B387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c>
          <w:tcPr>
            <w:tcW w:w="1760" w:type="dxa"/>
            <w:noWrap/>
            <w:hideMark/>
          </w:tcPr>
          <w:p w14:paraId="345302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6.00</w:t>
            </w:r>
          </w:p>
        </w:tc>
      </w:tr>
      <w:tr w:rsidR="00EC26B3" w:rsidRPr="00EC26B3" w14:paraId="7E186B07" w14:textId="77777777" w:rsidTr="00EC26B3">
        <w:trPr>
          <w:trHeight w:val="320"/>
        </w:trPr>
        <w:tc>
          <w:tcPr>
            <w:tcW w:w="1980" w:type="dxa"/>
            <w:noWrap/>
            <w:hideMark/>
          </w:tcPr>
          <w:p w14:paraId="198360D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Senegal</w:t>
            </w:r>
          </w:p>
        </w:tc>
        <w:tc>
          <w:tcPr>
            <w:tcW w:w="992" w:type="dxa"/>
            <w:noWrap/>
            <w:hideMark/>
          </w:tcPr>
          <w:p w14:paraId="602777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5303B5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0661C2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F6B2FD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039DFE5B" w14:textId="77777777" w:rsidTr="00EC26B3">
        <w:trPr>
          <w:trHeight w:val="320"/>
        </w:trPr>
        <w:tc>
          <w:tcPr>
            <w:tcW w:w="1980" w:type="dxa"/>
            <w:noWrap/>
            <w:hideMark/>
          </w:tcPr>
          <w:p w14:paraId="09CEF6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Serbia</w:t>
            </w:r>
          </w:p>
        </w:tc>
        <w:tc>
          <w:tcPr>
            <w:tcW w:w="992" w:type="dxa"/>
            <w:noWrap/>
            <w:hideMark/>
          </w:tcPr>
          <w:p w14:paraId="63E03C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C90C08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2.83</w:t>
            </w:r>
          </w:p>
        </w:tc>
        <w:tc>
          <w:tcPr>
            <w:tcW w:w="2265" w:type="dxa"/>
            <w:noWrap/>
            <w:hideMark/>
          </w:tcPr>
          <w:p w14:paraId="4836D6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0.39</w:t>
            </w:r>
          </w:p>
        </w:tc>
        <w:tc>
          <w:tcPr>
            <w:tcW w:w="1760" w:type="dxa"/>
            <w:noWrap/>
            <w:hideMark/>
          </w:tcPr>
          <w:p w14:paraId="7AC571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2.64</w:t>
            </w:r>
          </w:p>
        </w:tc>
      </w:tr>
      <w:tr w:rsidR="00EC26B3" w:rsidRPr="00EC26B3" w14:paraId="7BA5C1D2" w14:textId="77777777" w:rsidTr="00EC26B3">
        <w:trPr>
          <w:trHeight w:val="320"/>
        </w:trPr>
        <w:tc>
          <w:tcPr>
            <w:tcW w:w="1980" w:type="dxa"/>
            <w:noWrap/>
            <w:hideMark/>
          </w:tcPr>
          <w:p w14:paraId="5F3397B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Sierra Leone</w:t>
            </w:r>
          </w:p>
        </w:tc>
        <w:tc>
          <w:tcPr>
            <w:tcW w:w="992" w:type="dxa"/>
            <w:noWrap/>
            <w:hideMark/>
          </w:tcPr>
          <w:p w14:paraId="59510D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58820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2251454D" w14:textId="142BE41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2DC61EF" w14:textId="4BAF2B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449138" w14:textId="77777777" w:rsidTr="00EC26B3">
        <w:trPr>
          <w:trHeight w:val="320"/>
        </w:trPr>
        <w:tc>
          <w:tcPr>
            <w:tcW w:w="1980" w:type="dxa"/>
            <w:noWrap/>
            <w:hideMark/>
          </w:tcPr>
          <w:p w14:paraId="210997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Singapore</w:t>
            </w:r>
          </w:p>
        </w:tc>
        <w:tc>
          <w:tcPr>
            <w:tcW w:w="992" w:type="dxa"/>
            <w:noWrap/>
            <w:hideMark/>
          </w:tcPr>
          <w:p w14:paraId="080F10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4FE3B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51.00</w:t>
            </w:r>
          </w:p>
        </w:tc>
        <w:tc>
          <w:tcPr>
            <w:tcW w:w="2265" w:type="dxa"/>
            <w:noWrap/>
            <w:hideMark/>
          </w:tcPr>
          <w:p w14:paraId="6839670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7D3299D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14.00</w:t>
            </w:r>
          </w:p>
        </w:tc>
      </w:tr>
      <w:tr w:rsidR="00EC26B3" w:rsidRPr="00EC26B3" w14:paraId="59CA8BFE" w14:textId="77777777" w:rsidTr="00EC26B3">
        <w:trPr>
          <w:trHeight w:val="320"/>
        </w:trPr>
        <w:tc>
          <w:tcPr>
            <w:tcW w:w="1980" w:type="dxa"/>
            <w:noWrap/>
            <w:hideMark/>
          </w:tcPr>
          <w:p w14:paraId="7683C9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Slovakia</w:t>
            </w:r>
          </w:p>
        </w:tc>
        <w:tc>
          <w:tcPr>
            <w:tcW w:w="992" w:type="dxa"/>
            <w:noWrap/>
            <w:hideMark/>
          </w:tcPr>
          <w:p w14:paraId="38C936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A3B1D6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w:t>
            </w:r>
          </w:p>
        </w:tc>
        <w:tc>
          <w:tcPr>
            <w:tcW w:w="2265" w:type="dxa"/>
            <w:noWrap/>
            <w:hideMark/>
          </w:tcPr>
          <w:p w14:paraId="68E44F76" w14:textId="512BE4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9C9478C" w14:textId="096ED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0BA81B" w14:textId="77777777" w:rsidTr="00EC26B3">
        <w:trPr>
          <w:trHeight w:val="320"/>
        </w:trPr>
        <w:tc>
          <w:tcPr>
            <w:tcW w:w="1980" w:type="dxa"/>
            <w:noWrap/>
            <w:hideMark/>
          </w:tcPr>
          <w:p w14:paraId="4A6969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Slovenia</w:t>
            </w:r>
          </w:p>
        </w:tc>
        <w:tc>
          <w:tcPr>
            <w:tcW w:w="992" w:type="dxa"/>
            <w:noWrap/>
            <w:hideMark/>
          </w:tcPr>
          <w:p w14:paraId="49094E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508CC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7.61</w:t>
            </w:r>
          </w:p>
        </w:tc>
        <w:tc>
          <w:tcPr>
            <w:tcW w:w="2265" w:type="dxa"/>
            <w:noWrap/>
            <w:hideMark/>
          </w:tcPr>
          <w:p w14:paraId="3DA472CA" w14:textId="3616AA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D48553" w14:textId="0A9C22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EA5D3" w14:textId="77777777" w:rsidTr="00EC26B3">
        <w:trPr>
          <w:trHeight w:val="320"/>
        </w:trPr>
        <w:tc>
          <w:tcPr>
            <w:tcW w:w="1980" w:type="dxa"/>
            <w:noWrap/>
            <w:hideMark/>
          </w:tcPr>
          <w:p w14:paraId="263CDD5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Solomon Islands</w:t>
            </w:r>
          </w:p>
        </w:tc>
        <w:tc>
          <w:tcPr>
            <w:tcW w:w="992" w:type="dxa"/>
            <w:noWrap/>
            <w:hideMark/>
          </w:tcPr>
          <w:p w14:paraId="080327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C0286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7DD43A5" w14:textId="13DBED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78B6EE" w14:textId="2672CD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FEFB91A" w14:textId="77777777" w:rsidTr="00EC26B3">
        <w:trPr>
          <w:trHeight w:val="320"/>
        </w:trPr>
        <w:tc>
          <w:tcPr>
            <w:tcW w:w="1980" w:type="dxa"/>
            <w:noWrap/>
            <w:hideMark/>
          </w:tcPr>
          <w:p w14:paraId="34FC4F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Somalia</w:t>
            </w:r>
          </w:p>
        </w:tc>
        <w:tc>
          <w:tcPr>
            <w:tcW w:w="992" w:type="dxa"/>
            <w:noWrap/>
            <w:hideMark/>
          </w:tcPr>
          <w:p w14:paraId="4E854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9BC48A2" w14:textId="16013D4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3B54E7" w14:textId="4229C2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A350AE5" w14:textId="6DD3DB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F9B8B8" w14:textId="77777777" w:rsidTr="00EC26B3">
        <w:trPr>
          <w:trHeight w:val="320"/>
        </w:trPr>
        <w:tc>
          <w:tcPr>
            <w:tcW w:w="1980" w:type="dxa"/>
            <w:noWrap/>
            <w:hideMark/>
          </w:tcPr>
          <w:p w14:paraId="4A9CDF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Africa</w:t>
            </w:r>
          </w:p>
        </w:tc>
        <w:tc>
          <w:tcPr>
            <w:tcW w:w="992" w:type="dxa"/>
            <w:noWrap/>
            <w:hideMark/>
          </w:tcPr>
          <w:p w14:paraId="7F4969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5726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17.00</w:t>
            </w:r>
          </w:p>
        </w:tc>
        <w:tc>
          <w:tcPr>
            <w:tcW w:w="2265" w:type="dxa"/>
            <w:noWrap/>
            <w:hideMark/>
          </w:tcPr>
          <w:p w14:paraId="307922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3222E0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r>
      <w:tr w:rsidR="00EC26B3" w:rsidRPr="00EC26B3" w14:paraId="71F5F384" w14:textId="77777777" w:rsidTr="00EC26B3">
        <w:trPr>
          <w:trHeight w:val="320"/>
        </w:trPr>
        <w:tc>
          <w:tcPr>
            <w:tcW w:w="1980" w:type="dxa"/>
            <w:noWrap/>
            <w:hideMark/>
          </w:tcPr>
          <w:p w14:paraId="4D3069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Korea</w:t>
            </w:r>
          </w:p>
        </w:tc>
        <w:tc>
          <w:tcPr>
            <w:tcW w:w="992" w:type="dxa"/>
            <w:noWrap/>
            <w:hideMark/>
          </w:tcPr>
          <w:p w14:paraId="555C5EF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3B440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44.00</w:t>
            </w:r>
          </w:p>
        </w:tc>
        <w:tc>
          <w:tcPr>
            <w:tcW w:w="2265" w:type="dxa"/>
            <w:noWrap/>
            <w:hideMark/>
          </w:tcPr>
          <w:p w14:paraId="452BFF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w:t>
            </w:r>
          </w:p>
        </w:tc>
        <w:tc>
          <w:tcPr>
            <w:tcW w:w="1760" w:type="dxa"/>
            <w:noWrap/>
            <w:hideMark/>
          </w:tcPr>
          <w:p w14:paraId="4400E8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149.00</w:t>
            </w:r>
          </w:p>
        </w:tc>
      </w:tr>
      <w:tr w:rsidR="00EC26B3" w:rsidRPr="00EC26B3" w14:paraId="0B599B11" w14:textId="77777777" w:rsidTr="00EC26B3">
        <w:trPr>
          <w:trHeight w:val="320"/>
        </w:trPr>
        <w:tc>
          <w:tcPr>
            <w:tcW w:w="1980" w:type="dxa"/>
            <w:noWrap/>
            <w:hideMark/>
          </w:tcPr>
          <w:p w14:paraId="038BFA1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Spain</w:t>
            </w:r>
          </w:p>
        </w:tc>
        <w:tc>
          <w:tcPr>
            <w:tcW w:w="992" w:type="dxa"/>
            <w:noWrap/>
            <w:hideMark/>
          </w:tcPr>
          <w:p w14:paraId="2C0687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1907F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40.71</w:t>
            </w:r>
          </w:p>
        </w:tc>
        <w:tc>
          <w:tcPr>
            <w:tcW w:w="2265" w:type="dxa"/>
            <w:noWrap/>
            <w:hideMark/>
          </w:tcPr>
          <w:p w14:paraId="6F81922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4.62</w:t>
            </w:r>
          </w:p>
        </w:tc>
        <w:tc>
          <w:tcPr>
            <w:tcW w:w="1760" w:type="dxa"/>
            <w:noWrap/>
            <w:hideMark/>
          </w:tcPr>
          <w:p w14:paraId="58D20012" w14:textId="6D44F5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E8ABFD" w14:textId="77777777" w:rsidTr="00EC26B3">
        <w:trPr>
          <w:trHeight w:val="320"/>
        </w:trPr>
        <w:tc>
          <w:tcPr>
            <w:tcW w:w="1980" w:type="dxa"/>
            <w:noWrap/>
            <w:hideMark/>
          </w:tcPr>
          <w:p w14:paraId="079E9D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Sri Lanka</w:t>
            </w:r>
          </w:p>
        </w:tc>
        <w:tc>
          <w:tcPr>
            <w:tcW w:w="992" w:type="dxa"/>
            <w:noWrap/>
            <w:hideMark/>
          </w:tcPr>
          <w:p w14:paraId="6B0F74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AF929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40.01</w:t>
            </w:r>
          </w:p>
        </w:tc>
        <w:tc>
          <w:tcPr>
            <w:tcW w:w="2265" w:type="dxa"/>
            <w:noWrap/>
            <w:hideMark/>
          </w:tcPr>
          <w:p w14:paraId="53AFD536" w14:textId="19CD66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936078" w14:textId="32CF28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6B5C9F" w14:textId="77777777" w:rsidTr="00EC26B3">
        <w:trPr>
          <w:trHeight w:val="320"/>
        </w:trPr>
        <w:tc>
          <w:tcPr>
            <w:tcW w:w="1980" w:type="dxa"/>
            <w:noWrap/>
            <w:hideMark/>
          </w:tcPr>
          <w:p w14:paraId="1C1B054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Sudan</w:t>
            </w:r>
          </w:p>
        </w:tc>
        <w:tc>
          <w:tcPr>
            <w:tcW w:w="992" w:type="dxa"/>
            <w:noWrap/>
            <w:hideMark/>
          </w:tcPr>
          <w:p w14:paraId="53A6D5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6505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4.06</w:t>
            </w:r>
          </w:p>
        </w:tc>
        <w:tc>
          <w:tcPr>
            <w:tcW w:w="2265" w:type="dxa"/>
            <w:noWrap/>
            <w:hideMark/>
          </w:tcPr>
          <w:p w14:paraId="388616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1.24</w:t>
            </w:r>
          </w:p>
        </w:tc>
        <w:tc>
          <w:tcPr>
            <w:tcW w:w="1760" w:type="dxa"/>
            <w:noWrap/>
            <w:hideMark/>
          </w:tcPr>
          <w:p w14:paraId="0B26828F" w14:textId="01D6D4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4848883" w14:textId="77777777" w:rsidTr="00EC26B3">
        <w:trPr>
          <w:trHeight w:val="320"/>
        </w:trPr>
        <w:tc>
          <w:tcPr>
            <w:tcW w:w="1980" w:type="dxa"/>
            <w:noWrap/>
            <w:hideMark/>
          </w:tcPr>
          <w:p w14:paraId="34CD343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Suriname</w:t>
            </w:r>
          </w:p>
        </w:tc>
        <w:tc>
          <w:tcPr>
            <w:tcW w:w="992" w:type="dxa"/>
            <w:noWrap/>
            <w:hideMark/>
          </w:tcPr>
          <w:p w14:paraId="3F586CB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E4F2F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7EF0439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625DD36B" w14:textId="499B9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EEA588C" w14:textId="77777777" w:rsidTr="00EC26B3">
        <w:trPr>
          <w:trHeight w:val="320"/>
        </w:trPr>
        <w:tc>
          <w:tcPr>
            <w:tcW w:w="1980" w:type="dxa"/>
            <w:noWrap/>
            <w:hideMark/>
          </w:tcPr>
          <w:p w14:paraId="2B75DE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Swaziland</w:t>
            </w:r>
          </w:p>
        </w:tc>
        <w:tc>
          <w:tcPr>
            <w:tcW w:w="992" w:type="dxa"/>
            <w:noWrap/>
            <w:hideMark/>
          </w:tcPr>
          <w:p w14:paraId="63F36C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9718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1BA38062" w14:textId="3637021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A80EBFE" w14:textId="155798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DF5BE4" w14:textId="77777777" w:rsidTr="00EC26B3">
        <w:trPr>
          <w:trHeight w:val="320"/>
        </w:trPr>
        <w:tc>
          <w:tcPr>
            <w:tcW w:w="1980" w:type="dxa"/>
            <w:noWrap/>
            <w:hideMark/>
          </w:tcPr>
          <w:p w14:paraId="2F53D4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Sweden</w:t>
            </w:r>
          </w:p>
        </w:tc>
        <w:tc>
          <w:tcPr>
            <w:tcW w:w="992" w:type="dxa"/>
            <w:noWrap/>
            <w:hideMark/>
          </w:tcPr>
          <w:p w14:paraId="3E0E93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02EDA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58.00</w:t>
            </w:r>
          </w:p>
        </w:tc>
        <w:tc>
          <w:tcPr>
            <w:tcW w:w="2265" w:type="dxa"/>
            <w:noWrap/>
            <w:hideMark/>
          </w:tcPr>
          <w:p w14:paraId="3091F86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AF2C7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5E5B36CF" w14:textId="77777777" w:rsidTr="00EC26B3">
        <w:trPr>
          <w:trHeight w:val="320"/>
        </w:trPr>
        <w:tc>
          <w:tcPr>
            <w:tcW w:w="1980" w:type="dxa"/>
            <w:noWrap/>
            <w:hideMark/>
          </w:tcPr>
          <w:p w14:paraId="59D546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Switzerland</w:t>
            </w:r>
          </w:p>
        </w:tc>
        <w:tc>
          <w:tcPr>
            <w:tcW w:w="992" w:type="dxa"/>
            <w:noWrap/>
            <w:hideMark/>
          </w:tcPr>
          <w:p w14:paraId="65EC01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1413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5F3E28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E94D2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r>
      <w:tr w:rsidR="00EC26B3" w:rsidRPr="00EC26B3" w14:paraId="053D1D68" w14:textId="77777777" w:rsidTr="00EC26B3">
        <w:trPr>
          <w:trHeight w:val="320"/>
        </w:trPr>
        <w:tc>
          <w:tcPr>
            <w:tcW w:w="1980" w:type="dxa"/>
            <w:noWrap/>
            <w:hideMark/>
          </w:tcPr>
          <w:p w14:paraId="6C528E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Syria</w:t>
            </w:r>
          </w:p>
        </w:tc>
        <w:tc>
          <w:tcPr>
            <w:tcW w:w="992" w:type="dxa"/>
            <w:noWrap/>
            <w:hideMark/>
          </w:tcPr>
          <w:p w14:paraId="363A1BC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E48BA12" w14:textId="671C0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172C63" w14:textId="767D77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F0EC8E0" w14:textId="4D92150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FFADA1" w14:textId="77777777" w:rsidTr="00EC26B3">
        <w:trPr>
          <w:trHeight w:val="320"/>
        </w:trPr>
        <w:tc>
          <w:tcPr>
            <w:tcW w:w="1980" w:type="dxa"/>
            <w:noWrap/>
            <w:hideMark/>
          </w:tcPr>
          <w:p w14:paraId="149DE5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Tajikistan</w:t>
            </w:r>
          </w:p>
        </w:tc>
        <w:tc>
          <w:tcPr>
            <w:tcW w:w="992" w:type="dxa"/>
            <w:noWrap/>
            <w:hideMark/>
          </w:tcPr>
          <w:p w14:paraId="08697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2412F40" w14:textId="44696E7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9BE89C9" w14:textId="163FBE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DB8AE34" w14:textId="5122CD9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1706F4" w14:textId="77777777" w:rsidTr="00EC26B3">
        <w:trPr>
          <w:trHeight w:val="320"/>
        </w:trPr>
        <w:tc>
          <w:tcPr>
            <w:tcW w:w="1980" w:type="dxa"/>
            <w:noWrap/>
            <w:hideMark/>
          </w:tcPr>
          <w:p w14:paraId="6BB4977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Tanzania</w:t>
            </w:r>
          </w:p>
        </w:tc>
        <w:tc>
          <w:tcPr>
            <w:tcW w:w="992" w:type="dxa"/>
            <w:noWrap/>
            <w:hideMark/>
          </w:tcPr>
          <w:p w14:paraId="0A2356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8BB0A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0.38</w:t>
            </w:r>
          </w:p>
        </w:tc>
        <w:tc>
          <w:tcPr>
            <w:tcW w:w="2265" w:type="dxa"/>
            <w:noWrap/>
            <w:hideMark/>
          </w:tcPr>
          <w:p w14:paraId="0A9A3630" w14:textId="370370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1D8F80" w14:textId="4C91E9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60B9BC1" w14:textId="77777777" w:rsidTr="00EC26B3">
        <w:trPr>
          <w:trHeight w:val="320"/>
        </w:trPr>
        <w:tc>
          <w:tcPr>
            <w:tcW w:w="1980" w:type="dxa"/>
            <w:noWrap/>
            <w:hideMark/>
          </w:tcPr>
          <w:p w14:paraId="347296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Thailand</w:t>
            </w:r>
          </w:p>
        </w:tc>
        <w:tc>
          <w:tcPr>
            <w:tcW w:w="992" w:type="dxa"/>
            <w:noWrap/>
            <w:hideMark/>
          </w:tcPr>
          <w:p w14:paraId="2AFA3C3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E5ABB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71F9E7EB" w14:textId="2A285D9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430B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C7806C5" w14:textId="77777777" w:rsidTr="00EC26B3">
        <w:trPr>
          <w:trHeight w:val="320"/>
        </w:trPr>
        <w:tc>
          <w:tcPr>
            <w:tcW w:w="1980" w:type="dxa"/>
            <w:noWrap/>
            <w:hideMark/>
          </w:tcPr>
          <w:p w14:paraId="366337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Timor-Leste</w:t>
            </w:r>
          </w:p>
        </w:tc>
        <w:tc>
          <w:tcPr>
            <w:tcW w:w="992" w:type="dxa"/>
            <w:noWrap/>
            <w:hideMark/>
          </w:tcPr>
          <w:p w14:paraId="1754CA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AF0D40D" w14:textId="74780E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403B1D7" w14:textId="711F3C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CCA6B02" w14:textId="70A58C4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FEB615" w14:textId="77777777" w:rsidTr="00EC26B3">
        <w:trPr>
          <w:trHeight w:val="320"/>
        </w:trPr>
        <w:tc>
          <w:tcPr>
            <w:tcW w:w="1980" w:type="dxa"/>
            <w:noWrap/>
            <w:hideMark/>
          </w:tcPr>
          <w:p w14:paraId="73A85B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Togo</w:t>
            </w:r>
          </w:p>
        </w:tc>
        <w:tc>
          <w:tcPr>
            <w:tcW w:w="992" w:type="dxa"/>
            <w:noWrap/>
            <w:hideMark/>
          </w:tcPr>
          <w:p w14:paraId="1CC296F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026A2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153E86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0.19</w:t>
            </w:r>
          </w:p>
        </w:tc>
        <w:tc>
          <w:tcPr>
            <w:tcW w:w="1760" w:type="dxa"/>
            <w:noWrap/>
            <w:hideMark/>
          </w:tcPr>
          <w:p w14:paraId="1AC830A4" w14:textId="1BC0EA5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7AC4658" w14:textId="77777777" w:rsidTr="00EC26B3">
        <w:trPr>
          <w:trHeight w:val="320"/>
        </w:trPr>
        <w:tc>
          <w:tcPr>
            <w:tcW w:w="1980" w:type="dxa"/>
            <w:noWrap/>
            <w:hideMark/>
          </w:tcPr>
          <w:p w14:paraId="229C077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Trinidad &amp; Tobago</w:t>
            </w:r>
          </w:p>
        </w:tc>
        <w:tc>
          <w:tcPr>
            <w:tcW w:w="992" w:type="dxa"/>
            <w:noWrap/>
            <w:hideMark/>
          </w:tcPr>
          <w:p w14:paraId="56D63C4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3D3AC3C" w14:textId="10D70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A837355" w14:textId="342AAD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EC4F55" w14:textId="105F27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7DF444" w14:textId="77777777" w:rsidTr="00EC26B3">
        <w:trPr>
          <w:trHeight w:val="320"/>
        </w:trPr>
        <w:tc>
          <w:tcPr>
            <w:tcW w:w="1980" w:type="dxa"/>
            <w:noWrap/>
            <w:hideMark/>
          </w:tcPr>
          <w:p w14:paraId="57138F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Tunisia</w:t>
            </w:r>
          </w:p>
        </w:tc>
        <w:tc>
          <w:tcPr>
            <w:tcW w:w="992" w:type="dxa"/>
            <w:noWrap/>
            <w:hideMark/>
          </w:tcPr>
          <w:p w14:paraId="246EA9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6053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3E5FAA5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771591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F64CEE3" w14:textId="77777777" w:rsidTr="00EC26B3">
        <w:trPr>
          <w:trHeight w:val="320"/>
        </w:trPr>
        <w:tc>
          <w:tcPr>
            <w:tcW w:w="1980" w:type="dxa"/>
            <w:noWrap/>
            <w:hideMark/>
          </w:tcPr>
          <w:p w14:paraId="28109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Turkey</w:t>
            </w:r>
          </w:p>
        </w:tc>
        <w:tc>
          <w:tcPr>
            <w:tcW w:w="992" w:type="dxa"/>
            <w:noWrap/>
            <w:hideMark/>
          </w:tcPr>
          <w:p w14:paraId="203BFC3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848A2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5808A07" w14:textId="1E8EE0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3C17A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63.00</w:t>
            </w:r>
          </w:p>
        </w:tc>
      </w:tr>
      <w:tr w:rsidR="00EC26B3" w:rsidRPr="00EC26B3" w14:paraId="4A91BF20" w14:textId="77777777" w:rsidTr="00EC26B3">
        <w:trPr>
          <w:trHeight w:val="320"/>
        </w:trPr>
        <w:tc>
          <w:tcPr>
            <w:tcW w:w="1980" w:type="dxa"/>
            <w:noWrap/>
            <w:hideMark/>
          </w:tcPr>
          <w:p w14:paraId="5961DD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Turkmenistan</w:t>
            </w:r>
          </w:p>
        </w:tc>
        <w:tc>
          <w:tcPr>
            <w:tcW w:w="992" w:type="dxa"/>
            <w:noWrap/>
            <w:hideMark/>
          </w:tcPr>
          <w:p w14:paraId="1A7BDE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D2513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2.98</w:t>
            </w:r>
          </w:p>
        </w:tc>
        <w:tc>
          <w:tcPr>
            <w:tcW w:w="2265" w:type="dxa"/>
            <w:noWrap/>
            <w:hideMark/>
          </w:tcPr>
          <w:p w14:paraId="32776A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0.82</w:t>
            </w:r>
          </w:p>
        </w:tc>
        <w:tc>
          <w:tcPr>
            <w:tcW w:w="1760" w:type="dxa"/>
            <w:noWrap/>
            <w:hideMark/>
          </w:tcPr>
          <w:p w14:paraId="2A3EE98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1.79</w:t>
            </w:r>
          </w:p>
        </w:tc>
      </w:tr>
      <w:tr w:rsidR="00EC26B3" w:rsidRPr="00EC26B3" w14:paraId="2D2C5A21" w14:textId="77777777" w:rsidTr="00EC26B3">
        <w:trPr>
          <w:trHeight w:val="320"/>
        </w:trPr>
        <w:tc>
          <w:tcPr>
            <w:tcW w:w="1980" w:type="dxa"/>
            <w:noWrap/>
            <w:hideMark/>
          </w:tcPr>
          <w:p w14:paraId="545E1B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Uganda</w:t>
            </w:r>
          </w:p>
        </w:tc>
        <w:tc>
          <w:tcPr>
            <w:tcW w:w="992" w:type="dxa"/>
            <w:noWrap/>
            <w:hideMark/>
          </w:tcPr>
          <w:p w14:paraId="395A4DA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8625B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051E209" w14:textId="222E4F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0594EAE" w14:textId="1B7107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0500E3" w14:textId="77777777" w:rsidTr="00EC26B3">
        <w:trPr>
          <w:trHeight w:val="320"/>
        </w:trPr>
        <w:tc>
          <w:tcPr>
            <w:tcW w:w="1980" w:type="dxa"/>
            <w:noWrap/>
            <w:hideMark/>
          </w:tcPr>
          <w:p w14:paraId="198A73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Ukraine</w:t>
            </w:r>
          </w:p>
        </w:tc>
        <w:tc>
          <w:tcPr>
            <w:tcW w:w="992" w:type="dxa"/>
            <w:noWrap/>
            <w:hideMark/>
          </w:tcPr>
          <w:p w14:paraId="6F83114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23A9B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8.44</w:t>
            </w:r>
          </w:p>
        </w:tc>
        <w:tc>
          <w:tcPr>
            <w:tcW w:w="2265" w:type="dxa"/>
            <w:noWrap/>
            <w:hideMark/>
          </w:tcPr>
          <w:p w14:paraId="6D60B5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1760" w:type="dxa"/>
            <w:noWrap/>
            <w:hideMark/>
          </w:tcPr>
          <w:p w14:paraId="3215CA77" w14:textId="43C312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831A5" w14:textId="77777777" w:rsidTr="00EC26B3">
        <w:trPr>
          <w:trHeight w:val="320"/>
        </w:trPr>
        <w:tc>
          <w:tcPr>
            <w:tcW w:w="1980" w:type="dxa"/>
            <w:noWrap/>
            <w:hideMark/>
          </w:tcPr>
          <w:p w14:paraId="1FFFCD2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Arab Emirates</w:t>
            </w:r>
          </w:p>
        </w:tc>
        <w:tc>
          <w:tcPr>
            <w:tcW w:w="992" w:type="dxa"/>
            <w:noWrap/>
            <w:hideMark/>
          </w:tcPr>
          <w:p w14:paraId="336DE5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A0EF5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7.22</w:t>
            </w:r>
          </w:p>
        </w:tc>
        <w:tc>
          <w:tcPr>
            <w:tcW w:w="2265" w:type="dxa"/>
            <w:noWrap/>
            <w:hideMark/>
          </w:tcPr>
          <w:p w14:paraId="4ADFC4B1" w14:textId="021B27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8986E2" w14:textId="17E558C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FA6B4C1" w14:textId="77777777" w:rsidTr="00EC26B3">
        <w:trPr>
          <w:trHeight w:val="320"/>
        </w:trPr>
        <w:tc>
          <w:tcPr>
            <w:tcW w:w="1980" w:type="dxa"/>
            <w:noWrap/>
            <w:hideMark/>
          </w:tcPr>
          <w:p w14:paraId="3D653A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Kingdom</w:t>
            </w:r>
          </w:p>
        </w:tc>
        <w:tc>
          <w:tcPr>
            <w:tcW w:w="992" w:type="dxa"/>
            <w:noWrap/>
            <w:hideMark/>
          </w:tcPr>
          <w:p w14:paraId="6F81CC6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8BD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70.71</w:t>
            </w:r>
          </w:p>
        </w:tc>
        <w:tc>
          <w:tcPr>
            <w:tcW w:w="2265" w:type="dxa"/>
            <w:noWrap/>
            <w:hideMark/>
          </w:tcPr>
          <w:p w14:paraId="4C4848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19.61</w:t>
            </w:r>
          </w:p>
        </w:tc>
        <w:tc>
          <w:tcPr>
            <w:tcW w:w="1760" w:type="dxa"/>
            <w:noWrap/>
            <w:hideMark/>
          </w:tcPr>
          <w:p w14:paraId="0C00A42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r>
      <w:tr w:rsidR="00EC26B3" w:rsidRPr="00EC26B3" w14:paraId="5CC8E2BB" w14:textId="77777777" w:rsidTr="00EC26B3">
        <w:trPr>
          <w:trHeight w:val="320"/>
        </w:trPr>
        <w:tc>
          <w:tcPr>
            <w:tcW w:w="1980" w:type="dxa"/>
            <w:noWrap/>
            <w:hideMark/>
          </w:tcPr>
          <w:p w14:paraId="09710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States</w:t>
            </w:r>
          </w:p>
        </w:tc>
        <w:tc>
          <w:tcPr>
            <w:tcW w:w="992" w:type="dxa"/>
            <w:noWrap/>
            <w:hideMark/>
          </w:tcPr>
          <w:p w14:paraId="511658D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5B355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2139.00</w:t>
            </w:r>
          </w:p>
        </w:tc>
        <w:tc>
          <w:tcPr>
            <w:tcW w:w="2265" w:type="dxa"/>
            <w:noWrap/>
            <w:hideMark/>
          </w:tcPr>
          <w:p w14:paraId="0319AF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304.00</w:t>
            </w:r>
          </w:p>
        </w:tc>
        <w:tc>
          <w:tcPr>
            <w:tcW w:w="1760" w:type="dxa"/>
            <w:noWrap/>
            <w:hideMark/>
          </w:tcPr>
          <w:p w14:paraId="0B768494" w14:textId="38847EE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w:t>
            </w:r>
          </w:p>
        </w:tc>
      </w:tr>
      <w:tr w:rsidR="00EC26B3" w:rsidRPr="00EC26B3" w14:paraId="2B987A41" w14:textId="77777777" w:rsidTr="00EC26B3">
        <w:trPr>
          <w:trHeight w:val="320"/>
        </w:trPr>
        <w:tc>
          <w:tcPr>
            <w:tcW w:w="1980" w:type="dxa"/>
            <w:noWrap/>
            <w:hideMark/>
          </w:tcPr>
          <w:p w14:paraId="21AEFC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Uruguay</w:t>
            </w:r>
          </w:p>
        </w:tc>
        <w:tc>
          <w:tcPr>
            <w:tcW w:w="992" w:type="dxa"/>
            <w:noWrap/>
            <w:hideMark/>
          </w:tcPr>
          <w:p w14:paraId="512951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1B55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0.80</w:t>
            </w:r>
          </w:p>
        </w:tc>
        <w:tc>
          <w:tcPr>
            <w:tcW w:w="2265" w:type="dxa"/>
            <w:noWrap/>
            <w:hideMark/>
          </w:tcPr>
          <w:p w14:paraId="68AE033F" w14:textId="5F3E219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BF7FD8" w14:textId="0AF0BEB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C6922C1" w14:textId="77777777" w:rsidTr="00EC26B3">
        <w:trPr>
          <w:trHeight w:val="320"/>
        </w:trPr>
        <w:tc>
          <w:tcPr>
            <w:tcW w:w="1980" w:type="dxa"/>
            <w:noWrap/>
            <w:hideMark/>
          </w:tcPr>
          <w:p w14:paraId="1396E1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Uzbekistan</w:t>
            </w:r>
          </w:p>
        </w:tc>
        <w:tc>
          <w:tcPr>
            <w:tcW w:w="992" w:type="dxa"/>
            <w:noWrap/>
            <w:hideMark/>
          </w:tcPr>
          <w:p w14:paraId="1E676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FB71FE2" w14:textId="260E62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4F1697" w14:textId="3074E08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227181" w14:textId="3379CDE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094A1AF" w14:textId="77777777" w:rsidTr="00EC26B3">
        <w:trPr>
          <w:trHeight w:val="320"/>
        </w:trPr>
        <w:tc>
          <w:tcPr>
            <w:tcW w:w="1980" w:type="dxa"/>
            <w:noWrap/>
            <w:hideMark/>
          </w:tcPr>
          <w:p w14:paraId="586705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Venezuela</w:t>
            </w:r>
          </w:p>
        </w:tc>
        <w:tc>
          <w:tcPr>
            <w:tcW w:w="992" w:type="dxa"/>
            <w:noWrap/>
            <w:hideMark/>
          </w:tcPr>
          <w:p w14:paraId="033C939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5F7B298" w14:textId="6E50031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8B52C7" w14:textId="7B53EFD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DF379CD" w14:textId="79D4D0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5D7594" w14:textId="77777777" w:rsidTr="00EC26B3">
        <w:trPr>
          <w:trHeight w:val="320"/>
        </w:trPr>
        <w:tc>
          <w:tcPr>
            <w:tcW w:w="1980" w:type="dxa"/>
            <w:noWrap/>
            <w:hideMark/>
          </w:tcPr>
          <w:p w14:paraId="410BAC3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Vietnam</w:t>
            </w:r>
          </w:p>
        </w:tc>
        <w:tc>
          <w:tcPr>
            <w:tcW w:w="992" w:type="dxa"/>
            <w:noWrap/>
            <w:hideMark/>
          </w:tcPr>
          <w:p w14:paraId="77DA74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12A8A7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w:t>
            </w:r>
          </w:p>
        </w:tc>
        <w:tc>
          <w:tcPr>
            <w:tcW w:w="2265" w:type="dxa"/>
            <w:noWrap/>
            <w:hideMark/>
          </w:tcPr>
          <w:p w14:paraId="6B3018E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0.70</w:t>
            </w:r>
          </w:p>
        </w:tc>
        <w:tc>
          <w:tcPr>
            <w:tcW w:w="1760" w:type="dxa"/>
            <w:noWrap/>
            <w:hideMark/>
          </w:tcPr>
          <w:p w14:paraId="2F37F9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39D1E9A2" w14:textId="77777777" w:rsidTr="00EC26B3">
        <w:trPr>
          <w:trHeight w:val="320"/>
        </w:trPr>
        <w:tc>
          <w:tcPr>
            <w:tcW w:w="1980" w:type="dxa"/>
            <w:noWrap/>
            <w:hideMark/>
          </w:tcPr>
          <w:p w14:paraId="49747B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Zambia</w:t>
            </w:r>
          </w:p>
        </w:tc>
        <w:tc>
          <w:tcPr>
            <w:tcW w:w="992" w:type="dxa"/>
            <w:noWrap/>
            <w:hideMark/>
          </w:tcPr>
          <w:p w14:paraId="14B82A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83DAE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2265" w:type="dxa"/>
            <w:noWrap/>
            <w:hideMark/>
          </w:tcPr>
          <w:p w14:paraId="715BCB8C" w14:textId="141BC43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99CA77A" w14:textId="2B2AB4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D1B9BF2" w14:textId="77777777" w:rsidTr="00EC26B3">
        <w:trPr>
          <w:trHeight w:val="320"/>
        </w:trPr>
        <w:tc>
          <w:tcPr>
            <w:tcW w:w="1980" w:type="dxa"/>
            <w:noWrap/>
            <w:hideMark/>
          </w:tcPr>
          <w:p w14:paraId="44FCBE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Zimbabwe</w:t>
            </w:r>
          </w:p>
        </w:tc>
        <w:tc>
          <w:tcPr>
            <w:tcW w:w="992" w:type="dxa"/>
            <w:noWrap/>
            <w:hideMark/>
          </w:tcPr>
          <w:p w14:paraId="2F2215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A05274" w14:textId="09B19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687FC64" w14:textId="192FFC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9EA5069" w14:textId="334CBD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bl>
    <w:p w14:paraId="78F2EEB7" w14:textId="77777777" w:rsidR="00EC26B3" w:rsidRDefault="00EC26B3" w:rsidP="00DE4E6E"/>
    <w:p w14:paraId="240C2BD5" w14:textId="22840FDE" w:rsidR="00692DD6" w:rsidRDefault="00692DD6" w:rsidP="00DE4E6E">
      <w:pPr>
        <w:pStyle w:val="SMcaption"/>
      </w:pPr>
    </w:p>
    <w:p w14:paraId="3F617324" w14:textId="188B0E76" w:rsidR="00FB320F" w:rsidRDefault="00FB320F" w:rsidP="00DE4E6E">
      <w:pPr>
        <w:pStyle w:val="SMcaption"/>
      </w:pPr>
    </w:p>
    <w:p w14:paraId="29B68B4D" w14:textId="5B0AD8EB" w:rsidR="00FB320F" w:rsidRDefault="00FB320F" w:rsidP="00DE4E6E">
      <w:pPr>
        <w:pStyle w:val="SMcaption"/>
      </w:pPr>
    </w:p>
    <w:p w14:paraId="4A30A84E" w14:textId="47B5989E" w:rsidR="00FB320F" w:rsidRDefault="00FB320F" w:rsidP="00DE4E6E">
      <w:pPr>
        <w:pStyle w:val="SMcaption"/>
      </w:pPr>
    </w:p>
    <w:p w14:paraId="1CACCEE6" w14:textId="2C8A1DCE" w:rsidR="00FB320F" w:rsidRDefault="00FB320F" w:rsidP="00DE4E6E">
      <w:pPr>
        <w:pStyle w:val="SMcaption"/>
      </w:pPr>
    </w:p>
    <w:p w14:paraId="49A62FEB" w14:textId="77777777" w:rsidR="00FB320F" w:rsidRPr="00E97569" w:rsidRDefault="00FB320F" w:rsidP="00DE4E6E">
      <w:pPr>
        <w:pStyle w:val="SMcaption"/>
      </w:pPr>
    </w:p>
    <w:tbl>
      <w:tblPr>
        <w:tblStyle w:val="TableGrid"/>
        <w:tblW w:w="0" w:type="auto"/>
        <w:tblLook w:val="04A0" w:firstRow="1" w:lastRow="0" w:firstColumn="1" w:lastColumn="0" w:noHBand="0" w:noVBand="1"/>
      </w:tblPr>
      <w:tblGrid>
        <w:gridCol w:w="1980"/>
        <w:gridCol w:w="7370"/>
      </w:tblGrid>
      <w:tr w:rsidR="00E97569" w:rsidRPr="00E97569" w14:paraId="5DBD475B" w14:textId="77777777" w:rsidTr="00FB320F">
        <w:tc>
          <w:tcPr>
            <w:tcW w:w="9350" w:type="dxa"/>
            <w:gridSpan w:val="2"/>
          </w:tcPr>
          <w:p w14:paraId="45E783EF" w14:textId="22FC0AF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Table S2: Definitions of the five macro regions used for aggregating energy investments and stimulus packages</w:t>
            </w:r>
          </w:p>
        </w:tc>
      </w:tr>
      <w:tr w:rsidR="00E97569" w14:paraId="4EEF5D03" w14:textId="77777777" w:rsidTr="00CB7721">
        <w:tc>
          <w:tcPr>
            <w:tcW w:w="1980" w:type="dxa"/>
          </w:tcPr>
          <w:p w14:paraId="43FD6B8D" w14:textId="408DA36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Macro region</w:t>
            </w:r>
          </w:p>
        </w:tc>
        <w:tc>
          <w:tcPr>
            <w:tcW w:w="7370" w:type="dxa"/>
          </w:tcPr>
          <w:p w14:paraId="6C13CEBF" w14:textId="4F6F595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Definition</w:t>
            </w:r>
          </w:p>
        </w:tc>
      </w:tr>
      <w:tr w:rsidR="00E97569" w14:paraId="28AD26EF" w14:textId="77777777" w:rsidTr="00CB7721">
        <w:tc>
          <w:tcPr>
            <w:tcW w:w="1980" w:type="dxa"/>
          </w:tcPr>
          <w:p w14:paraId="4FD01E05" w14:textId="6D07490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ASIA</w:t>
            </w:r>
          </w:p>
        </w:tc>
        <w:tc>
          <w:tcPr>
            <w:tcW w:w="7370" w:type="dxa"/>
          </w:tcPr>
          <w:p w14:paraId="70AD5BA3"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most Asian countries with the exception of the Middle East, Japan and Former Soviet Union states</w:t>
            </w:r>
            <w:r w:rsidR="0006034C">
              <w:rPr>
                <w:rFonts w:ascii="Times New Roman" w:hAnsi="Times New Roman" w:cs="Times New Roman"/>
                <w:sz w:val="20"/>
                <w:szCs w:val="20"/>
              </w:rPr>
              <w:t>:</w:t>
            </w:r>
          </w:p>
          <w:p w14:paraId="7E1C8F2A" w14:textId="133FD3D7"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 xml:space="preserve">Afghanistan, Bangladesh, Bhutan, Brunei Darussalam, Cambodia, China, China Hong Kong SAR, China Macao SAR, Democratic People's Republic of Korea, East Timor, India, Indonesia, Lao People's Democratic Republic, Malaysia, Maldives, Mongolia, </w:t>
            </w:r>
            <w:r w:rsidRPr="0006034C">
              <w:rPr>
                <w:rFonts w:ascii="Times New Roman" w:hAnsi="Times New Roman" w:cs="Times New Roman"/>
                <w:sz w:val="20"/>
                <w:szCs w:val="20"/>
              </w:rPr>
              <w:lastRenderedPageBreak/>
              <w:t>Myanmar, Nepal, Pakistan, Papua New Guinea, Philippines, Republic of Korea, Singapore, Sri Lanka, Taiwan, Thailand, Viet Nam</w:t>
            </w:r>
          </w:p>
        </w:tc>
      </w:tr>
      <w:tr w:rsidR="00E97569" w14:paraId="6049AE20" w14:textId="77777777" w:rsidTr="00CB7721">
        <w:tc>
          <w:tcPr>
            <w:tcW w:w="1980" w:type="dxa"/>
          </w:tcPr>
          <w:p w14:paraId="15BB6F3A" w14:textId="5F0DFC9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lastRenderedPageBreak/>
              <w:t>LAM</w:t>
            </w:r>
          </w:p>
        </w:tc>
        <w:tc>
          <w:tcPr>
            <w:tcW w:w="7370" w:type="dxa"/>
          </w:tcPr>
          <w:p w14:paraId="3D766976"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Latin America and the Caribbean</w:t>
            </w:r>
            <w:r w:rsidR="0006034C">
              <w:rPr>
                <w:rFonts w:ascii="Times New Roman" w:hAnsi="Times New Roman" w:cs="Times New Roman"/>
                <w:sz w:val="20"/>
                <w:szCs w:val="20"/>
              </w:rPr>
              <w:t>:</w:t>
            </w:r>
          </w:p>
          <w:p w14:paraId="52A6B3B9" w14:textId="055EB0D2"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Argentina, Bahamas, Barbados, Belize, Bolivia, Brazil, Chile, Colombia, Costa Rica, Cuba, Dominican Republic, Ecuador, El Salvador, Guadeloupe, Guatemala, Guyana, Haiti, Honduras, Jamaica, Martinique, Mexico, Netherlands Antilles, Nicaragua, Panama, Paraguay, Peru, Puerto Rico, Suriname, Trinidad and Tobago, Uruguay, Venezuela</w:t>
            </w:r>
          </w:p>
        </w:tc>
      </w:tr>
      <w:tr w:rsidR="00E97569" w14:paraId="33BE942D" w14:textId="77777777" w:rsidTr="00CB7721">
        <w:tc>
          <w:tcPr>
            <w:tcW w:w="1980" w:type="dxa"/>
          </w:tcPr>
          <w:p w14:paraId="05A9ED60" w14:textId="1054FE5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MAF</w:t>
            </w:r>
          </w:p>
        </w:tc>
        <w:tc>
          <w:tcPr>
            <w:tcW w:w="7370" w:type="dxa"/>
          </w:tcPr>
          <w:p w14:paraId="4A3C6DF3"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the Middle East and Africa</w:t>
            </w:r>
            <w:r w:rsidR="0006034C">
              <w:rPr>
                <w:rFonts w:ascii="Times New Roman" w:hAnsi="Times New Roman" w:cs="Times New Roman"/>
                <w:sz w:val="20"/>
                <w:szCs w:val="20"/>
              </w:rPr>
              <w:t>:</w:t>
            </w:r>
          </w:p>
          <w:p w14:paraId="630436FE" w14:textId="7F0551AF"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Algeria, Angola, Bahrain, Benin, Botswana, Burkina Faso, Burundi, Cameroon, Cape Verde, Central African Republic, Chad, Comoros, Congo, Cote d'Ivoire, Democratic Republic of the Congo, Djibouti, Egypt, Equatorial Guinea, Eritrea, Ethiopia, Gabon, Gambia, Ghana, Guinea, Guinea-Bissau, Iran (Islamic Republic of), Iraq, Israel, Jordan, Kenya, Kuwait, Lebanon, Lesotho, Liberia, Libyan Arab Jamahiriya, Madagascar, Malawi, Mali, Mauritania, Mauritius, Morocco, Mozambique, Namibia, Niger, Nigeria, Oman, Qatar, Reunion, Rwanda, Saudi Arabia, Senegal, Sierra Leone, Somalia, South Africa, Sudan, Swaziland, Syrian Arab Republic, Togo, Tunisia, Uganda, United Arab Emirates, United Republic of Tanzania, Western Sahara, Yemen, Zambia, Zimbabwe</w:t>
            </w:r>
          </w:p>
        </w:tc>
      </w:tr>
      <w:tr w:rsidR="00E97569" w14:paraId="5221FCD0" w14:textId="77777777" w:rsidTr="00CB7721">
        <w:tc>
          <w:tcPr>
            <w:tcW w:w="1980" w:type="dxa"/>
          </w:tcPr>
          <w:p w14:paraId="31475D63" w14:textId="0D45D870"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OECD+</w:t>
            </w:r>
          </w:p>
        </w:tc>
        <w:tc>
          <w:tcPr>
            <w:tcW w:w="7370" w:type="dxa"/>
          </w:tcPr>
          <w:p w14:paraId="5C4F1559" w14:textId="77777777" w:rsidR="0006034C"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OECD 1990 countries as well as EU members and candidates</w:t>
            </w:r>
            <w:r w:rsidR="0006034C">
              <w:rPr>
                <w:rFonts w:ascii="Times New Roman" w:hAnsi="Times New Roman" w:cs="Times New Roman"/>
                <w:sz w:val="20"/>
                <w:szCs w:val="20"/>
              </w:rPr>
              <w:t>:</w:t>
            </w:r>
          </w:p>
          <w:p w14:paraId="5E6EF53B" w14:textId="77777777" w:rsidR="0006034C" w:rsidRDefault="0006034C" w:rsidP="00DE4E6E">
            <w:pPr>
              <w:pStyle w:val="SMcaption"/>
              <w:rPr>
                <w:rFonts w:ascii="Times New Roman" w:hAnsi="Times New Roman" w:cs="Times New Roman"/>
                <w:sz w:val="20"/>
                <w:szCs w:val="20"/>
              </w:rPr>
            </w:pPr>
          </w:p>
          <w:p w14:paraId="19D66D0B" w14:textId="61C2D137"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Albania, Australia, Austria, Belgium, Bosnia and Herzegovina, Bulgaria, Canada, Croatia, Cyprus, Czech Republic, Denmark, Estonia, Fiji, Finland, France, French Polynesia, Germany, Greece, Guam, Hungary, Iceland, Ireland, Italy, Japan, Latvia, Lithuania, Luxembourg, Malta, Macedonia, Montenegro, Netherlands, New Caledonia, New Zealand, Norway, Poland, Portugal, Romania, Samoa, Serbia, Slovakia, Slovenia, Solomon Islands, Spain, Sweden, Switzerland, Turkey, United Kingdom, United States of America, Vanuatu</w:t>
            </w:r>
          </w:p>
        </w:tc>
      </w:tr>
      <w:tr w:rsidR="00E97569" w14:paraId="4323BC05" w14:textId="77777777" w:rsidTr="00CB7721">
        <w:tc>
          <w:tcPr>
            <w:tcW w:w="1980" w:type="dxa"/>
          </w:tcPr>
          <w:p w14:paraId="7CEC8BC7" w14:textId="3673552E"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REF</w:t>
            </w:r>
          </w:p>
        </w:tc>
        <w:tc>
          <w:tcPr>
            <w:tcW w:w="7370" w:type="dxa"/>
          </w:tcPr>
          <w:p w14:paraId="733D773D"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Countries from the Reforming Ecomonies of the Former Soviet Union</w:t>
            </w:r>
            <w:r w:rsidR="0006034C">
              <w:rPr>
                <w:rFonts w:ascii="Times New Roman" w:hAnsi="Times New Roman" w:cs="Times New Roman"/>
                <w:sz w:val="20"/>
                <w:szCs w:val="20"/>
              </w:rPr>
              <w:t>:</w:t>
            </w:r>
          </w:p>
          <w:p w14:paraId="19BB57CB" w14:textId="27D8154D"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Armenia, Azerbaijan, Belarus, Georgia, Kazakhstan, Kyrgyzstan, Republic of Moldova, Russian Federation, Tajikistan, Turkmenistan, Ukraine, Uzbekistan</w:t>
            </w:r>
          </w:p>
        </w:tc>
      </w:tr>
      <w:tr w:rsidR="00CB7721" w14:paraId="3334FADC" w14:textId="77777777" w:rsidTr="00C44957">
        <w:tc>
          <w:tcPr>
            <w:tcW w:w="9350" w:type="dxa"/>
            <w:gridSpan w:val="2"/>
          </w:tcPr>
          <w:p w14:paraId="6FE4AFB1" w14:textId="77777777" w:rsidR="00CB7721" w:rsidRPr="00E97569" w:rsidRDefault="00CB7721" w:rsidP="00DE4E6E">
            <w:pPr>
              <w:pStyle w:val="SMcaption"/>
              <w:rPr>
                <w:sz w:val="20"/>
              </w:rPr>
            </w:pPr>
          </w:p>
        </w:tc>
      </w:tr>
      <w:tr w:rsidR="00CB7721" w14:paraId="3CCE176F" w14:textId="77777777" w:rsidTr="00CB7721">
        <w:tc>
          <w:tcPr>
            <w:tcW w:w="1980" w:type="dxa"/>
          </w:tcPr>
          <w:p w14:paraId="7B1733F7" w14:textId="3B073457"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ISO-3 country code</w:t>
            </w:r>
          </w:p>
        </w:tc>
        <w:tc>
          <w:tcPr>
            <w:tcW w:w="7370" w:type="dxa"/>
          </w:tcPr>
          <w:p w14:paraId="44319280" w14:textId="74C1D319"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Country</w:t>
            </w:r>
          </w:p>
        </w:tc>
      </w:tr>
      <w:tr w:rsidR="00CB7721" w14:paraId="46E6992F" w14:textId="77777777" w:rsidTr="00CB7721">
        <w:tc>
          <w:tcPr>
            <w:tcW w:w="1980" w:type="dxa"/>
          </w:tcPr>
          <w:p w14:paraId="1681DD17" w14:textId="702D2FB5"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CHN</w:t>
            </w:r>
          </w:p>
        </w:tc>
        <w:tc>
          <w:tcPr>
            <w:tcW w:w="7370" w:type="dxa"/>
          </w:tcPr>
          <w:p w14:paraId="0F0B7DD2" w14:textId="1429854A"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China</w:t>
            </w:r>
          </w:p>
        </w:tc>
      </w:tr>
      <w:tr w:rsidR="00CB7721" w14:paraId="28098A7A" w14:textId="77777777" w:rsidTr="00CB7721">
        <w:tc>
          <w:tcPr>
            <w:tcW w:w="1980" w:type="dxa"/>
          </w:tcPr>
          <w:p w14:paraId="632492B4" w14:textId="6BF3851D"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w:t>
            </w:r>
          </w:p>
        </w:tc>
        <w:tc>
          <w:tcPr>
            <w:tcW w:w="7370" w:type="dxa"/>
          </w:tcPr>
          <w:p w14:paraId="0D1CE1A7" w14:textId="4B71581F"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European Union</w:t>
            </w:r>
            <w:r w:rsidR="0006034C">
              <w:rPr>
                <w:rFonts w:ascii="Times New Roman" w:hAnsi="Times New Roman" w:cs="Times New Roman"/>
                <w:sz w:val="20"/>
              </w:rPr>
              <w:t xml:space="preserve"> (without the United Kingdom)</w:t>
            </w:r>
          </w:p>
        </w:tc>
      </w:tr>
      <w:tr w:rsidR="00CB7721" w14:paraId="38D3F320" w14:textId="77777777" w:rsidTr="00CB7721">
        <w:tc>
          <w:tcPr>
            <w:tcW w:w="1980" w:type="dxa"/>
          </w:tcPr>
          <w:p w14:paraId="45D94BA3" w14:textId="327F559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w:t>
            </w:r>
          </w:p>
        </w:tc>
        <w:tc>
          <w:tcPr>
            <w:tcW w:w="7370" w:type="dxa"/>
          </w:tcPr>
          <w:p w14:paraId="3C37841C" w14:textId="64B13516"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India</w:t>
            </w:r>
          </w:p>
        </w:tc>
      </w:tr>
      <w:tr w:rsidR="00CB7721" w14:paraId="49F737E0" w14:textId="77777777" w:rsidTr="00CB7721">
        <w:tc>
          <w:tcPr>
            <w:tcW w:w="1980" w:type="dxa"/>
          </w:tcPr>
          <w:p w14:paraId="0186B0C9" w14:textId="0C591BC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USA</w:t>
            </w:r>
          </w:p>
        </w:tc>
        <w:tc>
          <w:tcPr>
            <w:tcW w:w="7370" w:type="dxa"/>
          </w:tcPr>
          <w:p w14:paraId="2738D2AE" w14:textId="56A3A4B3"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United States of America</w:t>
            </w:r>
          </w:p>
        </w:tc>
      </w:tr>
    </w:tbl>
    <w:p w14:paraId="39A29E8A" w14:textId="2EA8D998" w:rsidR="00E97569" w:rsidRDefault="00E97569" w:rsidP="00DE4E6E">
      <w:pPr>
        <w:pStyle w:val="SMcaption"/>
      </w:pPr>
    </w:p>
    <w:p w14:paraId="1EB05E4F" w14:textId="3A3C792C" w:rsidR="00E97569" w:rsidRDefault="00E97569" w:rsidP="00DE4E6E">
      <w:pPr>
        <w:pStyle w:val="SMcaption"/>
      </w:pPr>
    </w:p>
    <w:tbl>
      <w:tblPr>
        <w:tblStyle w:val="TableGrid"/>
        <w:tblW w:w="0" w:type="auto"/>
        <w:tblLook w:val="04A0" w:firstRow="1" w:lastRow="0" w:firstColumn="1" w:lastColumn="0" w:noHBand="0" w:noVBand="1"/>
      </w:tblPr>
      <w:tblGrid>
        <w:gridCol w:w="3177"/>
        <w:gridCol w:w="4615"/>
        <w:gridCol w:w="1558"/>
      </w:tblGrid>
      <w:tr w:rsidR="003C0083" w14:paraId="1D6E9932" w14:textId="71A8F01C" w:rsidTr="00FB320F">
        <w:tc>
          <w:tcPr>
            <w:tcW w:w="9350" w:type="dxa"/>
            <w:gridSpan w:val="3"/>
          </w:tcPr>
          <w:p w14:paraId="791064C5" w14:textId="1D202B5B"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Table S3: Derivation of numbers cited in the manuscript</w:t>
            </w:r>
          </w:p>
        </w:tc>
      </w:tr>
      <w:tr w:rsidR="003C0083" w14:paraId="32981546" w14:textId="04F6CA7D" w:rsidTr="00705C71">
        <w:tc>
          <w:tcPr>
            <w:tcW w:w="3177" w:type="dxa"/>
          </w:tcPr>
          <w:p w14:paraId="36F7D33B" w14:textId="0C231763"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Citation</w:t>
            </w:r>
          </w:p>
        </w:tc>
        <w:tc>
          <w:tcPr>
            <w:tcW w:w="4615" w:type="dxa"/>
          </w:tcPr>
          <w:p w14:paraId="5C6F3D86" w14:textId="73740EFF"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Calculation</w:t>
            </w:r>
          </w:p>
        </w:tc>
        <w:tc>
          <w:tcPr>
            <w:tcW w:w="1558" w:type="dxa"/>
          </w:tcPr>
          <w:p w14:paraId="0AC2C6B3" w14:textId="0C2547A6"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Figure</w:t>
            </w:r>
            <w:r w:rsidR="00C5781D">
              <w:rPr>
                <w:rFonts w:ascii="Times New Roman" w:hAnsi="Times New Roman" w:cs="Times New Roman"/>
                <w:b/>
                <w:bCs/>
                <w:sz w:val="20"/>
                <w:szCs w:val="20"/>
              </w:rPr>
              <w:t>s</w:t>
            </w:r>
          </w:p>
        </w:tc>
      </w:tr>
      <w:tr w:rsidR="003C0083" w:rsidRPr="002D4B0E" w14:paraId="6133331D" w14:textId="6D4D77B9" w:rsidTr="00705C71">
        <w:tc>
          <w:tcPr>
            <w:tcW w:w="3177" w:type="dxa"/>
          </w:tcPr>
          <w:p w14:paraId="0F74DEDF" w14:textId="757EBEE8" w:rsidR="003C0083" w:rsidRPr="00705C71" w:rsidRDefault="00C3273B" w:rsidP="00DE4E6E">
            <w:pPr>
              <w:pStyle w:val="SMcaption"/>
              <w:rPr>
                <w:rFonts w:ascii="Times New Roman" w:hAnsi="Times New Roman" w:cs="Times New Roman"/>
                <w:sz w:val="20"/>
                <w:szCs w:val="20"/>
              </w:rPr>
            </w:pPr>
            <w:r w:rsidRPr="00C3273B">
              <w:rPr>
                <w:rFonts w:ascii="Times New Roman" w:hAnsi="Times New Roman" w:cs="Times New Roman"/>
                <w:spacing w:val="-4"/>
                <w:sz w:val="20"/>
                <w:szCs w:val="20"/>
              </w:rPr>
              <w:t>At the time of writing, announced COVID-19 fiscal stimulus surpassed USD 12 trillion, which as a share of GDP exceeds the stimulus provided in the wake of the 2008-2009 Global Financial Crisis (</w:t>
            </w:r>
            <w:r w:rsidRPr="00C3273B">
              <w:rPr>
                <w:rFonts w:ascii="Times New Roman" w:hAnsi="Times New Roman" w:cs="Times New Roman"/>
                <w:i/>
                <w:iCs/>
                <w:spacing w:val="-4"/>
                <w:sz w:val="20"/>
                <w:szCs w:val="20"/>
              </w:rPr>
              <w:t>3</w:t>
            </w:r>
            <w:r w:rsidRPr="00C3273B">
              <w:rPr>
                <w:rFonts w:ascii="Times New Roman" w:hAnsi="Times New Roman" w:cs="Times New Roman"/>
                <w:spacing w:val="-4"/>
                <w:sz w:val="20"/>
                <w:szCs w:val="20"/>
              </w:rPr>
              <w:t xml:space="preserve">) by a factor of three. </w:t>
            </w:r>
          </w:p>
        </w:tc>
        <w:tc>
          <w:tcPr>
            <w:tcW w:w="4615" w:type="dxa"/>
          </w:tcPr>
          <w:p w14:paraId="19713B48" w14:textId="34895EED"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COVID-19 global stimulus: ~  USD 12500 b</w:t>
            </w:r>
          </w:p>
          <w:p w14:paraId="30AD9755" w14:textId="272B4194"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Global GDP 2019: ~ USD 87750 b</w:t>
            </w:r>
          </w:p>
          <w:p w14:paraId="09038DB3" w14:textId="33DCE8B1"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Stimulus as % of GDP: ~14.2%</w:t>
            </w:r>
          </w:p>
          <w:p w14:paraId="44F245E5" w14:textId="1D7028A0" w:rsidR="00C2116F" w:rsidRDefault="00C2116F" w:rsidP="00DE4E6E">
            <w:pPr>
              <w:pStyle w:val="SMcaption"/>
              <w:rPr>
                <w:rFonts w:ascii="Times New Roman" w:hAnsi="Times New Roman" w:cs="Times New Roman"/>
                <w:sz w:val="20"/>
                <w:szCs w:val="20"/>
              </w:rPr>
            </w:pPr>
          </w:p>
          <w:p w14:paraId="72D35212" w14:textId="41CB4E20"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GFC global stimulus: ~ USD 3000 b</w:t>
            </w:r>
          </w:p>
          <w:p w14:paraId="77C08D40" w14:textId="0152C41F"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 xml:space="preserve">Global GDP 2008: ~ USD 63670 b </w:t>
            </w:r>
          </w:p>
          <w:p w14:paraId="69F6421C" w14:textId="7CEE8B2A"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 xml:space="preserve">Stimulus as % of GDP: 4.7% </w:t>
            </w:r>
          </w:p>
          <w:p w14:paraId="1196CC95" w14:textId="2753191F" w:rsidR="003C0083" w:rsidRPr="00705C71" w:rsidRDefault="003C0083" w:rsidP="00DE4E6E">
            <w:pPr>
              <w:pStyle w:val="SMcaption"/>
              <w:rPr>
                <w:rFonts w:ascii="Times New Roman" w:hAnsi="Times New Roman" w:cs="Times New Roman"/>
                <w:sz w:val="20"/>
                <w:szCs w:val="20"/>
              </w:rPr>
            </w:pPr>
          </w:p>
        </w:tc>
        <w:tc>
          <w:tcPr>
            <w:tcW w:w="1558" w:type="dxa"/>
          </w:tcPr>
          <w:p w14:paraId="4FF6E4F9" w14:textId="760C6C6C" w:rsidR="003C0083"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w:t>
            </w:r>
          </w:p>
        </w:tc>
      </w:tr>
      <w:tr w:rsidR="002D4B0E" w:rsidRPr="002D4B0E" w14:paraId="7A716EB4" w14:textId="77777777" w:rsidTr="00705C71">
        <w:tc>
          <w:tcPr>
            <w:tcW w:w="3177" w:type="dxa"/>
          </w:tcPr>
          <w:p w14:paraId="7A9FE691" w14:textId="155141A4" w:rsidR="002D4B0E" w:rsidRPr="00705C71" w:rsidRDefault="008A5C42" w:rsidP="00DE4E6E">
            <w:pPr>
              <w:pStyle w:val="bodydropcap6L"/>
              <w:jc w:val="left"/>
              <w:rPr>
                <w:rFonts w:ascii="Times New Roman" w:hAnsi="Times New Roman" w:cs="Times New Roman"/>
                <w:sz w:val="20"/>
                <w:szCs w:val="20"/>
              </w:rPr>
            </w:pPr>
            <w:r w:rsidRPr="00705C71">
              <w:rPr>
                <w:rFonts w:ascii="Times New Roman" w:hAnsi="Times New Roman" w:cs="Times New Roman"/>
                <w:sz w:val="20"/>
                <w:szCs w:val="20"/>
              </w:rPr>
              <w:t>As of July 2020, our tracking framework showed aggregate fiscal stimuli amounting to USD 12.5 trillion, 80% of which comes from OECD countries (Fig. 1, Figures S1,S2).</w:t>
            </w:r>
          </w:p>
        </w:tc>
        <w:tc>
          <w:tcPr>
            <w:tcW w:w="4615" w:type="dxa"/>
          </w:tcPr>
          <w:p w14:paraId="635D3000" w14:textId="0FCC4F00"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OECD+ countries (see table S2 for the full definition) add up to USD ~10</w:t>
            </w:r>
            <w:r w:rsidR="00B061AB">
              <w:rPr>
                <w:rFonts w:ascii="Times New Roman" w:hAnsi="Times New Roman" w:cs="Times New Roman"/>
                <w:sz w:val="20"/>
                <w:szCs w:val="20"/>
              </w:rPr>
              <w:t>000</w:t>
            </w:r>
            <w:r w:rsidRPr="00705C71">
              <w:rPr>
                <w:rFonts w:ascii="Times New Roman" w:hAnsi="Times New Roman" w:cs="Times New Roman"/>
                <w:sz w:val="20"/>
                <w:szCs w:val="20"/>
              </w:rPr>
              <w:t xml:space="preserve"> </w:t>
            </w:r>
            <w:r w:rsidR="00FB320F">
              <w:rPr>
                <w:rFonts w:ascii="Times New Roman" w:hAnsi="Times New Roman" w:cs="Times New Roman"/>
                <w:sz w:val="20"/>
                <w:szCs w:val="20"/>
              </w:rPr>
              <w:t>billion</w:t>
            </w:r>
          </w:p>
        </w:tc>
        <w:tc>
          <w:tcPr>
            <w:tcW w:w="1558" w:type="dxa"/>
          </w:tcPr>
          <w:p w14:paraId="09075C6D" w14:textId="0F556225"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S1</w:t>
            </w:r>
          </w:p>
        </w:tc>
      </w:tr>
      <w:tr w:rsidR="002D4B0E" w:rsidRPr="002D4B0E" w14:paraId="5FB534A5" w14:textId="77777777" w:rsidTr="00705C71">
        <w:tc>
          <w:tcPr>
            <w:tcW w:w="3177" w:type="dxa"/>
          </w:tcPr>
          <w:p w14:paraId="6D3D0FFC" w14:textId="13D059B9" w:rsidR="008A5C42"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lastRenderedPageBreak/>
              <w:t>What we can glean from the available data is that at the moment about 55% of stimulus can be classified as “above-the-line” measures, with 4% targeted for the health sector and 51% percent for other sectors. The remaining 45% of stimulus is intended for liquidity support.</w:t>
            </w:r>
            <w:r w:rsidR="008A5C42" w:rsidRPr="00705C71">
              <w:rPr>
                <w:rFonts w:ascii="Times New Roman" w:hAnsi="Times New Roman" w:cs="Times New Roman"/>
                <w:sz w:val="20"/>
                <w:szCs w:val="20"/>
              </w:rPr>
              <w:t>.</w:t>
            </w:r>
          </w:p>
          <w:p w14:paraId="6BD14F9B" w14:textId="77777777" w:rsidR="002D4B0E" w:rsidRPr="00705C71" w:rsidRDefault="002D4B0E" w:rsidP="00DE4E6E">
            <w:pPr>
              <w:pStyle w:val="bodydropcap6L"/>
              <w:jc w:val="left"/>
              <w:rPr>
                <w:rFonts w:ascii="Times New Roman" w:hAnsi="Times New Roman" w:cs="Times New Roman"/>
                <w:sz w:val="20"/>
                <w:szCs w:val="20"/>
              </w:rPr>
            </w:pPr>
          </w:p>
        </w:tc>
        <w:tc>
          <w:tcPr>
            <w:tcW w:w="4615" w:type="dxa"/>
          </w:tcPr>
          <w:p w14:paraId="57E7CEA4" w14:textId="0FE258F2" w:rsidR="002D4B0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We focus on the global stimulus estimate (left-most panel on Fig. 1, and right-most panel on Fig. S1)</w:t>
            </w:r>
          </w:p>
        </w:tc>
        <w:tc>
          <w:tcPr>
            <w:tcW w:w="1558" w:type="dxa"/>
          </w:tcPr>
          <w:p w14:paraId="72EF419E" w14:textId="63A6779A" w:rsidR="002D4B0E" w:rsidRPr="00705C71" w:rsidRDefault="0093703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w:t>
            </w:r>
            <w:r w:rsidR="00CA455E" w:rsidRPr="00705C71">
              <w:rPr>
                <w:rFonts w:ascii="Times New Roman" w:hAnsi="Times New Roman" w:cs="Times New Roman"/>
                <w:sz w:val="20"/>
                <w:szCs w:val="20"/>
              </w:rPr>
              <w:t>;</w:t>
            </w:r>
            <w:r w:rsidRPr="00705C71">
              <w:rPr>
                <w:rFonts w:ascii="Times New Roman" w:hAnsi="Times New Roman" w:cs="Times New Roman"/>
                <w:sz w:val="20"/>
                <w:szCs w:val="20"/>
              </w:rPr>
              <w:t xml:space="preserve"> Fig. S1</w:t>
            </w:r>
          </w:p>
        </w:tc>
      </w:tr>
      <w:tr w:rsidR="0093703E" w:rsidRPr="002D4B0E" w14:paraId="6F366C6B" w14:textId="77777777" w:rsidTr="00705C71">
        <w:tc>
          <w:tcPr>
            <w:tcW w:w="3177" w:type="dxa"/>
          </w:tcPr>
          <w:p w14:paraId="35F2D634" w14:textId="6DF24E93" w:rsidR="0093703E"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Average annual low-carbon energy and efficiency investments under a Paris-compatible pathway have been estimated at about 1.3 trillion USD per year globally over the near term between 2020 and 2024 (</w:t>
            </w:r>
            <w:r w:rsidRPr="00C3273B">
              <w:rPr>
                <w:rFonts w:ascii="Times New Roman" w:hAnsi="Times New Roman" w:cs="Times New Roman"/>
                <w:i/>
                <w:iCs/>
                <w:sz w:val="20"/>
                <w:szCs w:val="20"/>
              </w:rPr>
              <w:t>11, 12</w:t>
            </w:r>
            <w:r w:rsidRPr="00C3273B">
              <w:rPr>
                <w:rFonts w:ascii="Times New Roman" w:hAnsi="Times New Roman" w:cs="Times New Roman"/>
                <w:sz w:val="20"/>
                <w:szCs w:val="20"/>
              </w:rPr>
              <w:t>) (see Materials and Methods in Supplementary Material for details). This amounts to some 10% of the total pledged COVID-19 stimulus to date (Fig. 1, Figures S3,S4).</w:t>
            </w:r>
          </w:p>
        </w:tc>
        <w:tc>
          <w:tcPr>
            <w:tcW w:w="4615" w:type="dxa"/>
          </w:tcPr>
          <w:p w14:paraId="401048E1" w14:textId="64E9B2CC" w:rsidR="0093703E" w:rsidRPr="00B061AB" w:rsidRDefault="00B061AB" w:rsidP="00DE4E6E">
            <w:pPr>
              <w:pStyle w:val="SMcaption"/>
              <w:rPr>
                <w:rFonts w:ascii="Times New Roman" w:hAnsi="Times New Roman" w:cs="Times New Roman"/>
                <w:sz w:val="20"/>
                <w:szCs w:val="20"/>
              </w:rPr>
            </w:pPr>
            <w:r>
              <w:rPr>
                <w:rFonts w:ascii="Times New Roman" w:hAnsi="Times New Roman" w:cs="Times New Roman"/>
                <w:sz w:val="20"/>
                <w:szCs w:val="20"/>
              </w:rPr>
              <w:t>We read these estimates from the left-most set of bars on Fig. 1.</w:t>
            </w:r>
          </w:p>
        </w:tc>
        <w:tc>
          <w:tcPr>
            <w:tcW w:w="1558" w:type="dxa"/>
          </w:tcPr>
          <w:p w14:paraId="4BC8BE39" w14:textId="3AA49260" w:rsidR="0093703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 Fig. S3, S4</w:t>
            </w:r>
          </w:p>
        </w:tc>
      </w:tr>
      <w:tr w:rsidR="0093703E" w:rsidRPr="002D4B0E" w14:paraId="4FD5D404" w14:textId="77777777" w:rsidTr="00705C71">
        <w:tc>
          <w:tcPr>
            <w:tcW w:w="3177" w:type="dxa"/>
          </w:tcPr>
          <w:p w14:paraId="3F553E49" w14:textId="77777777" w:rsidR="0093703E"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The additional investment amounts to about 300 billion USD per year globally over the coming five years (Fig. 1, Fig. S5), less than 3% of total pledged stimu</w:t>
            </w:r>
            <w:r>
              <w:rPr>
                <w:rFonts w:ascii="Times New Roman" w:hAnsi="Times New Roman" w:cs="Times New Roman"/>
                <w:sz w:val="20"/>
                <w:szCs w:val="20"/>
              </w:rPr>
              <w:t>l</w:t>
            </w:r>
            <w:r w:rsidRPr="00C3273B">
              <w:rPr>
                <w:rFonts w:ascii="Times New Roman" w:hAnsi="Times New Roman" w:cs="Times New Roman"/>
                <w:sz w:val="20"/>
                <w:szCs w:val="20"/>
              </w:rPr>
              <w:t>us to date.</w:t>
            </w:r>
          </w:p>
          <w:p w14:paraId="154D1C26" w14:textId="77777777" w:rsidR="00C3273B" w:rsidRDefault="00C3273B" w:rsidP="00DE4E6E">
            <w:pPr>
              <w:pStyle w:val="Paragraph"/>
              <w:jc w:val="left"/>
              <w:rPr>
                <w:rFonts w:ascii="Times New Roman" w:hAnsi="Times New Roman" w:cs="Times New Roman"/>
                <w:sz w:val="20"/>
                <w:szCs w:val="20"/>
              </w:rPr>
            </w:pPr>
            <w:r>
              <w:rPr>
                <w:rFonts w:ascii="Times New Roman" w:hAnsi="Times New Roman" w:cs="Times New Roman"/>
                <w:sz w:val="20"/>
                <w:szCs w:val="20"/>
              </w:rPr>
              <w:t>[…]</w:t>
            </w:r>
          </w:p>
          <w:p w14:paraId="730DB302" w14:textId="30B985BA"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r w:rsidRPr="00C3273B">
              <w:rPr>
                <w:rFonts w:ascii="Times New Roman" w:hAnsi="Times New Roman" w:cs="Times New Roman"/>
                <w:sz w:val="20"/>
                <w:szCs w:val="20"/>
              </w:rPr>
              <w:t>Despite the order of magnitude difference in these numbers, there is an important additional part to this story: increases in low-carbon investments would have to be accompanied by di-vestments from high-carbon fossil-fuels in the range of 280 billion USD per year over the same near-term period</w:t>
            </w:r>
            <w:r>
              <w:rPr>
                <w:rFonts w:ascii="Times New Roman" w:hAnsi="Times New Roman" w:cs="Times New Roman"/>
                <w:sz w:val="20"/>
                <w:szCs w:val="20"/>
              </w:rPr>
              <w:t>.</w:t>
            </w:r>
          </w:p>
          <w:p w14:paraId="4E1ABD62" w14:textId="0E4CC7D0"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p>
          <w:p w14:paraId="329A1D27" w14:textId="085F0980"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r w:rsidRPr="00C3273B">
              <w:rPr>
                <w:rFonts w:ascii="Times New Roman" w:hAnsi="Times New Roman" w:cs="Times New Roman"/>
                <w:sz w:val="20"/>
                <w:szCs w:val="20"/>
              </w:rPr>
              <w:t>At about 20 additional billion USD per year globally, they represent a mere 0.2% of the total announced stimulus to date</w:t>
            </w:r>
            <w:r w:rsidRPr="00C3273B" w:rsidDel="00C445FC">
              <w:rPr>
                <w:rFonts w:ascii="Times New Roman" w:hAnsi="Times New Roman" w:cs="Times New Roman"/>
                <w:sz w:val="20"/>
                <w:szCs w:val="20"/>
              </w:rPr>
              <w:t xml:space="preserve"> </w:t>
            </w:r>
            <w:r w:rsidRPr="00C3273B">
              <w:rPr>
                <w:rFonts w:ascii="Times New Roman" w:hAnsi="Times New Roman" w:cs="Times New Roman"/>
                <w:sz w:val="20"/>
                <w:szCs w:val="20"/>
              </w:rPr>
              <w:t>(compare Fig. S5 to S1).</w:t>
            </w:r>
          </w:p>
          <w:p w14:paraId="6AD85CF9" w14:textId="7A964CD0" w:rsidR="00C3273B" w:rsidRPr="00705C71" w:rsidRDefault="00C3273B" w:rsidP="00C3273B">
            <w:pPr>
              <w:pStyle w:val="Paragraph"/>
              <w:ind w:firstLine="0"/>
              <w:jc w:val="left"/>
              <w:rPr>
                <w:rFonts w:ascii="Times New Roman" w:hAnsi="Times New Roman" w:cs="Times New Roman"/>
                <w:sz w:val="20"/>
                <w:szCs w:val="20"/>
              </w:rPr>
            </w:pPr>
          </w:p>
        </w:tc>
        <w:tc>
          <w:tcPr>
            <w:tcW w:w="4615" w:type="dxa"/>
          </w:tcPr>
          <w:p w14:paraId="2B697CAF" w14:textId="77777777"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S5, the right-most bar on the left panel shows the annual shifts in investments:</w:t>
            </w:r>
          </w:p>
          <w:p w14:paraId="08E0FDD9" w14:textId="7AB1EB78"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300 b (additional annual investments into low-carbon energy) – 280 b (annual divestments from fossil fuels) = 20 b (net annual investments, marked by the horizontal black line)</w:t>
            </w:r>
          </w:p>
          <w:p w14:paraId="16A351A8" w14:textId="027787C6"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In S1, the total global stimulus is shown on the right-most bar, with the total value of 12500 b (and 20 b from above being 0.</w:t>
            </w:r>
            <w:r w:rsidR="00C3273B">
              <w:rPr>
                <w:rFonts w:ascii="Times New Roman" w:hAnsi="Times New Roman" w:cs="Times New Roman"/>
                <w:sz w:val="20"/>
                <w:szCs w:val="20"/>
              </w:rPr>
              <w:t>2</w:t>
            </w:r>
            <w:r w:rsidRPr="00705C71">
              <w:rPr>
                <w:rFonts w:ascii="Times New Roman" w:hAnsi="Times New Roman" w:cs="Times New Roman"/>
                <w:sz w:val="20"/>
                <w:szCs w:val="20"/>
              </w:rPr>
              <w:t>%)</w:t>
            </w:r>
          </w:p>
          <w:p w14:paraId="09739E52" w14:textId="72366264" w:rsidR="00CA455E" w:rsidRPr="00705C71" w:rsidRDefault="00CA455E" w:rsidP="00DE4E6E">
            <w:pPr>
              <w:pStyle w:val="SMcaption"/>
              <w:rPr>
                <w:rFonts w:ascii="Times New Roman" w:hAnsi="Times New Roman" w:cs="Times New Roman"/>
                <w:sz w:val="20"/>
                <w:szCs w:val="20"/>
              </w:rPr>
            </w:pPr>
          </w:p>
        </w:tc>
        <w:tc>
          <w:tcPr>
            <w:tcW w:w="1558" w:type="dxa"/>
          </w:tcPr>
          <w:p w14:paraId="338D53D5" w14:textId="52EFA728" w:rsidR="0093703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S5; Fig. S1</w:t>
            </w:r>
          </w:p>
        </w:tc>
      </w:tr>
      <w:tr w:rsidR="00705C71" w:rsidRPr="002D4B0E" w14:paraId="1B334292" w14:textId="77777777" w:rsidTr="00705C71">
        <w:tc>
          <w:tcPr>
            <w:tcW w:w="3177" w:type="dxa"/>
          </w:tcPr>
          <w:p w14:paraId="089F825A" w14:textId="5FE738CE" w:rsidR="00705C71" w:rsidRPr="00705C71" w:rsidRDefault="00B165A3" w:rsidP="00DE4E6E">
            <w:pPr>
              <w:pStyle w:val="Paragraph"/>
              <w:jc w:val="left"/>
              <w:rPr>
                <w:rFonts w:ascii="Times New Roman" w:hAnsi="Times New Roman" w:cs="Times New Roman"/>
                <w:sz w:val="20"/>
                <w:szCs w:val="20"/>
              </w:rPr>
            </w:pPr>
            <w:r w:rsidRPr="00B165A3">
              <w:rPr>
                <w:rFonts w:ascii="Times New Roman" w:hAnsi="Times New Roman" w:cs="Times New Roman"/>
                <w:sz w:val="20"/>
                <w:szCs w:val="20"/>
              </w:rPr>
              <w:t>Developing economies are in a different situation.</w:t>
            </w:r>
            <w:r>
              <w:t xml:space="preserve"> </w:t>
            </w:r>
            <w:r w:rsidRPr="00B165A3">
              <w:rPr>
                <w:rFonts w:ascii="Times New Roman" w:hAnsi="Times New Roman" w:cs="Times New Roman"/>
                <w:sz w:val="20"/>
                <w:szCs w:val="20"/>
              </w:rPr>
              <w:t>So far, the combined stimulus available to low and lower-middle income countries amounts to only a tiny fraction (about 2.5%) of total stimulus and even including upper-middle income economies raises this share to 15% only.</w:t>
            </w:r>
            <w:r>
              <w:rPr>
                <w:rFonts w:ascii="Times New Roman" w:hAnsi="Times New Roman" w:cs="Times New Roman"/>
                <w:sz w:val="20"/>
                <w:szCs w:val="20"/>
              </w:rPr>
              <w:t xml:space="preserve"> </w:t>
            </w:r>
            <w:r w:rsidRPr="00B165A3">
              <w:rPr>
                <w:rFonts w:ascii="Times New Roman" w:hAnsi="Times New Roman" w:cs="Times New Roman"/>
                <w:sz w:val="20"/>
                <w:szCs w:val="20"/>
              </w:rPr>
              <w:t>This discrepancy will not only affect developing countries’ ability to recover from the COVID-19 crisis but also the world’s collective ability to achieve the Paris Agreement climate goals</w:t>
            </w:r>
            <w:r>
              <w:rPr>
                <w:rFonts w:ascii="Times New Roman" w:hAnsi="Times New Roman" w:cs="Times New Roman"/>
                <w:sz w:val="20"/>
                <w:szCs w:val="20"/>
              </w:rPr>
              <w:t>.</w:t>
            </w:r>
          </w:p>
        </w:tc>
        <w:tc>
          <w:tcPr>
            <w:tcW w:w="4615" w:type="dxa"/>
          </w:tcPr>
          <w:p w14:paraId="6A5858EF" w14:textId="2C986395" w:rsidR="00705C71" w:rsidRPr="00705C71" w:rsidRDefault="00B165A3" w:rsidP="00DE4E6E">
            <w:pPr>
              <w:pStyle w:val="SMcaption"/>
              <w:rPr>
                <w:rFonts w:ascii="Times New Roman" w:hAnsi="Times New Roman" w:cs="Times New Roman"/>
                <w:sz w:val="20"/>
                <w:szCs w:val="20"/>
              </w:rPr>
            </w:pPr>
            <w:r>
              <w:rPr>
                <w:rFonts w:ascii="Times New Roman" w:hAnsi="Times New Roman" w:cs="Times New Roman"/>
                <w:sz w:val="20"/>
                <w:szCs w:val="20"/>
              </w:rPr>
              <w:t>Here we aggregate stimulus over the four income groups as classified by the World Bank, and express it as a share of the global stimulus. See table S4 for each group’s numbers.</w:t>
            </w:r>
          </w:p>
        </w:tc>
        <w:tc>
          <w:tcPr>
            <w:tcW w:w="1558" w:type="dxa"/>
          </w:tcPr>
          <w:p w14:paraId="5A58C966" w14:textId="5F465EC5"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S1</w:t>
            </w:r>
          </w:p>
        </w:tc>
      </w:tr>
      <w:tr w:rsidR="00705C71" w:rsidRPr="002D4B0E" w14:paraId="4A8F850C" w14:textId="77777777" w:rsidTr="00705C71">
        <w:tc>
          <w:tcPr>
            <w:tcW w:w="3177" w:type="dxa"/>
          </w:tcPr>
          <w:p w14:paraId="73B363A2" w14:textId="3850B7A2" w:rsidR="00705C71"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 xml:space="preserve">For example, India’s total annual low-carbon energy investment needs relative to its GDP are about 4 times higher than those of the EU, while the </w:t>
            </w:r>
            <w:r w:rsidRPr="00C3273B">
              <w:rPr>
                <w:rFonts w:ascii="Times New Roman" w:hAnsi="Times New Roman" w:cs="Times New Roman"/>
                <w:sz w:val="20"/>
                <w:szCs w:val="20"/>
              </w:rPr>
              <w:lastRenderedPageBreak/>
              <w:t>country’s stimulus package relative to its GDP is less than a quarter the size of the EU’s.</w:t>
            </w:r>
          </w:p>
        </w:tc>
        <w:tc>
          <w:tcPr>
            <w:tcW w:w="4615" w:type="dxa"/>
          </w:tcPr>
          <w:p w14:paraId="4ECDEA47" w14:textId="77777777" w:rsid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We compare the energy investment needs shown on Fig. S6 (right set of panels, for the EU and India (IND)), with the EU’s estimates at about 1% of the GDP, and for India about 4%.</w:t>
            </w:r>
          </w:p>
          <w:p w14:paraId="6C7906B3" w14:textId="77777777" w:rsidR="00C3273B" w:rsidRDefault="00C3273B" w:rsidP="00DE4E6E">
            <w:pPr>
              <w:pStyle w:val="SMcaption"/>
              <w:rPr>
                <w:rFonts w:ascii="Times New Roman" w:hAnsi="Times New Roman" w:cs="Times New Roman"/>
                <w:sz w:val="20"/>
                <w:szCs w:val="20"/>
              </w:rPr>
            </w:pPr>
          </w:p>
          <w:p w14:paraId="44023D28" w14:textId="22500E43" w:rsidR="00C3273B" w:rsidRPr="00705C71" w:rsidRDefault="00C3273B" w:rsidP="00DE4E6E">
            <w:pPr>
              <w:pStyle w:val="SMcaption"/>
              <w:rPr>
                <w:rFonts w:ascii="Times New Roman" w:hAnsi="Times New Roman" w:cs="Times New Roman"/>
                <w:sz w:val="20"/>
                <w:szCs w:val="20"/>
              </w:rPr>
            </w:pPr>
            <w:r>
              <w:rPr>
                <w:rFonts w:ascii="Times New Roman" w:hAnsi="Times New Roman" w:cs="Times New Roman"/>
                <w:sz w:val="20"/>
                <w:szCs w:val="20"/>
              </w:rPr>
              <w:t>The stimulus package of the EU is about 30% of the GDP, and India’s about 7% of the GDP.</w:t>
            </w:r>
          </w:p>
        </w:tc>
        <w:tc>
          <w:tcPr>
            <w:tcW w:w="1558" w:type="dxa"/>
          </w:tcPr>
          <w:p w14:paraId="24F0F263" w14:textId="48A540E2"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Fig. 1, Fig. S6</w:t>
            </w:r>
          </w:p>
        </w:tc>
      </w:tr>
    </w:tbl>
    <w:p w14:paraId="3D015A9C" w14:textId="688C3A6D" w:rsidR="00E97569" w:rsidRDefault="00E97569" w:rsidP="00DE4E6E">
      <w:pPr>
        <w:pStyle w:val="SMcaption"/>
      </w:pPr>
    </w:p>
    <w:p w14:paraId="66AA6912" w14:textId="5AA1BE0D" w:rsidR="00B165A3" w:rsidRDefault="00B165A3" w:rsidP="00DE4E6E">
      <w:pPr>
        <w:pStyle w:val="SMcaption"/>
      </w:pPr>
    </w:p>
    <w:p w14:paraId="0A04D556" w14:textId="76790B32" w:rsidR="00B165A3" w:rsidRDefault="00B165A3" w:rsidP="00DE4E6E">
      <w:pPr>
        <w:pStyle w:val="SMcaption"/>
      </w:pPr>
    </w:p>
    <w:tbl>
      <w:tblPr>
        <w:tblStyle w:val="TableGrid"/>
        <w:tblW w:w="9363" w:type="dxa"/>
        <w:tblLook w:val="04A0" w:firstRow="1" w:lastRow="0" w:firstColumn="1" w:lastColumn="0" w:noHBand="0" w:noVBand="1"/>
      </w:tblPr>
      <w:tblGrid>
        <w:gridCol w:w="2839"/>
        <w:gridCol w:w="1332"/>
        <w:gridCol w:w="2217"/>
        <w:gridCol w:w="2975"/>
      </w:tblGrid>
      <w:tr w:rsidR="00B165A3" w:rsidRPr="00B165A3" w14:paraId="0AB997F4" w14:textId="77777777" w:rsidTr="00B165A3">
        <w:trPr>
          <w:trHeight w:val="301"/>
        </w:trPr>
        <w:tc>
          <w:tcPr>
            <w:tcW w:w="9363" w:type="dxa"/>
            <w:gridSpan w:val="4"/>
            <w:noWrap/>
          </w:tcPr>
          <w:p w14:paraId="03450ABD" w14:textId="0F72C52B" w:rsidR="00B165A3" w:rsidRPr="00B165A3" w:rsidRDefault="00B165A3" w:rsidP="00B165A3">
            <w:pPr>
              <w:pStyle w:val="SMcaption"/>
              <w:rPr>
                <w:rFonts w:ascii="Times New Roman" w:hAnsi="Times New Roman" w:cs="Times New Roman"/>
                <w:b/>
                <w:bCs/>
                <w:sz w:val="20"/>
                <w:szCs w:val="20"/>
              </w:rPr>
            </w:pPr>
            <w:r w:rsidRPr="00B165A3">
              <w:rPr>
                <w:rFonts w:ascii="Times New Roman" w:hAnsi="Times New Roman" w:cs="Times New Roman"/>
                <w:b/>
                <w:bCs/>
                <w:sz w:val="20"/>
                <w:szCs w:val="20"/>
              </w:rPr>
              <w:t>Table S4: Stimulus packages across four income groups following the World Bank’s income classification</w:t>
            </w:r>
          </w:p>
        </w:tc>
      </w:tr>
      <w:tr w:rsidR="00B165A3" w:rsidRPr="00B165A3" w14:paraId="28F77ACD" w14:textId="77777777" w:rsidTr="00B165A3">
        <w:trPr>
          <w:trHeight w:val="301"/>
        </w:trPr>
        <w:tc>
          <w:tcPr>
            <w:tcW w:w="2839" w:type="dxa"/>
            <w:noWrap/>
            <w:hideMark/>
          </w:tcPr>
          <w:p w14:paraId="5639F058"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Income Group</w:t>
            </w:r>
          </w:p>
        </w:tc>
        <w:tc>
          <w:tcPr>
            <w:tcW w:w="1332" w:type="dxa"/>
            <w:noWrap/>
            <w:hideMark/>
          </w:tcPr>
          <w:p w14:paraId="07C653BD"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Stimulus</w:t>
            </w:r>
          </w:p>
        </w:tc>
        <w:tc>
          <w:tcPr>
            <w:tcW w:w="2216" w:type="dxa"/>
            <w:noWrap/>
            <w:hideMark/>
          </w:tcPr>
          <w:p w14:paraId="5E871F1F"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Global stimulus</w:t>
            </w:r>
          </w:p>
        </w:tc>
        <w:tc>
          <w:tcPr>
            <w:tcW w:w="2974" w:type="dxa"/>
            <w:noWrap/>
            <w:hideMark/>
          </w:tcPr>
          <w:p w14:paraId="00C1E193" w14:textId="3F351B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Share of global</w:t>
            </w:r>
          </w:p>
        </w:tc>
      </w:tr>
      <w:tr w:rsidR="00B165A3" w:rsidRPr="00B165A3" w14:paraId="49F09210" w14:textId="77777777" w:rsidTr="00B165A3">
        <w:trPr>
          <w:trHeight w:val="301"/>
        </w:trPr>
        <w:tc>
          <w:tcPr>
            <w:tcW w:w="2839" w:type="dxa"/>
            <w:noWrap/>
            <w:hideMark/>
          </w:tcPr>
          <w:p w14:paraId="392EDF5E" w14:textId="77777777" w:rsidR="00B165A3" w:rsidRPr="00B165A3" w:rsidRDefault="00B165A3" w:rsidP="00B165A3">
            <w:pPr>
              <w:pStyle w:val="SMcaption"/>
              <w:rPr>
                <w:rFonts w:ascii="Times New Roman" w:hAnsi="Times New Roman" w:cs="Times New Roman"/>
                <w:sz w:val="20"/>
                <w:szCs w:val="20"/>
              </w:rPr>
            </w:pPr>
          </w:p>
        </w:tc>
        <w:tc>
          <w:tcPr>
            <w:tcW w:w="3549" w:type="dxa"/>
            <w:gridSpan w:val="2"/>
            <w:noWrap/>
            <w:hideMark/>
          </w:tcPr>
          <w:p w14:paraId="563BF6C5"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USD billion</w:t>
            </w:r>
          </w:p>
        </w:tc>
        <w:tc>
          <w:tcPr>
            <w:tcW w:w="2974" w:type="dxa"/>
            <w:noWrap/>
            <w:hideMark/>
          </w:tcPr>
          <w:p w14:paraId="5576CF03" w14:textId="77777777" w:rsidR="00B165A3" w:rsidRPr="00B165A3" w:rsidRDefault="00B165A3" w:rsidP="00B165A3">
            <w:pPr>
              <w:pStyle w:val="SMcaption"/>
              <w:rPr>
                <w:rFonts w:ascii="Times New Roman" w:hAnsi="Times New Roman" w:cs="Times New Roman"/>
                <w:sz w:val="20"/>
                <w:szCs w:val="20"/>
              </w:rPr>
            </w:pPr>
          </w:p>
        </w:tc>
      </w:tr>
      <w:tr w:rsidR="00B165A3" w:rsidRPr="00B165A3" w14:paraId="41646BB3" w14:textId="77777777" w:rsidTr="00B165A3">
        <w:trPr>
          <w:trHeight w:val="301"/>
        </w:trPr>
        <w:tc>
          <w:tcPr>
            <w:tcW w:w="2839" w:type="dxa"/>
            <w:noWrap/>
            <w:hideMark/>
          </w:tcPr>
          <w:p w14:paraId="2D203FD6"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Low income</w:t>
            </w:r>
          </w:p>
        </w:tc>
        <w:tc>
          <w:tcPr>
            <w:tcW w:w="1332" w:type="dxa"/>
            <w:noWrap/>
            <w:hideMark/>
          </w:tcPr>
          <w:p w14:paraId="493DCE48"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5</w:t>
            </w:r>
          </w:p>
        </w:tc>
        <w:tc>
          <w:tcPr>
            <w:tcW w:w="2216" w:type="dxa"/>
            <w:noWrap/>
            <w:hideMark/>
          </w:tcPr>
          <w:p w14:paraId="631F7C51"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49F1194D"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0.04%</w:t>
            </w:r>
          </w:p>
        </w:tc>
      </w:tr>
      <w:tr w:rsidR="00B165A3" w:rsidRPr="00B165A3" w14:paraId="1F90D0F1" w14:textId="77777777" w:rsidTr="00B165A3">
        <w:trPr>
          <w:trHeight w:val="301"/>
        </w:trPr>
        <w:tc>
          <w:tcPr>
            <w:tcW w:w="2839" w:type="dxa"/>
            <w:noWrap/>
            <w:hideMark/>
          </w:tcPr>
          <w:p w14:paraId="44848BDE"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Lower middle income</w:t>
            </w:r>
          </w:p>
        </w:tc>
        <w:tc>
          <w:tcPr>
            <w:tcW w:w="1332" w:type="dxa"/>
            <w:noWrap/>
            <w:hideMark/>
          </w:tcPr>
          <w:p w14:paraId="2BF69552"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306</w:t>
            </w:r>
          </w:p>
        </w:tc>
        <w:tc>
          <w:tcPr>
            <w:tcW w:w="2216" w:type="dxa"/>
            <w:noWrap/>
            <w:hideMark/>
          </w:tcPr>
          <w:p w14:paraId="2DCB442E"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6A0366EF"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2.45%</w:t>
            </w:r>
          </w:p>
        </w:tc>
      </w:tr>
      <w:tr w:rsidR="00B165A3" w:rsidRPr="00B165A3" w14:paraId="2CEC7013" w14:textId="77777777" w:rsidTr="00B165A3">
        <w:trPr>
          <w:trHeight w:val="301"/>
        </w:trPr>
        <w:tc>
          <w:tcPr>
            <w:tcW w:w="2839" w:type="dxa"/>
            <w:noWrap/>
            <w:hideMark/>
          </w:tcPr>
          <w:p w14:paraId="11AC7988"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Upper middle income</w:t>
            </w:r>
          </w:p>
        </w:tc>
        <w:tc>
          <w:tcPr>
            <w:tcW w:w="1332" w:type="dxa"/>
            <w:noWrap/>
            <w:hideMark/>
          </w:tcPr>
          <w:p w14:paraId="20BF10ED"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1593</w:t>
            </w:r>
          </w:p>
        </w:tc>
        <w:tc>
          <w:tcPr>
            <w:tcW w:w="2216" w:type="dxa"/>
            <w:noWrap/>
            <w:hideMark/>
          </w:tcPr>
          <w:p w14:paraId="5CF9289E"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5D980B0A"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12.79%</w:t>
            </w:r>
          </w:p>
        </w:tc>
      </w:tr>
      <w:tr w:rsidR="00B165A3" w:rsidRPr="00B165A3" w14:paraId="76350C8D" w14:textId="77777777" w:rsidTr="00B165A3">
        <w:trPr>
          <w:trHeight w:val="301"/>
        </w:trPr>
        <w:tc>
          <w:tcPr>
            <w:tcW w:w="2839" w:type="dxa"/>
            <w:noWrap/>
            <w:hideMark/>
          </w:tcPr>
          <w:p w14:paraId="059462E5"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High income</w:t>
            </w:r>
          </w:p>
        </w:tc>
        <w:tc>
          <w:tcPr>
            <w:tcW w:w="1332" w:type="dxa"/>
            <w:noWrap/>
            <w:hideMark/>
          </w:tcPr>
          <w:p w14:paraId="28A2A470"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10552</w:t>
            </w:r>
          </w:p>
        </w:tc>
        <w:tc>
          <w:tcPr>
            <w:tcW w:w="2216" w:type="dxa"/>
            <w:noWrap/>
            <w:hideMark/>
          </w:tcPr>
          <w:p w14:paraId="028B2DD7"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306A39B8"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84.72%</w:t>
            </w:r>
          </w:p>
        </w:tc>
      </w:tr>
    </w:tbl>
    <w:p w14:paraId="1CAF7DE5" w14:textId="77777777" w:rsidR="00B165A3" w:rsidRPr="002D4B0E" w:rsidRDefault="00B165A3" w:rsidP="00DE4E6E">
      <w:pPr>
        <w:pStyle w:val="SMcaption"/>
      </w:pPr>
    </w:p>
    <w:p w14:paraId="2B6BCA94" w14:textId="350E36E4" w:rsidR="00C50C6D" w:rsidRPr="00355362" w:rsidRDefault="00C50C6D" w:rsidP="00DE4E6E">
      <w:pPr>
        <w:pStyle w:val="SMHeading"/>
      </w:pPr>
      <w:r>
        <w:t xml:space="preserve">Data </w:t>
      </w:r>
      <w:r w:rsidRPr="00355362">
        <w:t>S1</w:t>
      </w:r>
      <w:r w:rsidR="008218C4">
        <w:t>.</w:t>
      </w:r>
      <w:r w:rsidRPr="00355362">
        <w:t xml:space="preserve"> </w:t>
      </w:r>
      <w:r>
        <w:t>(separate file)</w:t>
      </w:r>
    </w:p>
    <w:p w14:paraId="30835E0F" w14:textId="77777777" w:rsidR="002254CD" w:rsidRDefault="002254CD" w:rsidP="00DE4E6E">
      <w:r>
        <w:t xml:space="preserve">All data underlying this analysis are available at: </w:t>
      </w:r>
      <w:hyperlink r:id="rId25" w:history="1">
        <w:r>
          <w:rPr>
            <w:rStyle w:val="Hyperlink"/>
          </w:rPr>
          <w:t>https://github.com/marina-andrijevic/covid_recovery/tree/master/data</w:t>
        </w:r>
      </w:hyperlink>
    </w:p>
    <w:p w14:paraId="614756DF" w14:textId="3ABC41FC" w:rsidR="00C50C6D" w:rsidRDefault="00C50C6D" w:rsidP="00DE4E6E">
      <w:pPr>
        <w:pStyle w:val="SMcaption"/>
      </w:pPr>
    </w:p>
    <w:p w14:paraId="08DC9151" w14:textId="77777777" w:rsidR="00C50C6D" w:rsidRDefault="00C50C6D" w:rsidP="00DE4E6E">
      <w:pPr>
        <w:pStyle w:val="SMcaption"/>
      </w:pPr>
    </w:p>
    <w:p w14:paraId="10BF7DE9" w14:textId="77777777" w:rsidR="00B9440A" w:rsidRPr="00015F74" w:rsidRDefault="00B9440A" w:rsidP="00DE4E6E">
      <w:pPr>
        <w:pStyle w:val="SMcaption"/>
      </w:pPr>
    </w:p>
    <w:sectPr w:rsidR="00B9440A" w:rsidRPr="00015F74" w:rsidSect="00E853D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cCollum, David" w:date="2020-08-01T00:37:00Z" w:initials="MD">
    <w:p w14:paraId="69EC9BFA" w14:textId="17714D42" w:rsidR="003E6756" w:rsidRDefault="003E6756">
      <w:pPr>
        <w:pStyle w:val="CommentText"/>
      </w:pPr>
      <w:r>
        <w:rPr>
          <w:rStyle w:val="CommentReference"/>
        </w:rPr>
        <w:annotationRef/>
      </w:r>
      <w:r>
        <w:t>Shouldn’t we be specific about the dollar year.  2019 or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EC9BF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EC9BFA" w16cid:durableId="22CF3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1BF4C" w14:textId="77777777" w:rsidR="008D2F41" w:rsidRDefault="008D2F41">
      <w:r>
        <w:separator/>
      </w:r>
    </w:p>
  </w:endnote>
  <w:endnote w:type="continuationSeparator" w:id="0">
    <w:p w14:paraId="74FE251D" w14:textId="77777777" w:rsidR="008D2F41" w:rsidRDefault="008D2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illerDaily">
    <w:altName w:val="Calibri"/>
    <w:panose1 w:val="020B0604020202020204"/>
    <w:charset w:val="00"/>
    <w:family w:val="modern"/>
    <w:notTrueType/>
    <w:pitch w:val="variable"/>
    <w:sig w:usb0="800000AF" w:usb1="5000204A" w:usb2="00000000" w:usb3="00000000" w:csb0="00000001" w:csb1="00000000"/>
  </w:font>
  <w:font w:name="MillerDaily Roman">
    <w:altName w:val="Cambria"/>
    <w:panose1 w:val="020B0604020202020204"/>
    <w:charset w:val="00"/>
    <w:family w:val="auto"/>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EA3E" w14:textId="32DFF1A6" w:rsidR="003E6756" w:rsidRDefault="003E6756">
    <w:pPr>
      <w:pStyle w:val="Footer"/>
      <w:jc w:val="right"/>
    </w:pPr>
    <w:r>
      <w:fldChar w:fldCharType="begin"/>
    </w:r>
    <w:r>
      <w:instrText xml:space="preserve"> PAGE   \* MERGEFORMAT </w:instrText>
    </w:r>
    <w:r>
      <w:fldChar w:fldCharType="separate"/>
    </w:r>
    <w:r>
      <w:rPr>
        <w:noProof/>
      </w:rPr>
      <w:t>3</w:t>
    </w:r>
    <w:r>
      <w:fldChar w:fldCharType="end"/>
    </w:r>
  </w:p>
  <w:p w14:paraId="211F3547" w14:textId="77777777" w:rsidR="003E6756" w:rsidRDefault="003E6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508AA" w14:textId="77777777" w:rsidR="008D2F41" w:rsidRDefault="008D2F41">
      <w:r>
        <w:separator/>
      </w:r>
    </w:p>
  </w:footnote>
  <w:footnote w:type="continuationSeparator" w:id="0">
    <w:p w14:paraId="119CEC1E" w14:textId="77777777" w:rsidR="008D2F41" w:rsidRDefault="008D2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01F95" w14:textId="77777777" w:rsidR="003E6756" w:rsidRPr="005001AC" w:rsidRDefault="003E6756" w:rsidP="005001AC">
    <w:pPr>
      <w:jc w:val="right"/>
      <w:rPr>
        <w:sz w:val="20"/>
      </w:rPr>
    </w:pPr>
  </w:p>
  <w:p w14:paraId="3CD866EE" w14:textId="77777777" w:rsidR="003E6756" w:rsidRDefault="003E67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5554"/>
    <w:multiLevelType w:val="hybridMultilevel"/>
    <w:tmpl w:val="FCA2810A"/>
    <w:lvl w:ilvl="0" w:tplc="CD62A14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29543FF1"/>
    <w:multiLevelType w:val="hybridMultilevel"/>
    <w:tmpl w:val="62B4066C"/>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2" w15:restartNumberingAfterBreak="0">
    <w:nsid w:val="7A71158C"/>
    <w:multiLevelType w:val="hybridMultilevel"/>
    <w:tmpl w:val="B0A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17FEF"/>
    <w:rsid w:val="0006034C"/>
    <w:rsid w:val="00065EBD"/>
    <w:rsid w:val="00083B44"/>
    <w:rsid w:val="000850DC"/>
    <w:rsid w:val="000C2771"/>
    <w:rsid w:val="000D46F4"/>
    <w:rsid w:val="000F0DCE"/>
    <w:rsid w:val="000F6BE3"/>
    <w:rsid w:val="00112C5B"/>
    <w:rsid w:val="00114193"/>
    <w:rsid w:val="00115A38"/>
    <w:rsid w:val="0011687B"/>
    <w:rsid w:val="00124F82"/>
    <w:rsid w:val="0016337A"/>
    <w:rsid w:val="00164269"/>
    <w:rsid w:val="001A08F0"/>
    <w:rsid w:val="001A1BDE"/>
    <w:rsid w:val="001F0876"/>
    <w:rsid w:val="001F167C"/>
    <w:rsid w:val="001F5E91"/>
    <w:rsid w:val="002077B9"/>
    <w:rsid w:val="002248D7"/>
    <w:rsid w:val="002254CD"/>
    <w:rsid w:val="00262D72"/>
    <w:rsid w:val="0027044C"/>
    <w:rsid w:val="00294FBB"/>
    <w:rsid w:val="002C030F"/>
    <w:rsid w:val="002C5DE8"/>
    <w:rsid w:val="002D4B0E"/>
    <w:rsid w:val="00331D75"/>
    <w:rsid w:val="00355362"/>
    <w:rsid w:val="00363E44"/>
    <w:rsid w:val="003755FE"/>
    <w:rsid w:val="00395E86"/>
    <w:rsid w:val="003A2FD8"/>
    <w:rsid w:val="003B40E6"/>
    <w:rsid w:val="003B44B6"/>
    <w:rsid w:val="003C0083"/>
    <w:rsid w:val="003E6756"/>
    <w:rsid w:val="003E74FB"/>
    <w:rsid w:val="003F6E14"/>
    <w:rsid w:val="00405336"/>
    <w:rsid w:val="0042183E"/>
    <w:rsid w:val="004444A4"/>
    <w:rsid w:val="004571D5"/>
    <w:rsid w:val="00461D81"/>
    <w:rsid w:val="0046356B"/>
    <w:rsid w:val="00477182"/>
    <w:rsid w:val="004779CB"/>
    <w:rsid w:val="00487287"/>
    <w:rsid w:val="004E42D8"/>
    <w:rsid w:val="004E7BA2"/>
    <w:rsid w:val="004F7EDF"/>
    <w:rsid w:val="005001AC"/>
    <w:rsid w:val="00527D71"/>
    <w:rsid w:val="005520A8"/>
    <w:rsid w:val="005607DD"/>
    <w:rsid w:val="005864BE"/>
    <w:rsid w:val="005A558C"/>
    <w:rsid w:val="005E28F8"/>
    <w:rsid w:val="005E6513"/>
    <w:rsid w:val="00614061"/>
    <w:rsid w:val="00651114"/>
    <w:rsid w:val="00663B16"/>
    <w:rsid w:val="00664560"/>
    <w:rsid w:val="00670299"/>
    <w:rsid w:val="00691985"/>
    <w:rsid w:val="00692DD6"/>
    <w:rsid w:val="006A1B64"/>
    <w:rsid w:val="006D23EF"/>
    <w:rsid w:val="00705C71"/>
    <w:rsid w:val="007108F5"/>
    <w:rsid w:val="00713E5B"/>
    <w:rsid w:val="007324FE"/>
    <w:rsid w:val="007402FC"/>
    <w:rsid w:val="007411A1"/>
    <w:rsid w:val="00793072"/>
    <w:rsid w:val="007C594E"/>
    <w:rsid w:val="007D4CB9"/>
    <w:rsid w:val="00807D35"/>
    <w:rsid w:val="008218C4"/>
    <w:rsid w:val="00867A98"/>
    <w:rsid w:val="00870867"/>
    <w:rsid w:val="00882200"/>
    <w:rsid w:val="00885C9B"/>
    <w:rsid w:val="008A5C42"/>
    <w:rsid w:val="008D2F41"/>
    <w:rsid w:val="008D5D2A"/>
    <w:rsid w:val="00914B63"/>
    <w:rsid w:val="009354F3"/>
    <w:rsid w:val="0093703E"/>
    <w:rsid w:val="009447DC"/>
    <w:rsid w:val="00961BA5"/>
    <w:rsid w:val="0096329F"/>
    <w:rsid w:val="009743A9"/>
    <w:rsid w:val="009A2827"/>
    <w:rsid w:val="009A5287"/>
    <w:rsid w:val="009B2AC5"/>
    <w:rsid w:val="009B7984"/>
    <w:rsid w:val="009F4BED"/>
    <w:rsid w:val="009F7D93"/>
    <w:rsid w:val="00A3403B"/>
    <w:rsid w:val="00A51A12"/>
    <w:rsid w:val="00A627D4"/>
    <w:rsid w:val="00A74DA2"/>
    <w:rsid w:val="00AB399E"/>
    <w:rsid w:val="00AC205F"/>
    <w:rsid w:val="00AC59D0"/>
    <w:rsid w:val="00AD16B1"/>
    <w:rsid w:val="00AD499C"/>
    <w:rsid w:val="00B061AB"/>
    <w:rsid w:val="00B165A3"/>
    <w:rsid w:val="00B36869"/>
    <w:rsid w:val="00B43B31"/>
    <w:rsid w:val="00B47CFA"/>
    <w:rsid w:val="00B57F00"/>
    <w:rsid w:val="00B77B2A"/>
    <w:rsid w:val="00B82C22"/>
    <w:rsid w:val="00B93DBA"/>
    <w:rsid w:val="00B9440A"/>
    <w:rsid w:val="00BB2D2A"/>
    <w:rsid w:val="00BC3E04"/>
    <w:rsid w:val="00BD0989"/>
    <w:rsid w:val="00BD58CF"/>
    <w:rsid w:val="00BF0C92"/>
    <w:rsid w:val="00C04CC1"/>
    <w:rsid w:val="00C2116F"/>
    <w:rsid w:val="00C3273B"/>
    <w:rsid w:val="00C4096C"/>
    <w:rsid w:val="00C44957"/>
    <w:rsid w:val="00C50C6D"/>
    <w:rsid w:val="00C5781D"/>
    <w:rsid w:val="00C600D9"/>
    <w:rsid w:val="00C92B22"/>
    <w:rsid w:val="00CA455E"/>
    <w:rsid w:val="00CA6E73"/>
    <w:rsid w:val="00CB7721"/>
    <w:rsid w:val="00CC1384"/>
    <w:rsid w:val="00CD3720"/>
    <w:rsid w:val="00CF1848"/>
    <w:rsid w:val="00CF3012"/>
    <w:rsid w:val="00CF5C2F"/>
    <w:rsid w:val="00D0204B"/>
    <w:rsid w:val="00D04BCF"/>
    <w:rsid w:val="00D143D9"/>
    <w:rsid w:val="00D5511B"/>
    <w:rsid w:val="00D766F1"/>
    <w:rsid w:val="00DE4E6E"/>
    <w:rsid w:val="00E257C8"/>
    <w:rsid w:val="00E41512"/>
    <w:rsid w:val="00E4519A"/>
    <w:rsid w:val="00E853D5"/>
    <w:rsid w:val="00E97569"/>
    <w:rsid w:val="00E9773B"/>
    <w:rsid w:val="00EA6F42"/>
    <w:rsid w:val="00EC13A3"/>
    <w:rsid w:val="00EC26B3"/>
    <w:rsid w:val="00EC553B"/>
    <w:rsid w:val="00EC7C85"/>
    <w:rsid w:val="00F125EE"/>
    <w:rsid w:val="00F12E98"/>
    <w:rsid w:val="00F22029"/>
    <w:rsid w:val="00F33CF5"/>
    <w:rsid w:val="00F515FB"/>
    <w:rsid w:val="00F630EA"/>
    <w:rsid w:val="00F7007E"/>
    <w:rsid w:val="00F73193"/>
    <w:rsid w:val="00F74F95"/>
    <w:rsid w:val="00F80705"/>
    <w:rsid w:val="00FA1481"/>
    <w:rsid w:val="00FB320F"/>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uiPriority w:val="9"/>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uiPriority w:val="9"/>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uiPriority w:val="35"/>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rsid w:val="00405336"/>
    <w:rPr>
      <w:sz w:val="20"/>
    </w:rPr>
  </w:style>
  <w:style w:type="character" w:customStyle="1" w:styleId="CommentTextChar">
    <w:name w:val="Comment Text Char"/>
    <w:basedOn w:val="DefaultParagraphFont"/>
    <w:link w:val="CommentText"/>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uiPriority w:val="99"/>
    <w:semiHidden/>
    <w:rsid w:val="007402FC"/>
    <w:rPr>
      <w:color w:val="0000FF"/>
      <w:u w:val="single"/>
    </w:rPr>
  </w:style>
  <w:style w:type="character" w:styleId="FollowedHyperlink">
    <w:name w:val="FollowedHyperlink"/>
    <w:uiPriority w:val="99"/>
    <w:semiHidden/>
    <w:unhideWhenUsed/>
    <w:rsid w:val="00793072"/>
    <w:rPr>
      <w:color w:val="800080"/>
      <w:u w:val="single"/>
    </w:rPr>
  </w:style>
  <w:style w:type="character" w:styleId="CommentReference">
    <w:name w:val="annotation reference"/>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paragraph" w:customStyle="1" w:styleId="msonormal0">
    <w:name w:val="msonormal"/>
    <w:basedOn w:val="Normal"/>
    <w:rsid w:val="002254CD"/>
    <w:pPr>
      <w:spacing w:before="100" w:beforeAutospacing="1" w:after="100" w:afterAutospacing="1"/>
    </w:pPr>
    <w:rPr>
      <w:szCs w:val="24"/>
      <w:lang w:eastAsia="en-GB"/>
    </w:rPr>
  </w:style>
  <w:style w:type="paragraph" w:customStyle="1" w:styleId="xl63">
    <w:name w:val="xl63"/>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4">
    <w:name w:val="xl64"/>
    <w:basedOn w:val="Normal"/>
    <w:rsid w:val="002254CD"/>
    <w:pPr>
      <w:spacing w:before="100" w:beforeAutospacing="1" w:after="100" w:afterAutospacing="1"/>
    </w:pPr>
    <w:rPr>
      <w:rFonts w:ascii="Helvetica Neue" w:hAnsi="Helvetica Neue"/>
      <w:color w:val="000000"/>
      <w:sz w:val="20"/>
      <w:lang w:eastAsia="en-GB"/>
    </w:rPr>
  </w:style>
  <w:style w:type="paragraph" w:customStyle="1" w:styleId="xl65">
    <w:name w:val="xl65"/>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6">
    <w:name w:val="xl66"/>
    <w:basedOn w:val="Normal"/>
    <w:rsid w:val="002254CD"/>
    <w:pPr>
      <w:spacing w:before="100" w:beforeAutospacing="1" w:after="100" w:afterAutospacing="1"/>
    </w:pPr>
    <w:rPr>
      <w:rFonts w:ascii="Helvetica Neue" w:hAnsi="Helvetica Neue"/>
      <w:color w:val="000000"/>
      <w:sz w:val="20"/>
      <w:lang w:eastAsia="en-GB"/>
    </w:rPr>
  </w:style>
  <w:style w:type="table" w:styleId="TableGrid">
    <w:name w:val="Table Grid"/>
    <w:basedOn w:val="TableNormal"/>
    <w:uiPriority w:val="39"/>
    <w:rsid w:val="002254CD"/>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9">
    <w:name w:val="xl69"/>
    <w:basedOn w:val="Normal"/>
    <w:rsid w:val="002254CD"/>
    <w:pPr>
      <w:spacing w:before="100" w:beforeAutospacing="1" w:after="100" w:afterAutospacing="1"/>
      <w:jc w:val="center"/>
    </w:pPr>
    <w:rPr>
      <w:szCs w:val="24"/>
      <w:lang w:eastAsia="en-GB"/>
    </w:rPr>
  </w:style>
  <w:style w:type="paragraph" w:customStyle="1" w:styleId="xl70">
    <w:name w:val="xl70"/>
    <w:basedOn w:val="Normal"/>
    <w:rsid w:val="002254CD"/>
    <w:pPr>
      <w:spacing w:before="100" w:beforeAutospacing="1" w:after="100" w:afterAutospacing="1"/>
      <w:jc w:val="center"/>
    </w:pPr>
    <w:rPr>
      <w:b/>
      <w:bCs/>
      <w:szCs w:val="24"/>
      <w:lang w:eastAsia="en-GB"/>
    </w:rPr>
  </w:style>
  <w:style w:type="paragraph" w:customStyle="1" w:styleId="bodydropcap6L">
    <w:name w:val="body dropcap 6L"/>
    <w:rsid w:val="002D4B0E"/>
    <w:pPr>
      <w:spacing w:line="210" w:lineRule="exact"/>
      <w:jc w:val="both"/>
    </w:pPr>
    <w:rPr>
      <w:rFonts w:ascii="MillerDaily" w:hAnsi="MillerDaily"/>
      <w:spacing w:val="-4"/>
      <w:sz w:val="17"/>
    </w:rPr>
  </w:style>
  <w:style w:type="paragraph" w:customStyle="1" w:styleId="Paragraph">
    <w:name w:val="Paragraph"/>
    <w:basedOn w:val="Normal"/>
    <w:rsid w:val="008A5C42"/>
    <w:pPr>
      <w:widowControl w:val="0"/>
      <w:spacing w:line="210" w:lineRule="exact"/>
      <w:ind w:firstLine="245"/>
      <w:jc w:val="both"/>
    </w:pPr>
    <w:rPr>
      <w:rFonts w:ascii="MillerDaily Roman" w:hAnsi="MillerDaily Roman"/>
      <w:spacing w:val="-4"/>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0125">
      <w:bodyDiv w:val="1"/>
      <w:marLeft w:val="0"/>
      <w:marRight w:val="0"/>
      <w:marTop w:val="0"/>
      <w:marBottom w:val="0"/>
      <w:divBdr>
        <w:top w:val="none" w:sz="0" w:space="0" w:color="auto"/>
        <w:left w:val="none" w:sz="0" w:space="0" w:color="auto"/>
        <w:bottom w:val="none" w:sz="0" w:space="0" w:color="auto"/>
        <w:right w:val="none" w:sz="0" w:space="0" w:color="auto"/>
      </w:divBdr>
    </w:div>
    <w:div w:id="162362845">
      <w:bodyDiv w:val="1"/>
      <w:marLeft w:val="0"/>
      <w:marRight w:val="0"/>
      <w:marTop w:val="0"/>
      <w:marBottom w:val="0"/>
      <w:divBdr>
        <w:top w:val="none" w:sz="0" w:space="0" w:color="auto"/>
        <w:left w:val="none" w:sz="0" w:space="0" w:color="auto"/>
        <w:bottom w:val="none" w:sz="0" w:space="0" w:color="auto"/>
        <w:right w:val="none" w:sz="0" w:space="0" w:color="auto"/>
      </w:divBdr>
    </w:div>
    <w:div w:id="320741976">
      <w:bodyDiv w:val="1"/>
      <w:marLeft w:val="0"/>
      <w:marRight w:val="0"/>
      <w:marTop w:val="0"/>
      <w:marBottom w:val="0"/>
      <w:divBdr>
        <w:top w:val="none" w:sz="0" w:space="0" w:color="auto"/>
        <w:left w:val="none" w:sz="0" w:space="0" w:color="auto"/>
        <w:bottom w:val="none" w:sz="0" w:space="0" w:color="auto"/>
        <w:right w:val="none" w:sz="0" w:space="0" w:color="auto"/>
      </w:divBdr>
    </w:div>
    <w:div w:id="515005514">
      <w:bodyDiv w:val="1"/>
      <w:marLeft w:val="0"/>
      <w:marRight w:val="0"/>
      <w:marTop w:val="0"/>
      <w:marBottom w:val="0"/>
      <w:divBdr>
        <w:top w:val="none" w:sz="0" w:space="0" w:color="auto"/>
        <w:left w:val="none" w:sz="0" w:space="0" w:color="auto"/>
        <w:bottom w:val="none" w:sz="0" w:space="0" w:color="auto"/>
        <w:right w:val="none" w:sz="0" w:space="0" w:color="auto"/>
      </w:divBdr>
    </w:div>
    <w:div w:id="574164161">
      <w:bodyDiv w:val="1"/>
      <w:marLeft w:val="0"/>
      <w:marRight w:val="0"/>
      <w:marTop w:val="0"/>
      <w:marBottom w:val="0"/>
      <w:divBdr>
        <w:top w:val="none" w:sz="0" w:space="0" w:color="auto"/>
        <w:left w:val="none" w:sz="0" w:space="0" w:color="auto"/>
        <w:bottom w:val="none" w:sz="0" w:space="0" w:color="auto"/>
        <w:right w:val="none" w:sz="0" w:space="0" w:color="auto"/>
      </w:divBdr>
    </w:div>
    <w:div w:id="663434413">
      <w:bodyDiv w:val="1"/>
      <w:marLeft w:val="0"/>
      <w:marRight w:val="0"/>
      <w:marTop w:val="0"/>
      <w:marBottom w:val="0"/>
      <w:divBdr>
        <w:top w:val="none" w:sz="0" w:space="0" w:color="auto"/>
        <w:left w:val="none" w:sz="0" w:space="0" w:color="auto"/>
        <w:bottom w:val="none" w:sz="0" w:space="0" w:color="auto"/>
        <w:right w:val="none" w:sz="0" w:space="0" w:color="auto"/>
      </w:divBdr>
    </w:div>
    <w:div w:id="669135878">
      <w:bodyDiv w:val="1"/>
      <w:marLeft w:val="0"/>
      <w:marRight w:val="0"/>
      <w:marTop w:val="0"/>
      <w:marBottom w:val="0"/>
      <w:divBdr>
        <w:top w:val="none" w:sz="0" w:space="0" w:color="auto"/>
        <w:left w:val="none" w:sz="0" w:space="0" w:color="auto"/>
        <w:bottom w:val="none" w:sz="0" w:space="0" w:color="auto"/>
        <w:right w:val="none" w:sz="0" w:space="0" w:color="auto"/>
      </w:divBdr>
    </w:div>
    <w:div w:id="682705336">
      <w:bodyDiv w:val="1"/>
      <w:marLeft w:val="0"/>
      <w:marRight w:val="0"/>
      <w:marTop w:val="0"/>
      <w:marBottom w:val="0"/>
      <w:divBdr>
        <w:top w:val="none" w:sz="0" w:space="0" w:color="auto"/>
        <w:left w:val="none" w:sz="0" w:space="0" w:color="auto"/>
        <w:bottom w:val="none" w:sz="0" w:space="0" w:color="auto"/>
        <w:right w:val="none" w:sz="0" w:space="0" w:color="auto"/>
      </w:divBdr>
    </w:div>
    <w:div w:id="712536162">
      <w:bodyDiv w:val="1"/>
      <w:marLeft w:val="0"/>
      <w:marRight w:val="0"/>
      <w:marTop w:val="0"/>
      <w:marBottom w:val="0"/>
      <w:divBdr>
        <w:top w:val="none" w:sz="0" w:space="0" w:color="auto"/>
        <w:left w:val="none" w:sz="0" w:space="0" w:color="auto"/>
        <w:bottom w:val="none" w:sz="0" w:space="0" w:color="auto"/>
        <w:right w:val="none" w:sz="0" w:space="0" w:color="auto"/>
      </w:divBdr>
    </w:div>
    <w:div w:id="746193824">
      <w:bodyDiv w:val="1"/>
      <w:marLeft w:val="0"/>
      <w:marRight w:val="0"/>
      <w:marTop w:val="0"/>
      <w:marBottom w:val="0"/>
      <w:divBdr>
        <w:top w:val="none" w:sz="0" w:space="0" w:color="auto"/>
        <w:left w:val="none" w:sz="0" w:space="0" w:color="auto"/>
        <w:bottom w:val="none" w:sz="0" w:space="0" w:color="auto"/>
        <w:right w:val="none" w:sz="0" w:space="0" w:color="auto"/>
      </w:divBdr>
    </w:div>
    <w:div w:id="784890936">
      <w:bodyDiv w:val="1"/>
      <w:marLeft w:val="0"/>
      <w:marRight w:val="0"/>
      <w:marTop w:val="0"/>
      <w:marBottom w:val="0"/>
      <w:divBdr>
        <w:top w:val="none" w:sz="0" w:space="0" w:color="auto"/>
        <w:left w:val="none" w:sz="0" w:space="0" w:color="auto"/>
        <w:bottom w:val="none" w:sz="0" w:space="0" w:color="auto"/>
        <w:right w:val="none" w:sz="0" w:space="0" w:color="auto"/>
      </w:divBdr>
    </w:div>
    <w:div w:id="797996696">
      <w:bodyDiv w:val="1"/>
      <w:marLeft w:val="0"/>
      <w:marRight w:val="0"/>
      <w:marTop w:val="0"/>
      <w:marBottom w:val="0"/>
      <w:divBdr>
        <w:top w:val="none" w:sz="0" w:space="0" w:color="auto"/>
        <w:left w:val="none" w:sz="0" w:space="0" w:color="auto"/>
        <w:bottom w:val="none" w:sz="0" w:space="0" w:color="auto"/>
        <w:right w:val="none" w:sz="0" w:space="0" w:color="auto"/>
      </w:divBdr>
    </w:div>
    <w:div w:id="814492450">
      <w:bodyDiv w:val="1"/>
      <w:marLeft w:val="0"/>
      <w:marRight w:val="0"/>
      <w:marTop w:val="0"/>
      <w:marBottom w:val="0"/>
      <w:divBdr>
        <w:top w:val="none" w:sz="0" w:space="0" w:color="auto"/>
        <w:left w:val="none" w:sz="0" w:space="0" w:color="auto"/>
        <w:bottom w:val="none" w:sz="0" w:space="0" w:color="auto"/>
        <w:right w:val="none" w:sz="0" w:space="0" w:color="auto"/>
      </w:divBdr>
    </w:div>
    <w:div w:id="851846521">
      <w:bodyDiv w:val="1"/>
      <w:marLeft w:val="0"/>
      <w:marRight w:val="0"/>
      <w:marTop w:val="0"/>
      <w:marBottom w:val="0"/>
      <w:divBdr>
        <w:top w:val="none" w:sz="0" w:space="0" w:color="auto"/>
        <w:left w:val="none" w:sz="0" w:space="0" w:color="auto"/>
        <w:bottom w:val="none" w:sz="0" w:space="0" w:color="auto"/>
        <w:right w:val="none" w:sz="0" w:space="0" w:color="auto"/>
      </w:divBdr>
    </w:div>
    <w:div w:id="880558768">
      <w:bodyDiv w:val="1"/>
      <w:marLeft w:val="0"/>
      <w:marRight w:val="0"/>
      <w:marTop w:val="0"/>
      <w:marBottom w:val="0"/>
      <w:divBdr>
        <w:top w:val="none" w:sz="0" w:space="0" w:color="auto"/>
        <w:left w:val="none" w:sz="0" w:space="0" w:color="auto"/>
        <w:bottom w:val="none" w:sz="0" w:space="0" w:color="auto"/>
        <w:right w:val="none" w:sz="0" w:space="0" w:color="auto"/>
      </w:divBdr>
    </w:div>
    <w:div w:id="945769581">
      <w:bodyDiv w:val="1"/>
      <w:marLeft w:val="0"/>
      <w:marRight w:val="0"/>
      <w:marTop w:val="0"/>
      <w:marBottom w:val="0"/>
      <w:divBdr>
        <w:top w:val="none" w:sz="0" w:space="0" w:color="auto"/>
        <w:left w:val="none" w:sz="0" w:space="0" w:color="auto"/>
        <w:bottom w:val="none" w:sz="0" w:space="0" w:color="auto"/>
        <w:right w:val="none" w:sz="0" w:space="0" w:color="auto"/>
      </w:divBdr>
    </w:div>
    <w:div w:id="955334257">
      <w:bodyDiv w:val="1"/>
      <w:marLeft w:val="0"/>
      <w:marRight w:val="0"/>
      <w:marTop w:val="0"/>
      <w:marBottom w:val="0"/>
      <w:divBdr>
        <w:top w:val="none" w:sz="0" w:space="0" w:color="auto"/>
        <w:left w:val="none" w:sz="0" w:space="0" w:color="auto"/>
        <w:bottom w:val="none" w:sz="0" w:space="0" w:color="auto"/>
        <w:right w:val="none" w:sz="0" w:space="0" w:color="auto"/>
      </w:divBdr>
    </w:div>
    <w:div w:id="1023089507">
      <w:bodyDiv w:val="1"/>
      <w:marLeft w:val="0"/>
      <w:marRight w:val="0"/>
      <w:marTop w:val="0"/>
      <w:marBottom w:val="0"/>
      <w:divBdr>
        <w:top w:val="none" w:sz="0" w:space="0" w:color="auto"/>
        <w:left w:val="none" w:sz="0" w:space="0" w:color="auto"/>
        <w:bottom w:val="none" w:sz="0" w:space="0" w:color="auto"/>
        <w:right w:val="none" w:sz="0" w:space="0" w:color="auto"/>
      </w:divBdr>
    </w:div>
    <w:div w:id="1044717535">
      <w:bodyDiv w:val="1"/>
      <w:marLeft w:val="0"/>
      <w:marRight w:val="0"/>
      <w:marTop w:val="0"/>
      <w:marBottom w:val="0"/>
      <w:divBdr>
        <w:top w:val="none" w:sz="0" w:space="0" w:color="auto"/>
        <w:left w:val="none" w:sz="0" w:space="0" w:color="auto"/>
        <w:bottom w:val="none" w:sz="0" w:space="0" w:color="auto"/>
        <w:right w:val="none" w:sz="0" w:space="0" w:color="auto"/>
      </w:divBdr>
    </w:div>
    <w:div w:id="1078870309">
      <w:bodyDiv w:val="1"/>
      <w:marLeft w:val="0"/>
      <w:marRight w:val="0"/>
      <w:marTop w:val="0"/>
      <w:marBottom w:val="0"/>
      <w:divBdr>
        <w:top w:val="none" w:sz="0" w:space="0" w:color="auto"/>
        <w:left w:val="none" w:sz="0" w:space="0" w:color="auto"/>
        <w:bottom w:val="none" w:sz="0" w:space="0" w:color="auto"/>
        <w:right w:val="none" w:sz="0" w:space="0" w:color="auto"/>
      </w:divBdr>
    </w:div>
    <w:div w:id="1199466273">
      <w:bodyDiv w:val="1"/>
      <w:marLeft w:val="0"/>
      <w:marRight w:val="0"/>
      <w:marTop w:val="0"/>
      <w:marBottom w:val="0"/>
      <w:divBdr>
        <w:top w:val="none" w:sz="0" w:space="0" w:color="auto"/>
        <w:left w:val="none" w:sz="0" w:space="0" w:color="auto"/>
        <w:bottom w:val="none" w:sz="0" w:space="0" w:color="auto"/>
        <w:right w:val="none" w:sz="0" w:space="0" w:color="auto"/>
      </w:divBdr>
    </w:div>
    <w:div w:id="1228954814">
      <w:bodyDiv w:val="1"/>
      <w:marLeft w:val="0"/>
      <w:marRight w:val="0"/>
      <w:marTop w:val="0"/>
      <w:marBottom w:val="0"/>
      <w:divBdr>
        <w:top w:val="none" w:sz="0" w:space="0" w:color="auto"/>
        <w:left w:val="none" w:sz="0" w:space="0" w:color="auto"/>
        <w:bottom w:val="none" w:sz="0" w:space="0" w:color="auto"/>
        <w:right w:val="none" w:sz="0" w:space="0" w:color="auto"/>
      </w:divBdr>
    </w:div>
    <w:div w:id="1270775637">
      <w:bodyDiv w:val="1"/>
      <w:marLeft w:val="0"/>
      <w:marRight w:val="0"/>
      <w:marTop w:val="0"/>
      <w:marBottom w:val="0"/>
      <w:divBdr>
        <w:top w:val="none" w:sz="0" w:space="0" w:color="auto"/>
        <w:left w:val="none" w:sz="0" w:space="0" w:color="auto"/>
        <w:bottom w:val="none" w:sz="0" w:space="0" w:color="auto"/>
        <w:right w:val="none" w:sz="0" w:space="0" w:color="auto"/>
      </w:divBdr>
    </w:div>
    <w:div w:id="1386680373">
      <w:bodyDiv w:val="1"/>
      <w:marLeft w:val="0"/>
      <w:marRight w:val="0"/>
      <w:marTop w:val="0"/>
      <w:marBottom w:val="0"/>
      <w:divBdr>
        <w:top w:val="none" w:sz="0" w:space="0" w:color="auto"/>
        <w:left w:val="none" w:sz="0" w:space="0" w:color="auto"/>
        <w:bottom w:val="none" w:sz="0" w:space="0" w:color="auto"/>
        <w:right w:val="none" w:sz="0" w:space="0" w:color="auto"/>
      </w:divBdr>
    </w:div>
    <w:div w:id="1450514377">
      <w:bodyDiv w:val="1"/>
      <w:marLeft w:val="0"/>
      <w:marRight w:val="0"/>
      <w:marTop w:val="0"/>
      <w:marBottom w:val="0"/>
      <w:divBdr>
        <w:top w:val="none" w:sz="0" w:space="0" w:color="auto"/>
        <w:left w:val="none" w:sz="0" w:space="0" w:color="auto"/>
        <w:bottom w:val="none" w:sz="0" w:space="0" w:color="auto"/>
        <w:right w:val="none" w:sz="0" w:space="0" w:color="auto"/>
      </w:divBdr>
    </w:div>
    <w:div w:id="1489007853">
      <w:bodyDiv w:val="1"/>
      <w:marLeft w:val="0"/>
      <w:marRight w:val="0"/>
      <w:marTop w:val="0"/>
      <w:marBottom w:val="0"/>
      <w:divBdr>
        <w:top w:val="none" w:sz="0" w:space="0" w:color="auto"/>
        <w:left w:val="none" w:sz="0" w:space="0" w:color="auto"/>
        <w:bottom w:val="none" w:sz="0" w:space="0" w:color="auto"/>
        <w:right w:val="none" w:sz="0" w:space="0" w:color="auto"/>
      </w:divBdr>
    </w:div>
    <w:div w:id="1568228753">
      <w:bodyDiv w:val="1"/>
      <w:marLeft w:val="0"/>
      <w:marRight w:val="0"/>
      <w:marTop w:val="0"/>
      <w:marBottom w:val="0"/>
      <w:divBdr>
        <w:top w:val="none" w:sz="0" w:space="0" w:color="auto"/>
        <w:left w:val="none" w:sz="0" w:space="0" w:color="auto"/>
        <w:bottom w:val="none" w:sz="0" w:space="0" w:color="auto"/>
        <w:right w:val="none" w:sz="0" w:space="0" w:color="auto"/>
      </w:divBdr>
    </w:div>
    <w:div w:id="1634945195">
      <w:bodyDiv w:val="1"/>
      <w:marLeft w:val="0"/>
      <w:marRight w:val="0"/>
      <w:marTop w:val="0"/>
      <w:marBottom w:val="0"/>
      <w:divBdr>
        <w:top w:val="none" w:sz="0" w:space="0" w:color="auto"/>
        <w:left w:val="none" w:sz="0" w:space="0" w:color="auto"/>
        <w:bottom w:val="none" w:sz="0" w:space="0" w:color="auto"/>
        <w:right w:val="none" w:sz="0" w:space="0" w:color="auto"/>
      </w:divBdr>
    </w:div>
    <w:div w:id="1662851059">
      <w:bodyDiv w:val="1"/>
      <w:marLeft w:val="0"/>
      <w:marRight w:val="0"/>
      <w:marTop w:val="0"/>
      <w:marBottom w:val="0"/>
      <w:divBdr>
        <w:top w:val="none" w:sz="0" w:space="0" w:color="auto"/>
        <w:left w:val="none" w:sz="0" w:space="0" w:color="auto"/>
        <w:bottom w:val="none" w:sz="0" w:space="0" w:color="auto"/>
        <w:right w:val="none" w:sz="0" w:space="0" w:color="auto"/>
      </w:divBdr>
    </w:div>
    <w:div w:id="1698193507">
      <w:bodyDiv w:val="1"/>
      <w:marLeft w:val="0"/>
      <w:marRight w:val="0"/>
      <w:marTop w:val="0"/>
      <w:marBottom w:val="0"/>
      <w:divBdr>
        <w:top w:val="none" w:sz="0" w:space="0" w:color="auto"/>
        <w:left w:val="none" w:sz="0" w:space="0" w:color="auto"/>
        <w:bottom w:val="none" w:sz="0" w:space="0" w:color="auto"/>
        <w:right w:val="none" w:sz="0" w:space="0" w:color="auto"/>
      </w:divBdr>
    </w:div>
    <w:div w:id="1727021196">
      <w:bodyDiv w:val="1"/>
      <w:marLeft w:val="0"/>
      <w:marRight w:val="0"/>
      <w:marTop w:val="0"/>
      <w:marBottom w:val="0"/>
      <w:divBdr>
        <w:top w:val="none" w:sz="0" w:space="0" w:color="auto"/>
        <w:left w:val="none" w:sz="0" w:space="0" w:color="auto"/>
        <w:bottom w:val="none" w:sz="0" w:space="0" w:color="auto"/>
        <w:right w:val="none" w:sz="0" w:space="0" w:color="auto"/>
      </w:divBdr>
    </w:div>
    <w:div w:id="1830512221">
      <w:bodyDiv w:val="1"/>
      <w:marLeft w:val="0"/>
      <w:marRight w:val="0"/>
      <w:marTop w:val="0"/>
      <w:marBottom w:val="0"/>
      <w:divBdr>
        <w:top w:val="none" w:sz="0" w:space="0" w:color="auto"/>
        <w:left w:val="none" w:sz="0" w:space="0" w:color="auto"/>
        <w:bottom w:val="none" w:sz="0" w:space="0" w:color="auto"/>
        <w:right w:val="none" w:sz="0" w:space="0" w:color="auto"/>
      </w:divBdr>
    </w:div>
    <w:div w:id="1961064414">
      <w:bodyDiv w:val="1"/>
      <w:marLeft w:val="0"/>
      <w:marRight w:val="0"/>
      <w:marTop w:val="0"/>
      <w:marBottom w:val="0"/>
      <w:divBdr>
        <w:top w:val="none" w:sz="0" w:space="0" w:color="auto"/>
        <w:left w:val="none" w:sz="0" w:space="0" w:color="auto"/>
        <w:bottom w:val="none" w:sz="0" w:space="0" w:color="auto"/>
        <w:right w:val="none" w:sz="0" w:space="0" w:color="auto"/>
      </w:divBdr>
      <w:divsChild>
        <w:div w:id="929854029">
          <w:marLeft w:val="0"/>
          <w:marRight w:val="0"/>
          <w:marTop w:val="0"/>
          <w:marBottom w:val="0"/>
          <w:divBdr>
            <w:top w:val="none" w:sz="0" w:space="0" w:color="auto"/>
            <w:left w:val="none" w:sz="0" w:space="0" w:color="auto"/>
            <w:bottom w:val="none" w:sz="0" w:space="0" w:color="auto"/>
            <w:right w:val="none" w:sz="0" w:space="0" w:color="auto"/>
          </w:divBdr>
          <w:divsChild>
            <w:div w:id="118912116">
              <w:marLeft w:val="-240"/>
              <w:marRight w:val="-120"/>
              <w:marTop w:val="0"/>
              <w:marBottom w:val="0"/>
              <w:divBdr>
                <w:top w:val="none" w:sz="0" w:space="0" w:color="auto"/>
                <w:left w:val="none" w:sz="0" w:space="0" w:color="auto"/>
                <w:bottom w:val="none" w:sz="0" w:space="0" w:color="auto"/>
                <w:right w:val="none" w:sz="0" w:space="0" w:color="auto"/>
              </w:divBdr>
              <w:divsChild>
                <w:div w:id="1993633633">
                  <w:marLeft w:val="0"/>
                  <w:marRight w:val="0"/>
                  <w:marTop w:val="0"/>
                  <w:marBottom w:val="60"/>
                  <w:divBdr>
                    <w:top w:val="none" w:sz="0" w:space="0" w:color="auto"/>
                    <w:left w:val="none" w:sz="0" w:space="0" w:color="auto"/>
                    <w:bottom w:val="none" w:sz="0" w:space="0" w:color="auto"/>
                    <w:right w:val="none" w:sz="0" w:space="0" w:color="auto"/>
                  </w:divBdr>
                  <w:divsChild>
                    <w:div w:id="1998528784">
                      <w:marLeft w:val="0"/>
                      <w:marRight w:val="0"/>
                      <w:marTop w:val="0"/>
                      <w:marBottom w:val="0"/>
                      <w:divBdr>
                        <w:top w:val="none" w:sz="0" w:space="0" w:color="auto"/>
                        <w:left w:val="none" w:sz="0" w:space="0" w:color="auto"/>
                        <w:bottom w:val="none" w:sz="0" w:space="0" w:color="auto"/>
                        <w:right w:val="none" w:sz="0" w:space="0" w:color="auto"/>
                      </w:divBdr>
                      <w:divsChild>
                        <w:div w:id="1938446132">
                          <w:marLeft w:val="0"/>
                          <w:marRight w:val="0"/>
                          <w:marTop w:val="0"/>
                          <w:marBottom w:val="0"/>
                          <w:divBdr>
                            <w:top w:val="none" w:sz="0" w:space="0" w:color="auto"/>
                            <w:left w:val="none" w:sz="0" w:space="0" w:color="auto"/>
                            <w:bottom w:val="none" w:sz="0" w:space="0" w:color="auto"/>
                            <w:right w:val="none" w:sz="0" w:space="0" w:color="auto"/>
                          </w:divBdr>
                          <w:divsChild>
                            <w:div w:id="344943373">
                              <w:marLeft w:val="0"/>
                              <w:marRight w:val="0"/>
                              <w:marTop w:val="0"/>
                              <w:marBottom w:val="0"/>
                              <w:divBdr>
                                <w:top w:val="none" w:sz="0" w:space="0" w:color="auto"/>
                                <w:left w:val="none" w:sz="0" w:space="0" w:color="auto"/>
                                <w:bottom w:val="none" w:sz="0" w:space="0" w:color="auto"/>
                                <w:right w:val="none" w:sz="0" w:space="0" w:color="auto"/>
                              </w:divBdr>
                              <w:divsChild>
                                <w:div w:id="883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07210">
          <w:marLeft w:val="0"/>
          <w:marRight w:val="0"/>
          <w:marTop w:val="0"/>
          <w:marBottom w:val="0"/>
          <w:divBdr>
            <w:top w:val="none" w:sz="0" w:space="0" w:color="auto"/>
            <w:left w:val="none" w:sz="0" w:space="0" w:color="auto"/>
            <w:bottom w:val="none" w:sz="0" w:space="0" w:color="auto"/>
            <w:right w:val="none" w:sz="0" w:space="0" w:color="auto"/>
          </w:divBdr>
        </w:div>
      </w:divsChild>
    </w:div>
    <w:div w:id="20078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j.rogelj@imperial.ac.uk" TargetMode="External"/><Relationship Id="rId17" Type="http://schemas.openxmlformats.org/officeDocument/2006/relationships/image" Target="media/image3.png"/><Relationship Id="rId25" Type="http://schemas.openxmlformats.org/officeDocument/2006/relationships/hyperlink" Target="https://github.com/marina-andrijevic/covid_recovery/tree/master/data"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na.andrijevic@hu-berlin.d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9.png"/><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E7D6-68F3-4233-9114-271D9518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22</Pages>
  <Words>6723</Words>
  <Characters>38323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44957</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Marina Andrijevic</cp:lastModifiedBy>
  <cp:revision>8</cp:revision>
  <cp:lastPrinted>2018-01-11T19:53:00Z</cp:lastPrinted>
  <dcterms:created xsi:type="dcterms:W3CDTF">2020-08-01T20:27:00Z</dcterms:created>
  <dcterms:modified xsi:type="dcterms:W3CDTF">2020-08-03T10:06:00Z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http://www.zotero.org/styles/environmental-research-letters</vt:lpwstr>
  </property>
  <property fmtid="{D5CDD505-2E9C-101B-9397-08002B2CF9AE}" pid="13" name="Mendeley Recent Style Name 5_1">
    <vt:lpwstr>Environmental Research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http://www.zotero.org/styles/science</vt:lpwstr>
  </property>
  <property fmtid="{D5CDD505-2E9C-101B-9397-08002B2CF9AE}" pid="24" name="Mendeley Unique User Id_1">
    <vt:lpwstr>f8584e83-1f55-36d9-ab05-9f1cf4f6401a</vt:lpwstr>
  </property>
</Properties>
</file>