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25B2F29C" w:rsidR="002C030F" w:rsidRDefault="002C030F" w:rsidP="00DE4E6E">
      <w:pPr>
        <w:ind w:left="720"/>
      </w:pPr>
      <w:r>
        <w:t>Table S1</w:t>
      </w:r>
      <w:r w:rsidR="009551A5">
        <w:t xml:space="preserve"> to S4</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7711092F"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w:t>
      </w:r>
      <w:r w:rsidR="0006034C">
        <w:t>9</w:t>
      </w:r>
      <w:r>
        <w:t xml:space="preserve">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59547782" w:rsidR="002254CD" w:rsidRDefault="002254CD" w:rsidP="00DE4E6E">
      <w:pPr>
        <w:pStyle w:val="SMcaption"/>
      </w:pPr>
      <w:r>
        <w:t>Annual energy investments compatible with the 1.5</w:t>
      </w:r>
      <w:r>
        <w:sym w:font="Symbol" w:char="F0B0"/>
      </w:r>
      <w:r>
        <w:t xml:space="preserve">C global mean temperature limit, and fiscal stimulus packages in response to COVID-19, expressed in </w:t>
      </w:r>
      <w:r w:rsidR="003E6756">
        <w:t xml:space="preserve">2019 </w:t>
      </w:r>
      <w:r>
        <w:t>USD, for five macro regions and the world (left) and four major economies (right).</w:t>
      </w:r>
    </w:p>
    <w:p w14:paraId="24D9184A" w14:textId="3785A2E1" w:rsidR="007C594E" w:rsidRDefault="007C594E">
      <w:r>
        <w:br w:type="page"/>
      </w:r>
    </w:p>
    <w:p w14:paraId="014F15D4" w14:textId="2794ABC4" w:rsidR="007C594E" w:rsidRDefault="0027044C" w:rsidP="007C594E">
      <w:pPr>
        <w:pStyle w:val="SMcaption"/>
        <w:keepNext/>
      </w:pPr>
      <w:r>
        <w:rPr>
          <w:noProof/>
        </w:rPr>
        <w:lastRenderedPageBreak/>
        <w:drawing>
          <wp:inline distT="0" distB="0" distL="0" distR="0" wp14:anchorId="0D8E57D2" wp14:editId="36BB50EF">
            <wp:extent cx="5943600" cy="45459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spread_2020202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0AF226EF" w14:textId="77777777" w:rsidR="009551A5" w:rsidRDefault="007C594E" w:rsidP="007C594E">
      <w:pPr>
        <w:pStyle w:val="Caption"/>
        <w:rPr>
          <w:sz w:val="24"/>
          <w:szCs w:val="24"/>
        </w:rPr>
      </w:pPr>
      <w:r w:rsidRPr="009551A5">
        <w:rPr>
          <w:sz w:val="24"/>
          <w:szCs w:val="24"/>
        </w:rPr>
        <w:t>Fig S8</w:t>
      </w:r>
      <w:r w:rsidR="00CF3012" w:rsidRPr="009551A5">
        <w:rPr>
          <w:sz w:val="24"/>
          <w:szCs w:val="24"/>
        </w:rPr>
        <w:t xml:space="preserve">: </w:t>
      </w:r>
    </w:p>
    <w:p w14:paraId="1CC65CF8" w14:textId="1B3CEA38" w:rsidR="007C594E" w:rsidRPr="009551A5" w:rsidRDefault="00CF3012" w:rsidP="007C594E">
      <w:pPr>
        <w:pStyle w:val="Caption"/>
        <w:rPr>
          <w:sz w:val="24"/>
          <w:szCs w:val="24"/>
          <w:lang w:val="en-DE"/>
        </w:rPr>
      </w:pPr>
      <w:r w:rsidRPr="009551A5">
        <w:rPr>
          <w:b w:val="0"/>
          <w:bCs w:val="0"/>
          <w:sz w:val="24"/>
          <w:szCs w:val="24"/>
        </w:rPr>
        <w:t>Model estimates for</w:t>
      </w:r>
      <w:r w:rsidR="0027044C" w:rsidRPr="009551A5">
        <w:rPr>
          <w:b w:val="0"/>
          <w:bCs w:val="0"/>
          <w:sz w:val="24"/>
          <w:szCs w:val="24"/>
        </w:rPr>
        <w:t xml:space="preserve"> annual</w:t>
      </w:r>
      <w:r w:rsidRPr="009551A5">
        <w:rPr>
          <w:b w:val="0"/>
          <w:bCs w:val="0"/>
          <w:sz w:val="24"/>
          <w:szCs w:val="24"/>
        </w:rPr>
        <w:t xml:space="preserve"> shifts in energy investments between current policies and a </w:t>
      </w:r>
      <w:r w:rsidRPr="009551A5">
        <w:rPr>
          <w:b w:val="0"/>
          <w:bCs w:val="0"/>
          <w:sz w:val="24"/>
          <w:szCs w:val="24"/>
        </w:rPr>
        <w:t>1.5</w:t>
      </w:r>
      <w:r w:rsidRPr="009551A5">
        <w:rPr>
          <w:b w:val="0"/>
          <w:bCs w:val="0"/>
          <w:sz w:val="24"/>
          <w:szCs w:val="24"/>
        </w:rPr>
        <w:sym w:font="Symbol" w:char="F0B0"/>
      </w:r>
      <w:r w:rsidRPr="009551A5">
        <w:rPr>
          <w:b w:val="0"/>
          <w:bCs w:val="0"/>
          <w:sz w:val="24"/>
          <w:szCs w:val="24"/>
        </w:rPr>
        <w:t>C</w:t>
      </w:r>
      <w:r w:rsidRPr="009551A5">
        <w:rPr>
          <w:b w:val="0"/>
          <w:bCs w:val="0"/>
          <w:sz w:val="24"/>
          <w:szCs w:val="24"/>
        </w:rPr>
        <w:t>-compatible pathway</w:t>
      </w:r>
      <w:r w:rsidR="0027044C" w:rsidRPr="009551A5">
        <w:rPr>
          <w:b w:val="0"/>
          <w:bCs w:val="0"/>
          <w:sz w:val="24"/>
          <w:szCs w:val="24"/>
        </w:rPr>
        <w:t>, for the period between 2020 and 2024</w:t>
      </w:r>
      <w:r w:rsidRPr="009551A5">
        <w:rPr>
          <w:b w:val="0"/>
          <w:bCs w:val="0"/>
          <w:sz w:val="24"/>
          <w:szCs w:val="24"/>
        </w:rPr>
        <w:t xml:space="preserve">. </w:t>
      </w:r>
      <w:r w:rsidRPr="009551A5">
        <w:rPr>
          <w:b w:val="0"/>
          <w:bCs w:val="0"/>
          <w:sz w:val="24"/>
          <w:szCs w:val="24"/>
        </w:rPr>
        <w:t>Bar</w:t>
      </w:r>
      <w:r w:rsidRPr="009551A5">
        <w:rPr>
          <w:b w:val="0"/>
          <w:bCs w:val="0"/>
          <w:sz w:val="24"/>
          <w:szCs w:val="24"/>
        </w:rPr>
        <w:t>s</w:t>
      </w:r>
      <w:r w:rsidRPr="009551A5">
        <w:rPr>
          <w:b w:val="0"/>
          <w:bCs w:val="0"/>
          <w:sz w:val="24"/>
          <w:szCs w:val="24"/>
        </w:rPr>
        <w:t xml:space="preserve"> represent multi-model means</w:t>
      </w:r>
      <w:r w:rsidRPr="009551A5">
        <w:rPr>
          <w:b w:val="0"/>
          <w:bCs w:val="0"/>
          <w:sz w:val="24"/>
          <w:szCs w:val="24"/>
        </w:rPr>
        <w:t xml:space="preserve"> and the</w:t>
      </w:r>
      <w:r w:rsidRPr="009551A5">
        <w:rPr>
          <w:b w:val="0"/>
          <w:bCs w:val="0"/>
          <w:sz w:val="24"/>
          <w:szCs w:val="24"/>
        </w:rPr>
        <w:t xml:space="preserve"> whiskers give the minimum–maximum ranges across the models</w:t>
      </w:r>
      <w:r w:rsidRPr="009551A5">
        <w:rPr>
          <w:b w:val="0"/>
          <w:bCs w:val="0"/>
          <w:sz w:val="24"/>
          <w:szCs w:val="24"/>
        </w:rPr>
        <w:t>.</w:t>
      </w:r>
    </w:p>
    <w:p w14:paraId="2E92BAB6" w14:textId="77777777" w:rsidR="007C594E" w:rsidRDefault="007C594E">
      <w:r>
        <w:br w:type="page"/>
      </w:r>
    </w:p>
    <w:p w14:paraId="17885842" w14:textId="090F380D" w:rsidR="007C594E" w:rsidRDefault="0027044C" w:rsidP="007C594E">
      <w:pPr>
        <w:keepNext/>
      </w:pPr>
      <w:r>
        <w:rPr>
          <w:noProof/>
        </w:rPr>
        <w:lastRenderedPageBreak/>
        <w:drawing>
          <wp:inline distT="0" distB="0" distL="0" distR="0" wp14:anchorId="27E61282" wp14:editId="16F3AB20">
            <wp:extent cx="5943600" cy="4545965"/>
            <wp:effectExtent l="0" t="0" r="0" b="63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spread_2020205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6ACB3F9F" w14:textId="77777777" w:rsidR="009551A5" w:rsidRDefault="007C594E" w:rsidP="007C594E">
      <w:pPr>
        <w:pStyle w:val="Caption"/>
        <w:rPr>
          <w:sz w:val="24"/>
          <w:szCs w:val="24"/>
        </w:rPr>
      </w:pPr>
      <w:r w:rsidRPr="009551A5">
        <w:rPr>
          <w:sz w:val="24"/>
          <w:szCs w:val="24"/>
        </w:rPr>
        <w:t>Fig. S9</w:t>
      </w:r>
      <w:r w:rsidR="00B165A3" w:rsidRPr="009551A5">
        <w:rPr>
          <w:sz w:val="24"/>
          <w:szCs w:val="24"/>
        </w:rPr>
        <w:t xml:space="preserve">: </w:t>
      </w:r>
    </w:p>
    <w:p w14:paraId="64AEA2C8" w14:textId="06CC6855" w:rsidR="007C594E" w:rsidRPr="009551A5" w:rsidRDefault="00B165A3" w:rsidP="007C594E">
      <w:pPr>
        <w:pStyle w:val="Caption"/>
        <w:rPr>
          <w:sz w:val="24"/>
          <w:szCs w:val="24"/>
        </w:rPr>
      </w:pPr>
      <w:r w:rsidRPr="009551A5">
        <w:rPr>
          <w:b w:val="0"/>
          <w:bCs w:val="0"/>
          <w:sz w:val="24"/>
          <w:szCs w:val="24"/>
        </w:rPr>
        <w:t>Model estimates for annual shifts in energy investments between current policies and a 1.5</w:t>
      </w:r>
      <w:r w:rsidRPr="009551A5">
        <w:rPr>
          <w:b w:val="0"/>
          <w:bCs w:val="0"/>
          <w:sz w:val="24"/>
          <w:szCs w:val="24"/>
        </w:rPr>
        <w:sym w:font="Symbol" w:char="F0B0"/>
      </w:r>
      <w:r w:rsidRPr="009551A5">
        <w:rPr>
          <w:b w:val="0"/>
          <w:bCs w:val="0"/>
          <w:sz w:val="24"/>
          <w:szCs w:val="24"/>
        </w:rPr>
        <w:t>C-compatible pathway, for the period between 2020 and 20</w:t>
      </w:r>
      <w:r w:rsidRPr="009551A5">
        <w:rPr>
          <w:b w:val="0"/>
          <w:bCs w:val="0"/>
          <w:sz w:val="24"/>
          <w:szCs w:val="24"/>
        </w:rPr>
        <w:t>50</w:t>
      </w:r>
      <w:r w:rsidRPr="009551A5">
        <w:rPr>
          <w:b w:val="0"/>
          <w:bCs w:val="0"/>
          <w:sz w:val="24"/>
          <w:szCs w:val="24"/>
        </w:rPr>
        <w:t>. Bars represent multi-model means and the whiskers give the minimum–maximum ranges across the models.</w:t>
      </w:r>
    </w:p>
    <w:p w14:paraId="0CB7F20E" w14:textId="7D71F31B" w:rsidR="00EC26B3" w:rsidRPr="009551A5" w:rsidRDefault="00EC26B3">
      <w:pPr>
        <w:rPr>
          <w:szCs w:val="24"/>
        </w:rPr>
      </w:pPr>
      <w:ins w:id="3" w:author="Marina Andrijevic" w:date="2020-08-01T22:24:00Z">
        <w:r w:rsidRPr="009551A5">
          <w:rPr>
            <w:szCs w:val="24"/>
          </w:rPr>
          <w:br w:type="page"/>
        </w:r>
      </w:ins>
    </w:p>
    <w:p w14:paraId="46E09258" w14:textId="77777777" w:rsidR="007C594E" w:rsidRDefault="007C594E">
      <w:pPr>
        <w:rPr>
          <w:ins w:id="4" w:author="Marina Andrijevic" w:date="2020-08-01T22:24:00Z"/>
        </w:rPr>
      </w:pP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t xml:space="preserve">Table S1: </w:t>
            </w:r>
          </w:p>
          <w:p w14:paraId="1846E656" w14:textId="3E0B4F59"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r w:rsidR="006D23EF">
              <w:rPr>
                <w:rFonts w:ascii="Times New Roman" w:hAnsi="Times New Roman" w:cs="Times New Roman"/>
                <w:b/>
                <w:bCs/>
                <w:sz w:val="20"/>
                <w:szCs w:val="20"/>
                <w:lang w:val="en-GB"/>
              </w:rPr>
              <w:t xml:space="preserve"> </w:t>
            </w:r>
            <w:r w:rsidR="00D0204B">
              <w:rPr>
                <w:rFonts w:ascii="Times New Roman" w:hAnsi="Times New Roman" w:cs="Times New Roman"/>
                <w:b/>
                <w:bCs/>
                <w:sz w:val="20"/>
                <w:szCs w:val="20"/>
                <w:lang w:val="en-GB"/>
              </w:rPr>
              <w:t>R</w:t>
            </w:r>
            <w:r w:rsidR="006D23EF">
              <w:rPr>
                <w:rFonts w:ascii="Times New Roman" w:hAnsi="Times New Roman" w:cs="Times New Roman"/>
                <w:b/>
                <w:bCs/>
                <w:sz w:val="20"/>
                <w:szCs w:val="20"/>
                <w:lang w:val="en-GB"/>
              </w:rPr>
              <w:t>eported in billions of US dollars.</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0AD5BA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r w:rsidR="0006034C">
              <w:rPr>
                <w:rFonts w:ascii="Times New Roman" w:hAnsi="Times New Roman" w:cs="Times New Roman"/>
                <w:sz w:val="20"/>
                <w:szCs w:val="20"/>
              </w:rPr>
              <w:t>:</w:t>
            </w:r>
          </w:p>
          <w:p w14:paraId="7E1C8F2A" w14:textId="133FD3D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 xml:space="preserve">Afghanistan, Bangladesh, Bhutan, Brunei Darussalam, Cambodia, China, China Hong Kong SAR, China Macao SAR, Democratic People's Republic of Korea, East Timor, India, Indonesia, Lao People's Democratic Republic, Malaysia, Maldives, Mongolia, </w:t>
            </w:r>
            <w:r w:rsidRPr="0006034C">
              <w:rPr>
                <w:rFonts w:ascii="Times New Roman" w:hAnsi="Times New Roman" w:cs="Times New Roman"/>
                <w:sz w:val="20"/>
                <w:szCs w:val="20"/>
              </w:rPr>
              <w:lastRenderedPageBreak/>
              <w:t>Myanmar, Nepal, Pakistan, Papua New Guinea, Philippines, Republic of Korea, Singapore, Sri Lanka, Taiwan, Thailand, Viet Nam</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lastRenderedPageBreak/>
              <w:t>LAM</w:t>
            </w:r>
          </w:p>
        </w:tc>
        <w:tc>
          <w:tcPr>
            <w:tcW w:w="7370" w:type="dxa"/>
          </w:tcPr>
          <w:p w14:paraId="3D766976"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r w:rsidR="0006034C">
              <w:rPr>
                <w:rFonts w:ascii="Times New Roman" w:hAnsi="Times New Roman" w:cs="Times New Roman"/>
                <w:sz w:val="20"/>
                <w:szCs w:val="20"/>
              </w:rPr>
              <w:t>:</w:t>
            </w:r>
          </w:p>
          <w:p w14:paraId="52A6B3B9" w14:textId="055EB0D2"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Argentina, Bahamas, Barbados, Belize, Bolivia, Brazil, Chile, Colombia, Costa Rica, Cuba, Dominican Republic, Ecuador, El Salvador, Guadeloupe, Guatemala, Guyana, Haiti, Honduras, Jamaica, Martinique, Mexico, Netherlands Antilles, Nicaragua, Panama, Paraguay, Peru, Puerto Rico, Suriname, Trinidad and Tobago, Uruguay, Venezuela</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4A3C6DF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r w:rsidR="0006034C">
              <w:rPr>
                <w:rFonts w:ascii="Times New Roman" w:hAnsi="Times New Roman" w:cs="Times New Roman"/>
                <w:sz w:val="20"/>
                <w:szCs w:val="20"/>
              </w:rPr>
              <w:t>:</w:t>
            </w:r>
          </w:p>
          <w:p w14:paraId="630436FE" w14:textId="7F0551AF"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Algeria, Angola, Bahrain, Benin, Botswana, Burkina Faso, Burundi, Cameroon, Cape Verde, Central African Republic, Chad, Comoros, Congo, Cote d'Ivoire, Democratic Republic of the Congo, Djibouti, Egypt, Equatorial Guinea, Eritrea, Ethiopia, Gabon, Gambia, Ghana, Guinea, Guinea-Bissau, Iran (Islamic Republic of), Iraq, Israel, Jordan, Kenya, Kuwait, Lebanon, Lesotho, Liberia, Libyan Arab Jamahiriya, Madagascar, Malawi, Mali, Mauritania, Mauritius, Morocco, Mozambique, Namibia, Niger, Nigeria, Oman, Qatar, Reunion, Rwanda, Saudi Arabia, Senegal, Sierra Leone, Somalia, South Africa, Sudan, Swaziland, Syrian Arab Republic, Togo, Tunisia, Uganda, United Arab Emirates, United Republic of Tanzania, Western Sahara, Yemen, Zambia, Zimbabwe</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5C4F1559" w14:textId="77777777" w:rsidR="0006034C"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r w:rsidR="0006034C">
              <w:rPr>
                <w:rFonts w:ascii="Times New Roman" w:hAnsi="Times New Roman" w:cs="Times New Roman"/>
                <w:sz w:val="20"/>
                <w:szCs w:val="20"/>
              </w:rPr>
              <w:t>:</w:t>
            </w:r>
          </w:p>
          <w:p w14:paraId="5E6EF53B" w14:textId="77777777" w:rsidR="0006034C" w:rsidRDefault="0006034C" w:rsidP="00DE4E6E">
            <w:pPr>
              <w:pStyle w:val="SMcaption"/>
              <w:rPr>
                <w:rFonts w:ascii="Times New Roman" w:hAnsi="Times New Roman" w:cs="Times New Roman"/>
                <w:sz w:val="20"/>
                <w:szCs w:val="20"/>
              </w:rPr>
            </w:pPr>
          </w:p>
          <w:p w14:paraId="19D66D0B" w14:textId="61C2D13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Albania, Australia, Austria, Belgium, Bosnia and Herzegovina, Bulgaria, Canada, Croatia, Cyprus, Czech Republic, Denmark, Estonia, Fiji, Finland, France, French Polynesia, Germany, Greece, Guam, Hungary, Iceland, Ireland, Italy, Japan, Latvia, Lithuania, Luxembourg, Malta, Macedonia, Montenegro, Netherlands, New Caledonia, New Zealand, Norway, Poland, Portugal, Romania, Samoa, Serbia, Slovakia, Slovenia, Solomon Islands, Spain, Sweden, Switzerland, Turkey, United Kingdom, United States of America, Vanuatu</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733D773D"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r w:rsidR="0006034C">
              <w:rPr>
                <w:rFonts w:ascii="Times New Roman" w:hAnsi="Times New Roman" w:cs="Times New Roman"/>
                <w:sz w:val="20"/>
                <w:szCs w:val="20"/>
              </w:rPr>
              <w:t>:</w:t>
            </w:r>
          </w:p>
          <w:p w14:paraId="19BB57CB" w14:textId="27D8154D"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Armenia, Azerbaijan, Belarus, Georgia, Kazakhstan, Kyrgyzstan, Republic of Moldova, Russian Federation, Tajikistan, Turkmenistan, Ukraine, Uzbekistan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4B71581F"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r w:rsidR="0006034C">
              <w:rPr>
                <w:rFonts w:ascii="Times New Roman" w:hAnsi="Times New Roman" w:cs="Times New Roman"/>
                <w:sz w:val="20"/>
              </w:rPr>
              <w:t xml:space="preserve"> (without the United Kingdom)</w:t>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lastRenderedPageBreak/>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Despite the order of magnitude difference in these numbers, there is an important additional part to this story: increases in low-carbon investments would have to be accompanied by di-vestments from high-carbon fossil-fuels in the range of 280 billion USD per year over the 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5FE738CE" w:rsidR="00705C71" w:rsidRPr="00705C71" w:rsidRDefault="00B165A3" w:rsidP="00DE4E6E">
            <w:pPr>
              <w:pStyle w:val="Paragraph"/>
              <w:jc w:val="left"/>
              <w:rPr>
                <w:rFonts w:ascii="Times New Roman" w:hAnsi="Times New Roman" w:cs="Times New Roman"/>
                <w:sz w:val="20"/>
                <w:szCs w:val="20"/>
              </w:rPr>
            </w:pPr>
            <w:r w:rsidRPr="00B165A3">
              <w:rPr>
                <w:rFonts w:ascii="Times New Roman" w:hAnsi="Times New Roman" w:cs="Times New Roman"/>
                <w:sz w:val="20"/>
                <w:szCs w:val="20"/>
              </w:rPr>
              <w:t>Developing economies are in a different situation.</w:t>
            </w:r>
            <w:r>
              <w:t xml:space="preserve"> </w:t>
            </w:r>
            <w:r w:rsidRPr="00B165A3">
              <w:rPr>
                <w:rFonts w:ascii="Times New Roman" w:hAnsi="Times New Roman" w:cs="Times New Roman"/>
                <w:sz w:val="20"/>
                <w:szCs w:val="20"/>
              </w:rPr>
              <w:t>So far, the combined stimulus available to low and lower-middle income countries amounts to only a tiny fraction (about 2.5%) of total stimulus and even including upper-middle income economies raises this share to 15% only.</w:t>
            </w:r>
            <w:r>
              <w:rPr>
                <w:rFonts w:ascii="Times New Roman" w:hAnsi="Times New Roman" w:cs="Times New Roman"/>
                <w:sz w:val="20"/>
                <w:szCs w:val="20"/>
              </w:rPr>
              <w:t xml:space="preserve"> </w:t>
            </w:r>
            <w:r w:rsidRPr="00B165A3">
              <w:rPr>
                <w:rFonts w:ascii="Times New Roman" w:hAnsi="Times New Roman" w:cs="Times New Roman"/>
                <w:sz w:val="20"/>
                <w:szCs w:val="20"/>
              </w:rPr>
              <w:t>This discrepancy will not only affect developing countries’ ability to recover from the COVID-19 crisis but also the world’s collective ability to achieve the Paris Agreement climate goals</w:t>
            </w:r>
            <w:r>
              <w:rPr>
                <w:rFonts w:ascii="Times New Roman" w:hAnsi="Times New Roman" w:cs="Times New Roman"/>
                <w:sz w:val="20"/>
                <w:szCs w:val="20"/>
              </w:rPr>
              <w:t>.</w:t>
            </w:r>
          </w:p>
        </w:tc>
        <w:tc>
          <w:tcPr>
            <w:tcW w:w="4615" w:type="dxa"/>
          </w:tcPr>
          <w:p w14:paraId="6A5858EF" w14:textId="2C986395" w:rsidR="00705C71" w:rsidRPr="00705C71" w:rsidRDefault="00B165A3" w:rsidP="00DE4E6E">
            <w:pPr>
              <w:pStyle w:val="SMcaption"/>
              <w:rPr>
                <w:rFonts w:ascii="Times New Roman" w:hAnsi="Times New Roman" w:cs="Times New Roman"/>
                <w:sz w:val="20"/>
                <w:szCs w:val="20"/>
              </w:rPr>
            </w:pPr>
            <w:r>
              <w:rPr>
                <w:rFonts w:ascii="Times New Roman" w:hAnsi="Times New Roman" w:cs="Times New Roman"/>
                <w:sz w:val="20"/>
                <w:szCs w:val="20"/>
              </w:rPr>
              <w:t>Here we aggregate stimulus over the four income groups as classified by the World Bank, and express it as a share of the global stimulus. See table S4 for each group’s numbers.</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 xml:space="preserve">For example, India’s total annual low-carbon energy investment needs relative to its GDP are about 4 times higher than those of the EU, while the </w:t>
            </w:r>
            <w:r w:rsidRPr="00C3273B">
              <w:rPr>
                <w:rFonts w:ascii="Times New Roman" w:hAnsi="Times New Roman" w:cs="Times New Roman"/>
                <w:sz w:val="20"/>
                <w:szCs w:val="20"/>
              </w:rPr>
              <w:lastRenderedPageBreak/>
              <w:t>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We compare the energy investment needs shown on Fig. S6 (right set of panels, for the EU and India (IND)),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1, Fig. S6</w:t>
            </w:r>
          </w:p>
        </w:tc>
      </w:tr>
    </w:tbl>
    <w:p w14:paraId="3D015A9C" w14:textId="688C3A6D" w:rsidR="00E97569" w:rsidRDefault="00E97569" w:rsidP="00DE4E6E">
      <w:pPr>
        <w:pStyle w:val="SMcaption"/>
      </w:pPr>
    </w:p>
    <w:p w14:paraId="66AA6912" w14:textId="5AA1BE0D" w:rsidR="00B165A3" w:rsidRDefault="00B165A3" w:rsidP="00DE4E6E">
      <w:pPr>
        <w:pStyle w:val="SMcaption"/>
      </w:pPr>
    </w:p>
    <w:p w14:paraId="0A04D556" w14:textId="76790B32" w:rsidR="00B165A3" w:rsidRDefault="00B165A3" w:rsidP="00DE4E6E">
      <w:pPr>
        <w:pStyle w:val="SMcaption"/>
      </w:pPr>
    </w:p>
    <w:tbl>
      <w:tblPr>
        <w:tblStyle w:val="TableGrid"/>
        <w:tblW w:w="9363" w:type="dxa"/>
        <w:tblLook w:val="04A0" w:firstRow="1" w:lastRow="0" w:firstColumn="1" w:lastColumn="0" w:noHBand="0" w:noVBand="1"/>
      </w:tblPr>
      <w:tblGrid>
        <w:gridCol w:w="2839"/>
        <w:gridCol w:w="1332"/>
        <w:gridCol w:w="2217"/>
        <w:gridCol w:w="2975"/>
      </w:tblGrid>
      <w:tr w:rsidR="00B165A3" w:rsidRPr="00B165A3" w14:paraId="0AB997F4" w14:textId="77777777" w:rsidTr="00B165A3">
        <w:trPr>
          <w:trHeight w:val="301"/>
        </w:trPr>
        <w:tc>
          <w:tcPr>
            <w:tcW w:w="9363" w:type="dxa"/>
            <w:gridSpan w:val="4"/>
            <w:noWrap/>
          </w:tcPr>
          <w:p w14:paraId="03450ABD" w14:textId="0F72C52B" w:rsidR="00B165A3" w:rsidRPr="00B165A3" w:rsidRDefault="00B165A3" w:rsidP="00B165A3">
            <w:pPr>
              <w:pStyle w:val="SMcaption"/>
              <w:rPr>
                <w:rFonts w:ascii="Times New Roman" w:hAnsi="Times New Roman" w:cs="Times New Roman"/>
                <w:b/>
                <w:bCs/>
                <w:sz w:val="20"/>
                <w:szCs w:val="20"/>
              </w:rPr>
            </w:pPr>
            <w:r w:rsidRPr="00B165A3">
              <w:rPr>
                <w:rFonts w:ascii="Times New Roman" w:hAnsi="Times New Roman" w:cs="Times New Roman"/>
                <w:b/>
                <w:bCs/>
                <w:sz w:val="20"/>
                <w:szCs w:val="20"/>
              </w:rPr>
              <w:t>Table S4: Stimulus packages across four income groups following the World Bank’s income classification</w:t>
            </w:r>
          </w:p>
        </w:tc>
      </w:tr>
      <w:tr w:rsidR="00B165A3" w:rsidRPr="00B165A3" w14:paraId="28F77ACD" w14:textId="77777777" w:rsidTr="00B165A3">
        <w:trPr>
          <w:trHeight w:val="301"/>
        </w:trPr>
        <w:tc>
          <w:tcPr>
            <w:tcW w:w="2839" w:type="dxa"/>
            <w:noWrap/>
            <w:hideMark/>
          </w:tcPr>
          <w:p w14:paraId="5639F05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Income Group</w:t>
            </w:r>
          </w:p>
        </w:tc>
        <w:tc>
          <w:tcPr>
            <w:tcW w:w="1332" w:type="dxa"/>
            <w:noWrap/>
            <w:hideMark/>
          </w:tcPr>
          <w:p w14:paraId="07C653BD"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Stimulus</w:t>
            </w:r>
          </w:p>
        </w:tc>
        <w:tc>
          <w:tcPr>
            <w:tcW w:w="2216" w:type="dxa"/>
            <w:noWrap/>
            <w:hideMark/>
          </w:tcPr>
          <w:p w14:paraId="5E871F1F"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Global stimulus</w:t>
            </w:r>
          </w:p>
        </w:tc>
        <w:tc>
          <w:tcPr>
            <w:tcW w:w="2974" w:type="dxa"/>
            <w:noWrap/>
            <w:hideMark/>
          </w:tcPr>
          <w:p w14:paraId="00C1E193" w14:textId="3F351B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Share of global</w:t>
            </w:r>
          </w:p>
        </w:tc>
      </w:tr>
      <w:tr w:rsidR="00B165A3" w:rsidRPr="00B165A3" w14:paraId="49F09210" w14:textId="77777777" w:rsidTr="00B165A3">
        <w:trPr>
          <w:trHeight w:val="301"/>
        </w:trPr>
        <w:tc>
          <w:tcPr>
            <w:tcW w:w="2839" w:type="dxa"/>
            <w:noWrap/>
            <w:hideMark/>
          </w:tcPr>
          <w:p w14:paraId="392EDF5E" w14:textId="77777777" w:rsidR="00B165A3" w:rsidRPr="00B165A3" w:rsidRDefault="00B165A3" w:rsidP="00B165A3">
            <w:pPr>
              <w:pStyle w:val="SMcaption"/>
              <w:rPr>
                <w:rFonts w:ascii="Times New Roman" w:hAnsi="Times New Roman" w:cs="Times New Roman"/>
                <w:sz w:val="20"/>
                <w:szCs w:val="20"/>
              </w:rPr>
            </w:pPr>
          </w:p>
        </w:tc>
        <w:tc>
          <w:tcPr>
            <w:tcW w:w="3549" w:type="dxa"/>
            <w:gridSpan w:val="2"/>
            <w:noWrap/>
            <w:hideMark/>
          </w:tcPr>
          <w:p w14:paraId="563BF6C5"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USD billion</w:t>
            </w:r>
          </w:p>
        </w:tc>
        <w:tc>
          <w:tcPr>
            <w:tcW w:w="2974" w:type="dxa"/>
            <w:noWrap/>
            <w:hideMark/>
          </w:tcPr>
          <w:p w14:paraId="5576CF03" w14:textId="77777777" w:rsidR="00B165A3" w:rsidRPr="00B165A3" w:rsidRDefault="00B165A3" w:rsidP="00B165A3">
            <w:pPr>
              <w:pStyle w:val="SMcaption"/>
              <w:rPr>
                <w:rFonts w:ascii="Times New Roman" w:hAnsi="Times New Roman" w:cs="Times New Roman"/>
                <w:sz w:val="20"/>
                <w:szCs w:val="20"/>
              </w:rPr>
            </w:pPr>
          </w:p>
        </w:tc>
      </w:tr>
      <w:tr w:rsidR="00B165A3" w:rsidRPr="00B165A3" w14:paraId="41646BB3" w14:textId="77777777" w:rsidTr="00B165A3">
        <w:trPr>
          <w:trHeight w:val="301"/>
        </w:trPr>
        <w:tc>
          <w:tcPr>
            <w:tcW w:w="2839" w:type="dxa"/>
            <w:noWrap/>
            <w:hideMark/>
          </w:tcPr>
          <w:p w14:paraId="2D203FD6"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 income</w:t>
            </w:r>
          </w:p>
        </w:tc>
        <w:tc>
          <w:tcPr>
            <w:tcW w:w="1332" w:type="dxa"/>
            <w:noWrap/>
            <w:hideMark/>
          </w:tcPr>
          <w:p w14:paraId="493DCE4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5</w:t>
            </w:r>
          </w:p>
        </w:tc>
        <w:tc>
          <w:tcPr>
            <w:tcW w:w="2216" w:type="dxa"/>
            <w:noWrap/>
            <w:hideMark/>
          </w:tcPr>
          <w:p w14:paraId="631F7C51"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49F1194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0.04%</w:t>
            </w:r>
          </w:p>
        </w:tc>
      </w:tr>
      <w:tr w:rsidR="00B165A3" w:rsidRPr="00B165A3" w14:paraId="1F90D0F1" w14:textId="77777777" w:rsidTr="00B165A3">
        <w:trPr>
          <w:trHeight w:val="301"/>
        </w:trPr>
        <w:tc>
          <w:tcPr>
            <w:tcW w:w="2839" w:type="dxa"/>
            <w:noWrap/>
            <w:hideMark/>
          </w:tcPr>
          <w:p w14:paraId="44848BDE"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Lower middle income</w:t>
            </w:r>
          </w:p>
        </w:tc>
        <w:tc>
          <w:tcPr>
            <w:tcW w:w="1332" w:type="dxa"/>
            <w:noWrap/>
            <w:hideMark/>
          </w:tcPr>
          <w:p w14:paraId="2BF69552"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306</w:t>
            </w:r>
          </w:p>
        </w:tc>
        <w:tc>
          <w:tcPr>
            <w:tcW w:w="2216" w:type="dxa"/>
            <w:noWrap/>
            <w:hideMark/>
          </w:tcPr>
          <w:p w14:paraId="2DCB442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6A0366EF"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2.45%</w:t>
            </w:r>
          </w:p>
        </w:tc>
      </w:tr>
      <w:tr w:rsidR="00B165A3" w:rsidRPr="00B165A3" w14:paraId="2CEC7013" w14:textId="77777777" w:rsidTr="00B165A3">
        <w:trPr>
          <w:trHeight w:val="301"/>
        </w:trPr>
        <w:tc>
          <w:tcPr>
            <w:tcW w:w="2839" w:type="dxa"/>
            <w:noWrap/>
            <w:hideMark/>
          </w:tcPr>
          <w:p w14:paraId="11AC798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Upper middle income</w:t>
            </w:r>
          </w:p>
        </w:tc>
        <w:tc>
          <w:tcPr>
            <w:tcW w:w="1332" w:type="dxa"/>
            <w:noWrap/>
            <w:hideMark/>
          </w:tcPr>
          <w:p w14:paraId="20BF10E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1593</w:t>
            </w:r>
          </w:p>
        </w:tc>
        <w:tc>
          <w:tcPr>
            <w:tcW w:w="2216" w:type="dxa"/>
            <w:noWrap/>
            <w:hideMark/>
          </w:tcPr>
          <w:p w14:paraId="5CF9289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5D980B0A"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12.79%</w:t>
            </w:r>
          </w:p>
        </w:tc>
      </w:tr>
      <w:tr w:rsidR="00B165A3" w:rsidRPr="00B165A3" w14:paraId="76350C8D" w14:textId="77777777" w:rsidTr="00B165A3">
        <w:trPr>
          <w:trHeight w:val="301"/>
        </w:trPr>
        <w:tc>
          <w:tcPr>
            <w:tcW w:w="2839" w:type="dxa"/>
            <w:noWrap/>
            <w:hideMark/>
          </w:tcPr>
          <w:p w14:paraId="059462E5"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High income</w:t>
            </w:r>
          </w:p>
        </w:tc>
        <w:tc>
          <w:tcPr>
            <w:tcW w:w="1332" w:type="dxa"/>
            <w:noWrap/>
            <w:hideMark/>
          </w:tcPr>
          <w:p w14:paraId="28A2A470"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10552</w:t>
            </w:r>
          </w:p>
        </w:tc>
        <w:tc>
          <w:tcPr>
            <w:tcW w:w="2216" w:type="dxa"/>
            <w:noWrap/>
            <w:hideMark/>
          </w:tcPr>
          <w:p w14:paraId="028B2DD7"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306A39B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84.72%</w:t>
            </w:r>
          </w:p>
        </w:tc>
      </w:tr>
    </w:tbl>
    <w:p w14:paraId="1CAF7DE5" w14:textId="77777777" w:rsidR="00B165A3" w:rsidRPr="002D4B0E" w:rsidRDefault="00B165A3"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6E2B1F40" w:rsidR="002254CD" w:rsidRDefault="002254CD" w:rsidP="00DE4E6E">
      <w:r>
        <w:t xml:space="preserve">All data </w:t>
      </w:r>
      <w:r w:rsidR="009551A5">
        <w:t xml:space="preserve">and code </w:t>
      </w:r>
      <w:r>
        <w:t xml:space="preserve">underlying this analysis are available at: </w:t>
      </w:r>
      <w:hyperlink r:id="rId25" w:history="1">
        <w:r w:rsidR="009551A5" w:rsidRPr="00BD45B4">
          <w:rPr>
            <w:rStyle w:val="Hyperlink"/>
          </w:rPr>
          <w:t>https://github.com/marina-andrijevic/covid_recovery/tree/master</w:t>
        </w:r>
      </w:hyperlink>
    </w:p>
    <w:p w14:paraId="6E540121" w14:textId="77777777" w:rsidR="009551A5" w:rsidRDefault="009551A5" w:rsidP="00DE4E6E"/>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3E6756" w:rsidRDefault="003E6756">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C2E1" w14:textId="77777777" w:rsidR="001D1758" w:rsidRDefault="001D1758">
      <w:r>
        <w:separator/>
      </w:r>
    </w:p>
  </w:endnote>
  <w:endnote w:type="continuationSeparator" w:id="0">
    <w:p w14:paraId="6B60364E" w14:textId="77777777" w:rsidR="001D1758" w:rsidRDefault="001D1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3E6756" w:rsidRDefault="003E6756">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3E6756" w:rsidRDefault="003E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4ADD2" w14:textId="77777777" w:rsidR="001D1758" w:rsidRDefault="001D1758">
      <w:r>
        <w:separator/>
      </w:r>
    </w:p>
  </w:footnote>
  <w:footnote w:type="continuationSeparator" w:id="0">
    <w:p w14:paraId="48DD469D" w14:textId="77777777" w:rsidR="001D1758" w:rsidRDefault="001D1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3E6756" w:rsidRPr="005001AC" w:rsidRDefault="003E6756" w:rsidP="005001AC">
    <w:pPr>
      <w:jc w:val="right"/>
      <w:rPr>
        <w:sz w:val="20"/>
      </w:rPr>
    </w:pPr>
  </w:p>
  <w:p w14:paraId="3CD866EE" w14:textId="77777777" w:rsidR="003E6756" w:rsidRDefault="003E6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034C"/>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D1758"/>
    <w:rsid w:val="001F0876"/>
    <w:rsid w:val="001F167C"/>
    <w:rsid w:val="001F5E91"/>
    <w:rsid w:val="002077B9"/>
    <w:rsid w:val="002248D7"/>
    <w:rsid w:val="002254CD"/>
    <w:rsid w:val="00262D72"/>
    <w:rsid w:val="0027044C"/>
    <w:rsid w:val="00294FBB"/>
    <w:rsid w:val="002C030F"/>
    <w:rsid w:val="002C5DE8"/>
    <w:rsid w:val="002D4B0E"/>
    <w:rsid w:val="00331D75"/>
    <w:rsid w:val="00355362"/>
    <w:rsid w:val="00363E44"/>
    <w:rsid w:val="003755FE"/>
    <w:rsid w:val="00395E86"/>
    <w:rsid w:val="003A2FD8"/>
    <w:rsid w:val="003B40E6"/>
    <w:rsid w:val="003B44B6"/>
    <w:rsid w:val="003C0083"/>
    <w:rsid w:val="003E6756"/>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864BE"/>
    <w:rsid w:val="005A558C"/>
    <w:rsid w:val="005E28F8"/>
    <w:rsid w:val="005E6513"/>
    <w:rsid w:val="00614061"/>
    <w:rsid w:val="00651114"/>
    <w:rsid w:val="00663B16"/>
    <w:rsid w:val="00664560"/>
    <w:rsid w:val="00670299"/>
    <w:rsid w:val="00691985"/>
    <w:rsid w:val="00692DD6"/>
    <w:rsid w:val="006A1B64"/>
    <w:rsid w:val="006D23EF"/>
    <w:rsid w:val="00705C71"/>
    <w:rsid w:val="007108F5"/>
    <w:rsid w:val="00713E5B"/>
    <w:rsid w:val="007324FE"/>
    <w:rsid w:val="007402FC"/>
    <w:rsid w:val="007411A1"/>
    <w:rsid w:val="00793072"/>
    <w:rsid w:val="007C594E"/>
    <w:rsid w:val="007D4CB9"/>
    <w:rsid w:val="00807D35"/>
    <w:rsid w:val="008218C4"/>
    <w:rsid w:val="00867A98"/>
    <w:rsid w:val="00870867"/>
    <w:rsid w:val="00882200"/>
    <w:rsid w:val="00885C9B"/>
    <w:rsid w:val="008A5C42"/>
    <w:rsid w:val="008D5D2A"/>
    <w:rsid w:val="00914B63"/>
    <w:rsid w:val="009354F3"/>
    <w:rsid w:val="0093703E"/>
    <w:rsid w:val="009447DC"/>
    <w:rsid w:val="009551A5"/>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165A3"/>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3012"/>
    <w:rsid w:val="00CF5C2F"/>
    <w:rsid w:val="00D0204B"/>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F125EE"/>
    <w:rsid w:val="00F12E98"/>
    <w:rsid w:val="00F22029"/>
    <w:rsid w:val="00F33CF5"/>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15005514">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3434413">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12536162">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14492450">
      <w:bodyDiv w:val="1"/>
      <w:marLeft w:val="0"/>
      <w:marRight w:val="0"/>
      <w:marTop w:val="0"/>
      <w:marBottom w:val="0"/>
      <w:divBdr>
        <w:top w:val="none" w:sz="0" w:space="0" w:color="auto"/>
        <w:left w:val="none" w:sz="0" w:space="0" w:color="auto"/>
        <w:bottom w:val="none" w:sz="0" w:space="0" w:color="auto"/>
        <w:right w:val="none" w:sz="0" w:space="0" w:color="auto"/>
      </w:divBdr>
    </w:div>
    <w:div w:id="851846521">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386680373">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489007853">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34945195">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698193507">
      <w:bodyDiv w:val="1"/>
      <w:marLeft w:val="0"/>
      <w:marRight w:val="0"/>
      <w:marTop w:val="0"/>
      <w:marBottom w:val="0"/>
      <w:divBdr>
        <w:top w:val="none" w:sz="0" w:space="0" w:color="auto"/>
        <w:left w:val="none" w:sz="0" w:space="0" w:color="auto"/>
        <w:bottom w:val="none" w:sz="0" w:space="0" w:color="auto"/>
        <w:right w:val="none" w:sz="0" w:space="0" w:color="auto"/>
      </w:divBdr>
    </w:div>
    <w:div w:id="1727021196">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openxmlformats.org/officeDocument/2006/relationships/hyperlink" Target="https://github.com/marina-andrijevic/covid_recovery/tree/mas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22</Pages>
  <Words>6724</Words>
  <Characters>38330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44965</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10</cp:revision>
  <cp:lastPrinted>2018-01-11T19:53:00Z</cp:lastPrinted>
  <dcterms:created xsi:type="dcterms:W3CDTF">2020-08-01T20:27:00Z</dcterms:created>
  <dcterms:modified xsi:type="dcterms:W3CDTF">2020-08-03T10:15:00Z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