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219CCFBA" w:rsidR="003B44B6" w:rsidRPr="003B44B6" w:rsidRDefault="000C62C2" w:rsidP="00DE4E6E">
      <w:pPr>
        <w:jc w:val="center"/>
        <w:rPr>
          <w:sz w:val="28"/>
          <w:szCs w:val="28"/>
        </w:rPr>
      </w:pPr>
      <w:r w:rsidRPr="000C62C2">
        <w:rPr>
          <w:sz w:val="28"/>
          <w:szCs w:val="28"/>
        </w:rPr>
        <w: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Marina Andrijevic, Carl-Friedrich Schleussner, Matthew Gidden, David L. McCollum, Joeri Rogelj</w:t>
      </w:r>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r w:rsidRPr="0096329F">
        <w:rPr>
          <w:u w:val="none"/>
        </w:rPr>
        <w:t>MESSAGEix-GLOBIOM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REMIND-MAgPIE</w:t>
      </w:r>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51AD6125" w:rsidR="00017FEF" w:rsidRPr="00F33CF5" w:rsidRDefault="00017FEF" w:rsidP="00017FEF">
      <w:pPr>
        <w:pStyle w:val="SMSubheading"/>
        <w:rPr>
          <w:u w:val="none"/>
        </w:rPr>
      </w:pPr>
      <w:r w:rsidRPr="00F33CF5">
        <w:rPr>
          <w:u w:val="none"/>
        </w:rPr>
        <w:t>In this analysis, for purposes of quantifying highly uncertain ‘demand-side’, or ‘energy efficiency-increasing’ investments, we inherit the methodology of McCollum et al. (2018)</w:t>
      </w:r>
      <w:r w:rsidR="00F97E43">
        <w:rPr>
          <w:u w:val="none"/>
        </w:rPr>
        <w:t xml:space="preserve"> (reference </w:t>
      </w:r>
      <w:r w:rsidR="00F97E43">
        <w:rPr>
          <w:u w:val="none"/>
        </w:rPr>
        <w:fldChar w:fldCharType="begin" w:fldLock="1"/>
      </w:r>
      <w:r w:rsidR="00F97E43">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sidR="00F97E43">
        <w:rPr>
          <w:u w:val="none"/>
        </w:rPr>
        <w:fldChar w:fldCharType="separate"/>
      </w:r>
      <w:r w:rsidR="00F97E43" w:rsidRPr="0096329F">
        <w:rPr>
          <w:noProof/>
          <w:u w:val="none"/>
        </w:rPr>
        <w:t>(</w:t>
      </w:r>
      <w:r w:rsidR="00F97E43" w:rsidRPr="0096329F">
        <w:rPr>
          <w:i/>
          <w:noProof/>
          <w:u w:val="none"/>
        </w:rPr>
        <w:t>1</w:t>
      </w:r>
      <w:r w:rsidR="00F97E43" w:rsidRPr="0096329F">
        <w:rPr>
          <w:noProof/>
          <w:u w:val="none"/>
        </w:rPr>
        <w:t>)</w:t>
      </w:r>
      <w:r w:rsidR="00F97E43">
        <w:rPr>
          <w:u w:val="none"/>
        </w:rPr>
        <w:fldChar w:fldCharType="end"/>
      </w:r>
      <w:r w:rsidR="00F97E43">
        <w:rPr>
          <w:u w:val="none"/>
        </w:rPr>
        <w:t>)</w:t>
      </w:r>
      <w:r w:rsidRPr="00F33CF5">
        <w:rPr>
          <w:u w:val="none"/>
        </w:rPr>
        <w:t xml:space="preserve">,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2D8295E7"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commentRangeStart w:id="3"/>
      <w:r w:rsidR="0096329F" w:rsidRPr="0096329F">
        <w:rPr>
          <w:u w:val="none"/>
        </w:rPr>
        <w:t>current USD</w:t>
      </w:r>
      <w:commentRangeEnd w:id="2"/>
      <w:r>
        <w:rPr>
          <w:rStyle w:val="CommentReference"/>
          <w:u w:val="none"/>
        </w:rPr>
        <w:commentReference w:id="2"/>
      </w:r>
      <w:commentRangeEnd w:id="3"/>
      <w:r w:rsidR="005E11AB">
        <w:rPr>
          <w:rStyle w:val="CommentReference"/>
          <w:u w:val="none"/>
        </w:rPr>
        <w:commentReference w:id="3"/>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37DB391F"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w:t>
      </w:r>
      <w:r w:rsidR="005E11AB">
        <w:rPr>
          <w:u w:val="none"/>
        </w:rPr>
        <w:t xml:space="preserve">of </w:t>
      </w:r>
      <w:r w:rsidRPr="00F33CF5">
        <w:rPr>
          <w:u w:val="none"/>
        </w:rPr>
        <w:t xml:space="preserve">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536173E"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w:t>
      </w:r>
      <w:r w:rsidR="00146CBB">
        <w:rPr>
          <w:u w:val="none"/>
        </w:rPr>
        <w:t>e</w:t>
      </w:r>
      <w:r w:rsidR="00EC553B" w:rsidRPr="00EC553B">
        <w:rPr>
          <w:u w:val="none"/>
        </w:rPr>
        <w:t xml:space="preserve">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3C97DB6" w14:textId="77777777" w:rsidR="005E11AB" w:rsidRDefault="005E11AB">
      <w:pPr>
        <w:rPr>
          <w:u w:val="single"/>
        </w:rPr>
      </w:pPr>
      <w:r>
        <w:rPr>
          <w:u w:val="single"/>
        </w:rPr>
        <w:br w:type="page"/>
      </w:r>
    </w:p>
    <w:p w14:paraId="402B5AD3" w14:textId="6221BFD7" w:rsidR="003755FE" w:rsidRPr="005E11AB" w:rsidRDefault="003755FE" w:rsidP="00DE4E6E">
      <w:pPr>
        <w:pStyle w:val="SMSubheading"/>
        <w:rPr>
          <w:u w:val="single"/>
        </w:rPr>
      </w:pPr>
      <w:r w:rsidRPr="005E11AB">
        <w:rPr>
          <w:u w:val="single"/>
        </w:rPr>
        <w:lastRenderedPageBreak/>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0686F82E" w:rsidR="007324FE" w:rsidRDefault="007324FE" w:rsidP="00DE4E6E">
      <w:pPr>
        <w:pStyle w:val="SMcaption"/>
      </w:pPr>
      <w:r>
        <w:t>Total amount of stimulus packages for four large economies</w:t>
      </w:r>
      <w:r w:rsidR="00C44957">
        <w:t xml:space="preserve"> (China, European Union, </w:t>
      </w:r>
      <w:r w:rsidR="00BD23A1">
        <w:t>India,</w:t>
      </w:r>
      <w:r w:rsidR="00C44957">
        <w:t xml:space="preserve">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5D9D3F7"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r w:rsidR="0077691F">
        <w:t xml:space="preserve"> Horizontal black lines indicate the annual net shift in investments. </w:t>
      </w:r>
    </w:p>
    <w:p w14:paraId="488FF271" w14:textId="332C74F1" w:rsidR="0042183E" w:rsidRDefault="0042183E" w:rsidP="00DE4E6E">
      <w:r>
        <w:br w:type="page"/>
      </w:r>
    </w:p>
    <w:p w14:paraId="4B8F0549" w14:textId="0EE3FC5E" w:rsidR="007324FE" w:rsidRDefault="00CB7721" w:rsidP="00DE4E6E">
      <w:pPr>
        <w:pStyle w:val="SMcaption"/>
      </w:pPr>
      <w:commentRangeStart w:id="4"/>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commentRangeEnd w:id="4"/>
      <w:r w:rsidR="001723DE">
        <w:rPr>
          <w:rStyle w:val="CommentReference"/>
        </w:rPr>
        <w:commentReference w:id="4"/>
      </w:r>
    </w:p>
    <w:p w14:paraId="2D0F2A1F" w14:textId="07DEFEC9" w:rsidR="007324FE" w:rsidRPr="00355362" w:rsidRDefault="007324FE" w:rsidP="00DE4E6E">
      <w:pPr>
        <w:pStyle w:val="SMHeading"/>
      </w:pPr>
      <w:r w:rsidRPr="00355362">
        <w:t>Fig. S</w:t>
      </w:r>
      <w:r>
        <w:t>6.</w:t>
      </w:r>
    </w:p>
    <w:p w14:paraId="722A1460" w14:textId="2C0D3999"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w:t>
      </w:r>
      <w:commentRangeStart w:id="5"/>
      <w:r>
        <w:t xml:space="preserve"> 2018 Gross Domestic Product (GDP)</w:t>
      </w:r>
      <w:commentRangeEnd w:id="5"/>
      <w:r w:rsidR="001723DE">
        <w:rPr>
          <w:rStyle w:val="CommentReference"/>
        </w:rPr>
        <w:commentReference w:id="5"/>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3">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25309106"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0CB7F20E" w14:textId="5B53B4D5" w:rsidR="00EC26B3" w:rsidRDefault="00EC26B3">
      <w:r>
        <w:br w:type="page"/>
      </w: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9112AA">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lastRenderedPageBreak/>
              <w:t xml:space="preserve">Table S1: </w:t>
            </w:r>
          </w:p>
          <w:p w14:paraId="1846E656" w14:textId="46115816"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commentRangeStart w:id="6"/>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commentRangeEnd w:id="6"/>
            <w:r w:rsidR="006A6EB5">
              <w:rPr>
                <w:rStyle w:val="CommentReference"/>
                <w:rFonts w:ascii="Times New Roman" w:eastAsia="Times New Roman" w:hAnsi="Times New Roman" w:cs="Times New Roman"/>
              </w:rPr>
              <w:commentReference w:id="6"/>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C√¥te d‚ÄôIvoire</w:t>
            </w:r>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F2920BB" w:rsidR="00AD3F34" w:rsidRDefault="00AD3F34">
      <w:r>
        <w:br w:type="page"/>
      </w:r>
    </w:p>
    <w:p w14:paraId="67D9B3C5"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commentRangeStart w:id="7"/>
            <w:r w:rsidRPr="00E97569">
              <w:rPr>
                <w:rFonts w:ascii="Times New Roman" w:hAnsi="Times New Roman" w:cs="Times New Roman"/>
                <w:b/>
                <w:bCs/>
                <w:sz w:val="20"/>
                <w:szCs w:val="20"/>
              </w:rPr>
              <w:t>Table S2: Definitions of the five macro regions used for aggregating energy investments and stimulus packages</w:t>
            </w:r>
            <w:commentRangeEnd w:id="7"/>
            <w:r w:rsidR="00AD3F34">
              <w:rPr>
                <w:rStyle w:val="CommentReference"/>
                <w:rFonts w:ascii="Times New Roman" w:eastAsia="Times New Roman" w:hAnsi="Times New Roman" w:cs="Times New Roman"/>
              </w:rPr>
              <w:commentReference w:id="7"/>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E1C8F2A" w14:textId="71D6812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LAM</w:t>
            </w:r>
          </w:p>
        </w:tc>
        <w:tc>
          <w:tcPr>
            <w:tcW w:w="7370" w:type="dxa"/>
          </w:tcPr>
          <w:p w14:paraId="52A6B3B9" w14:textId="0FC153E4"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630436FE" w14:textId="1F6FDCC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19D66D0B" w14:textId="3ED5243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19BB57CB" w14:textId="7DB7202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3A8D73C" w:rsidR="00CB7721" w:rsidRPr="00CB7721" w:rsidRDefault="00CB7721" w:rsidP="00DE4E6E">
            <w:pPr>
              <w:pStyle w:val="SMcaption"/>
              <w:rPr>
                <w:rFonts w:ascii="Times New Roman" w:hAnsi="Times New Roman" w:cs="Times New Roman"/>
                <w:sz w:val="20"/>
              </w:rPr>
            </w:pPr>
            <w:commentRangeStart w:id="8"/>
            <w:r w:rsidRPr="00CB7721">
              <w:rPr>
                <w:rFonts w:ascii="Times New Roman" w:hAnsi="Times New Roman" w:cs="Times New Roman"/>
                <w:sz w:val="20"/>
              </w:rPr>
              <w:t>European Union</w:t>
            </w:r>
            <w:commentRangeEnd w:id="8"/>
            <w:r w:rsidR="00AD3F34">
              <w:rPr>
                <w:rStyle w:val="CommentReference"/>
                <w:rFonts w:ascii="Times New Roman" w:eastAsia="Times New Roman" w:hAnsi="Times New Roman" w:cs="Times New Roman"/>
              </w:rPr>
              <w:commentReference w:id="8"/>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A961501" w14:textId="7779052E" w:rsidR="002D4B0E" w:rsidRPr="00705C71" w:rsidRDefault="002D4B0E"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At the time of writing, announced COVID-19 fiscal stimulus (as a proportion of GDP) already exceeded the stimulus provided in the wake of the 2008-2009 Global Financial Crisis (</w:t>
            </w:r>
            <w:r w:rsidRPr="00705C71">
              <w:rPr>
                <w:rFonts w:ascii="Times New Roman" w:hAnsi="Times New Roman" w:cs="Times New Roman"/>
                <w:i/>
                <w:iCs/>
                <w:sz w:val="20"/>
                <w:szCs w:val="20"/>
              </w:rPr>
              <w:t>4</w:t>
            </w:r>
            <w:r w:rsidRPr="00705C71">
              <w:rPr>
                <w:rFonts w:ascii="Times New Roman" w:hAnsi="Times New Roman" w:cs="Times New Roman"/>
                <w:sz w:val="20"/>
                <w:szCs w:val="20"/>
              </w:rPr>
              <w:t xml:space="preserve">) by a factor of  </w:t>
            </w:r>
            <w:r w:rsidR="00705C71">
              <w:rPr>
                <w:rFonts w:ascii="Times New Roman" w:hAnsi="Times New Roman" w:cs="Times New Roman"/>
                <w:sz w:val="20"/>
                <w:szCs w:val="20"/>
              </w:rPr>
              <w:t>2</w:t>
            </w:r>
            <w:r w:rsidRPr="00705C71">
              <w:rPr>
                <w:rFonts w:ascii="Times New Roman" w:hAnsi="Times New Roman" w:cs="Times New Roman"/>
                <w:sz w:val="20"/>
                <w:szCs w:val="20"/>
              </w:rPr>
              <w:t>.</w:t>
            </w:r>
          </w:p>
          <w:p w14:paraId="0F74DEDF" w14:textId="77777777" w:rsidR="003C0083" w:rsidRPr="00705C71" w:rsidRDefault="003C0083" w:rsidP="00DE4E6E">
            <w:pPr>
              <w:pStyle w:val="SMcaption"/>
              <w:rPr>
                <w:rFonts w:ascii="Times New Roman" w:hAnsi="Times New Roman" w:cs="Times New Roman"/>
                <w:sz w:val="20"/>
                <w:szCs w:val="20"/>
              </w:rPr>
            </w:pPr>
          </w:p>
        </w:tc>
        <w:tc>
          <w:tcPr>
            <w:tcW w:w="4615" w:type="dxa"/>
          </w:tcPr>
          <w:p w14:paraId="1196CC95" w14:textId="3E395C25" w:rsidR="003C0083" w:rsidRPr="00705C71" w:rsidRDefault="002D4B0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USD 12</w:t>
            </w:r>
            <w:r w:rsidR="00C5781D">
              <w:rPr>
                <w:rFonts w:ascii="Times New Roman" w:hAnsi="Times New Roman" w:cs="Times New Roman"/>
                <w:sz w:val="20"/>
                <w:szCs w:val="20"/>
              </w:rPr>
              <w:t>500 billion</w:t>
            </w:r>
            <w:r w:rsidRPr="00705C71">
              <w:rPr>
                <w:rFonts w:ascii="Times New Roman" w:hAnsi="Times New Roman" w:cs="Times New Roman"/>
                <w:sz w:val="20"/>
                <w:szCs w:val="20"/>
              </w:rPr>
              <w:t xml:space="preserve"> (current </w:t>
            </w:r>
            <w:r w:rsidR="00705C71">
              <w:rPr>
                <w:rFonts w:ascii="Times New Roman" w:hAnsi="Times New Roman" w:cs="Times New Roman"/>
                <w:sz w:val="20"/>
                <w:szCs w:val="20"/>
              </w:rPr>
              <w:t>global stimulus, Fig.1</w:t>
            </w:r>
            <w:r w:rsidRPr="00705C71">
              <w:rPr>
                <w:rFonts w:ascii="Times New Roman" w:hAnsi="Times New Roman" w:cs="Times New Roman"/>
                <w:sz w:val="20"/>
                <w:szCs w:val="20"/>
              </w:rPr>
              <w:t>)/USD 3</w:t>
            </w:r>
            <w:r w:rsidR="00C5781D">
              <w:rPr>
                <w:rFonts w:ascii="Times New Roman" w:hAnsi="Times New Roman" w:cs="Times New Roman"/>
                <w:sz w:val="20"/>
                <w:szCs w:val="20"/>
              </w:rPr>
              <w:t xml:space="preserve">000 billion </w:t>
            </w:r>
            <w:r w:rsidRPr="00705C71">
              <w:rPr>
                <w:rFonts w:ascii="Times New Roman" w:hAnsi="Times New Roman" w:cs="Times New Roman"/>
                <w:sz w:val="20"/>
                <w:szCs w:val="20"/>
              </w:rPr>
              <w:t>(after the GFC, based on ref. 4)</w:t>
            </w: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59A2EB46" w:rsidR="008A5C42" w:rsidRPr="00705C71" w:rsidRDefault="008A5C42"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What we can glean from the available data is that at present, 55% about is dedicated to the “above-the-line” measures (of which 4% targeted at the health sector, and 51% percent to other sectors), while 45% is intended for liquidity support.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7DA92CC8"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Average annual low-carbon energy and efficiency investments under a Paris-compatible pathway have been estimated at about 1.3 trillion USD per year over the near term between 2020 and 2024 (11, 12). This amounts to about 10% of the total pledged post-COVID-19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6AD85CF9" w14:textId="74B655D6"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These incremental low-carbon invest-ments globally amount to about 300 billion USD per year over the coming five years (Fig. 1, Fig. S5). This number in isolation, however, masks an important part of the story, as increases in low-carbon </w:t>
            </w:r>
            <w:r w:rsidRPr="00705C71">
              <w:rPr>
                <w:rFonts w:ascii="Times New Roman" w:hAnsi="Times New Roman" w:cs="Times New Roman"/>
                <w:sz w:val="20"/>
                <w:szCs w:val="20"/>
              </w:rPr>
              <w:lastRenderedPageBreak/>
              <w:t>investments would necessarily be accompanied by divestment from high-carbon fossil-fuel investments of about 280 billion USD per year over the same time period. Subtracting these two estimates (investments – divestments) indicates that the additional net annual investments to achieve an ambitious low-carbon trans-formation in the energy sector amounts to about 20 billion USD per year, which is around 0.16% of the total announced stimulus to date (compare Fig. S5 to S1 and S2).</w:t>
            </w: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7DAE311"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In S1, the total global stimulus is shown on the right-most bar, with the total value of 12500 b (and 20 b from above being 0.16%)</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 situation is quite different for developing economies. So far, stimulus packages in these geographies only amount to a small </w:t>
            </w:r>
            <w:r w:rsidRPr="00B061AB">
              <w:rPr>
                <w:rFonts w:ascii="Times New Roman" w:hAnsi="Times New Roman" w:cs="Times New Roman"/>
                <w:sz w:val="20"/>
                <w:szCs w:val="20"/>
              </w:rPr>
              <w:t>fraction (~18%) of what developed countries are putting</w:t>
            </w:r>
            <w:r w:rsidRPr="00705C71">
              <w:rPr>
                <w:rFonts w:ascii="Times New Roman" w:hAnsi="Times New Roman" w:cs="Times New Roman"/>
                <w:sz w:val="20"/>
                <w:szCs w:val="20"/>
              </w:rPr>
              <w:t xml:space="preserve">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EF00954" w14:textId="77777777"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For example, India’s total annual low-carbon energy investment needs relative to GDP are about </w:t>
            </w:r>
            <w:r w:rsidRPr="00B061AB">
              <w:rPr>
                <w:rFonts w:ascii="Times New Roman" w:hAnsi="Times New Roman" w:cs="Times New Roman"/>
                <w:sz w:val="20"/>
                <w:szCs w:val="20"/>
              </w:rPr>
              <w:t>4 times higher than those of the EU;</w:t>
            </w:r>
            <w:r w:rsidRPr="00705C71">
              <w:rPr>
                <w:rFonts w:ascii="Times New Roman" w:hAnsi="Times New Roman" w:cs="Times New Roman"/>
                <w:sz w:val="20"/>
                <w:szCs w:val="20"/>
              </w:rPr>
              <w:t xml:space="preserve"> but the countries’ stimulus package is only about half the size in relative terms.</w:t>
            </w:r>
          </w:p>
          <w:p w14:paraId="73B363A2" w14:textId="77777777" w:rsidR="00705C71" w:rsidRPr="00705C71" w:rsidRDefault="00705C71" w:rsidP="00DE4E6E">
            <w:pPr>
              <w:pStyle w:val="Paragraph"/>
              <w:jc w:val="left"/>
              <w:rPr>
                <w:rFonts w:ascii="Times New Roman" w:hAnsi="Times New Roman" w:cs="Times New Roman"/>
                <w:sz w:val="20"/>
                <w:szCs w:val="20"/>
              </w:rPr>
            </w:pPr>
          </w:p>
        </w:tc>
        <w:tc>
          <w:tcPr>
            <w:tcW w:w="4615" w:type="dxa"/>
          </w:tcPr>
          <w:p w14:paraId="44023D28" w14:textId="7F38D1B7"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501F4F7C" w14:textId="77777777" w:rsidR="004C2B06" w:rsidRDefault="004C2B06">
      <w:pPr>
        <w:rPr>
          <w:b/>
          <w:bCs/>
          <w:kern w:val="32"/>
          <w:szCs w:val="24"/>
        </w:rPr>
      </w:pPr>
      <w:r>
        <w:br w:type="page"/>
      </w:r>
    </w:p>
    <w:p w14:paraId="2B6BCA94" w14:textId="3408C94D" w:rsidR="00C50C6D" w:rsidRPr="00355362" w:rsidRDefault="00C50C6D" w:rsidP="00DE4E6E">
      <w:pPr>
        <w:pStyle w:val="SMHeading"/>
      </w:pPr>
      <w:r>
        <w:lastRenderedPageBreak/>
        <w:t xml:space="preserve">Data </w:t>
      </w:r>
      <w:r w:rsidRPr="00355362">
        <w:t>S1</w:t>
      </w:r>
      <w:r w:rsidR="008218C4">
        <w:t>.</w:t>
      </w:r>
      <w:r w:rsidRPr="00355362">
        <w:t xml:space="preserve"> </w:t>
      </w:r>
      <w:r>
        <w:t>(separate file)</w:t>
      </w:r>
    </w:p>
    <w:p w14:paraId="30835E0F" w14:textId="2E0CF088" w:rsidR="002254CD" w:rsidRDefault="002254CD" w:rsidP="00DE4E6E">
      <w:r>
        <w:t xml:space="preserve">All data underlying this analysis are available at: </w:t>
      </w:r>
      <w:r w:rsidR="004C2B06">
        <w:br/>
      </w:r>
      <w:hyperlink r:id="rId24" w:history="1">
        <w:r w:rsidR="00ED576B" w:rsidRPr="00C711C4">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C44957" w:rsidRDefault="00C44957">
      <w:pPr>
        <w:pStyle w:val="CommentText"/>
      </w:pPr>
      <w:r>
        <w:rPr>
          <w:rStyle w:val="CommentReference"/>
        </w:rPr>
        <w:annotationRef/>
      </w:r>
      <w:r>
        <w:t>Shouldn’t we be specific about the dollar year.  2019 or 2020?</w:t>
      </w:r>
    </w:p>
  </w:comment>
  <w:comment w:id="3" w:author="Rogelj, Joeri" w:date="2020-08-02T18:31:00Z" w:initials="RJ">
    <w:p w14:paraId="6EC45923" w14:textId="597BBAD8" w:rsidR="005E11AB" w:rsidRDefault="005E11AB">
      <w:pPr>
        <w:pStyle w:val="CommentText"/>
      </w:pPr>
      <w:r>
        <w:rPr>
          <w:rStyle w:val="CommentReference"/>
        </w:rPr>
        <w:annotationRef/>
      </w:r>
      <w:r>
        <w:t>We should</w:t>
      </w:r>
      <w:r>
        <w:br/>
        <w:t>@Marina, can you specify this?</w:t>
      </w:r>
    </w:p>
  </w:comment>
  <w:comment w:id="4" w:author="Rogelj, Joeri" w:date="2020-08-02T18:38:00Z" w:initials="RJ">
    <w:p w14:paraId="715D4D36" w14:textId="616D7108" w:rsidR="001723DE" w:rsidRDefault="001723DE">
      <w:pPr>
        <w:pStyle w:val="CommentText"/>
      </w:pPr>
      <w:r>
        <w:rPr>
          <w:rStyle w:val="CommentReference"/>
        </w:rPr>
        <w:annotationRef/>
      </w:r>
      <w:r>
        <w:t xml:space="preserve">Stimulus of India in this figure is inconsistent with the plots provided for the Figure in the main text. </w:t>
      </w:r>
    </w:p>
  </w:comment>
  <w:comment w:id="5" w:author="Rogelj, Joeri" w:date="2020-08-02T18:38:00Z" w:initials="RJ">
    <w:p w14:paraId="24235A7B" w14:textId="6EA60010" w:rsidR="001723DE" w:rsidRDefault="001723DE">
      <w:pPr>
        <w:pStyle w:val="CommentText"/>
      </w:pPr>
      <w:r>
        <w:rPr>
          <w:rStyle w:val="CommentReference"/>
        </w:rPr>
        <w:annotationRef/>
      </w:r>
      <w:r>
        <w:t>Is this correct?</w:t>
      </w:r>
    </w:p>
  </w:comment>
  <w:comment w:id="6" w:author="Rogelj, Joeri" w:date="2020-08-02T18:39:00Z" w:initials="RJ">
    <w:p w14:paraId="6B3D1596" w14:textId="69D9C811" w:rsidR="006A6EB5" w:rsidRDefault="006A6EB5">
      <w:pPr>
        <w:pStyle w:val="CommentText"/>
      </w:pPr>
      <w:r>
        <w:rPr>
          <w:rStyle w:val="CommentReference"/>
        </w:rPr>
        <w:annotationRef/>
      </w:r>
      <w:r>
        <w:t>These numbers need units to be defined somewhere.</w:t>
      </w:r>
    </w:p>
  </w:comment>
  <w:comment w:id="7" w:author="Rogelj, Joeri" w:date="2020-08-02T18:40:00Z" w:initials="RJ">
    <w:p w14:paraId="25D286ED" w14:textId="3C60F192" w:rsidR="00AD3F34" w:rsidRDefault="00AD3F34">
      <w:pPr>
        <w:pStyle w:val="CommentText"/>
      </w:pPr>
      <w:r>
        <w:rPr>
          <w:rStyle w:val="CommentReference"/>
        </w:rPr>
        <w:annotationRef/>
      </w:r>
      <w:r>
        <w:t xml:space="preserve">Include lists of names of all countries that are included in the respective regions. </w:t>
      </w:r>
    </w:p>
  </w:comment>
  <w:comment w:id="8" w:author="Rogelj, Joeri" w:date="2020-08-02T18:41:00Z" w:initials="RJ">
    <w:p w14:paraId="6E203957" w14:textId="312BF9E6" w:rsidR="00AD3F34" w:rsidRDefault="00AD3F34">
      <w:pPr>
        <w:pStyle w:val="CommentText"/>
      </w:pPr>
      <w:r>
        <w:rPr>
          <w:rStyle w:val="CommentReference"/>
        </w:rPr>
        <w:annotationRef/>
      </w:r>
      <w:r>
        <w:t xml:space="preserve">Define whether this includes UK. If excluding the UK, add between brackets; if including, clarify in footnote.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0"/>
  <w15:commentEx w15:paraId="6EC45923" w15:paraIdParent="69EC9BFA" w15:done="0"/>
  <w15:commentEx w15:paraId="715D4D36" w15:done="0"/>
  <w15:commentEx w15:paraId="24235A7B" w15:done="0"/>
  <w15:commentEx w15:paraId="6B3D1596" w15:done="0"/>
  <w15:commentEx w15:paraId="25D286ED" w15:done="0"/>
  <w15:commentEx w15:paraId="6E203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184EE" w16cex:dateUtc="2020-08-02T17:31:00Z"/>
  <w16cex:commentExtensible w16cex:durableId="22D186B6" w16cex:dateUtc="2020-08-02T17:38:00Z"/>
  <w16cex:commentExtensible w16cex:durableId="22D18695" w16cex:dateUtc="2020-08-02T17:38:00Z"/>
  <w16cex:commentExtensible w16cex:durableId="22D186FC" w16cex:dateUtc="2020-08-02T17:39:00Z"/>
  <w16cex:commentExtensible w16cex:durableId="22D18738" w16cex:dateUtc="2020-08-02T17:40:00Z"/>
  <w16cex:commentExtensible w16cex:durableId="22D18756" w16cex:dateUtc="2020-08-02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Id w16cid:paraId="6EC45923" w16cid:durableId="22D184EE"/>
  <w16cid:commentId w16cid:paraId="715D4D36" w16cid:durableId="22D186B6"/>
  <w16cid:commentId w16cid:paraId="24235A7B" w16cid:durableId="22D18695"/>
  <w16cid:commentId w16cid:paraId="6B3D1596" w16cid:durableId="22D186FC"/>
  <w16cid:commentId w16cid:paraId="25D286ED" w16cid:durableId="22D18738"/>
  <w16cid:commentId w16cid:paraId="6E203957" w16cid:durableId="22D18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FA10B" w14:textId="77777777" w:rsidR="003A55F5" w:rsidRDefault="003A55F5">
      <w:r>
        <w:separator/>
      </w:r>
    </w:p>
  </w:endnote>
  <w:endnote w:type="continuationSeparator" w:id="0">
    <w:p w14:paraId="78C8B2D4" w14:textId="77777777" w:rsidR="003A55F5" w:rsidRDefault="003A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MillerDaily">
    <w:altName w:val="Calibri"/>
    <w:panose1 w:val="00000000000000000000"/>
    <w:charset w:val="00"/>
    <w:family w:val="modern"/>
    <w:notTrueType/>
    <w:pitch w:val="variable"/>
    <w:sig w:usb0="800000AF" w:usb1="5000204A" w:usb2="00000000" w:usb3="00000000" w:csb0="00000001" w:csb1="00000000"/>
  </w:font>
  <w:font w:name="MillerDaily Roman">
    <w:altName w:val="Cambria"/>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C44957" w:rsidRDefault="00C44957">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C44957" w:rsidRDefault="00C4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E3C39" w14:textId="77777777" w:rsidR="003A55F5" w:rsidRDefault="003A55F5">
      <w:r>
        <w:separator/>
      </w:r>
    </w:p>
  </w:footnote>
  <w:footnote w:type="continuationSeparator" w:id="0">
    <w:p w14:paraId="4CF9F1FC" w14:textId="77777777" w:rsidR="003A55F5" w:rsidRDefault="003A5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C44957" w:rsidRPr="005001AC" w:rsidRDefault="00C44957" w:rsidP="005001AC">
    <w:pPr>
      <w:jc w:val="right"/>
      <w:rPr>
        <w:sz w:val="20"/>
      </w:rPr>
    </w:pPr>
  </w:p>
  <w:p w14:paraId="3CD866EE" w14:textId="77777777" w:rsidR="00C44957" w:rsidRDefault="00C44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ollum, David">
    <w15:presenceInfo w15:providerId="AD" w15:userId="S::DMcCollum@epri.com::a1284153-985a-4b65-a33b-f252e22df11d"/>
  </w15:person>
  <w15:person w15:author="Rogelj, Joeri">
    <w15:presenceInfo w15:providerId="AD" w15:userId="S::jrogelj@ic.ac.uk::e1d4b9d5-2a66-4e82-abf3-ba9fdf53c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5EBD"/>
    <w:rsid w:val="00083B44"/>
    <w:rsid w:val="000850DC"/>
    <w:rsid w:val="000C2771"/>
    <w:rsid w:val="000C62C2"/>
    <w:rsid w:val="000D46F4"/>
    <w:rsid w:val="000F0DCE"/>
    <w:rsid w:val="000F6BE3"/>
    <w:rsid w:val="00112C5B"/>
    <w:rsid w:val="00114193"/>
    <w:rsid w:val="00115A38"/>
    <w:rsid w:val="0011687B"/>
    <w:rsid w:val="00124F82"/>
    <w:rsid w:val="0013315A"/>
    <w:rsid w:val="00146CBB"/>
    <w:rsid w:val="0016337A"/>
    <w:rsid w:val="00164269"/>
    <w:rsid w:val="001723DE"/>
    <w:rsid w:val="001A08F0"/>
    <w:rsid w:val="001A1BDE"/>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A55F5"/>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C2B06"/>
    <w:rsid w:val="004E42D8"/>
    <w:rsid w:val="004E7BA2"/>
    <w:rsid w:val="004F7EDF"/>
    <w:rsid w:val="005001AC"/>
    <w:rsid w:val="00527D71"/>
    <w:rsid w:val="005520A8"/>
    <w:rsid w:val="005607DD"/>
    <w:rsid w:val="005A558C"/>
    <w:rsid w:val="005E11AB"/>
    <w:rsid w:val="005E28F8"/>
    <w:rsid w:val="005E6513"/>
    <w:rsid w:val="005F5B04"/>
    <w:rsid w:val="00651114"/>
    <w:rsid w:val="00663B16"/>
    <w:rsid w:val="00664560"/>
    <w:rsid w:val="00670299"/>
    <w:rsid w:val="00691985"/>
    <w:rsid w:val="00692DD6"/>
    <w:rsid w:val="006A1B64"/>
    <w:rsid w:val="006A6EB5"/>
    <w:rsid w:val="00705C71"/>
    <w:rsid w:val="007108F5"/>
    <w:rsid w:val="00713E5B"/>
    <w:rsid w:val="007324FE"/>
    <w:rsid w:val="007402FC"/>
    <w:rsid w:val="007411A1"/>
    <w:rsid w:val="0077691F"/>
    <w:rsid w:val="00793072"/>
    <w:rsid w:val="007D4CB9"/>
    <w:rsid w:val="00807D35"/>
    <w:rsid w:val="008218C4"/>
    <w:rsid w:val="00867A98"/>
    <w:rsid w:val="00870867"/>
    <w:rsid w:val="00882200"/>
    <w:rsid w:val="00885C9B"/>
    <w:rsid w:val="008969C9"/>
    <w:rsid w:val="008A5C42"/>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3F34"/>
    <w:rsid w:val="00AD499C"/>
    <w:rsid w:val="00B061AB"/>
    <w:rsid w:val="00B36869"/>
    <w:rsid w:val="00B43B31"/>
    <w:rsid w:val="00B47CFA"/>
    <w:rsid w:val="00B57F00"/>
    <w:rsid w:val="00B77B2A"/>
    <w:rsid w:val="00B82C22"/>
    <w:rsid w:val="00B93DBA"/>
    <w:rsid w:val="00B9440A"/>
    <w:rsid w:val="00BB2D2A"/>
    <w:rsid w:val="00BC3E04"/>
    <w:rsid w:val="00BD0989"/>
    <w:rsid w:val="00BD23A1"/>
    <w:rsid w:val="00BD58CF"/>
    <w:rsid w:val="00BF0C92"/>
    <w:rsid w:val="00C04CC1"/>
    <w:rsid w:val="00C4096C"/>
    <w:rsid w:val="00C44957"/>
    <w:rsid w:val="00C50C6D"/>
    <w:rsid w:val="00C5781D"/>
    <w:rsid w:val="00C600D9"/>
    <w:rsid w:val="00C92B22"/>
    <w:rsid w:val="00CA455E"/>
    <w:rsid w:val="00CB7721"/>
    <w:rsid w:val="00CC1384"/>
    <w:rsid w:val="00CD3720"/>
    <w:rsid w:val="00CF1848"/>
    <w:rsid w:val="00CF5C2F"/>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ED576B"/>
    <w:rsid w:val="00F125EE"/>
    <w:rsid w:val="00F12E98"/>
    <w:rsid w:val="00F22029"/>
    <w:rsid w:val="00F33CF5"/>
    <w:rsid w:val="00F515FB"/>
    <w:rsid w:val="00F630EA"/>
    <w:rsid w:val="00F7007E"/>
    <w:rsid w:val="00F73193"/>
    <w:rsid w:val="00F74F95"/>
    <w:rsid w:val="00F80705"/>
    <w:rsid w:val="00F97E43"/>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hyperlink" Target="https://github.com/marina-andrijevic/covid_recovery/tree/master/data"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7006</Words>
  <Characters>39940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46853</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Rogelj, Joeri</cp:lastModifiedBy>
  <cp:revision>15</cp:revision>
  <cp:lastPrinted>2018-01-11T19:53:00Z</cp:lastPrinted>
  <dcterms:created xsi:type="dcterms:W3CDTF">2020-08-01T20:27:00Z</dcterms:created>
  <dcterms:modified xsi:type="dcterms:W3CDTF">2020-08-02T17:56:00Z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