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219CCFBA" w:rsidR="003B44B6" w:rsidRPr="003B44B6" w:rsidRDefault="000C62C2" w:rsidP="00DE4E6E">
      <w:pPr>
        <w:jc w:val="center"/>
        <w:rPr>
          <w:sz w:val="28"/>
          <w:szCs w:val="28"/>
        </w:rPr>
      </w:pPr>
      <w:r w:rsidRPr="000C62C2">
        <w:rPr>
          <w:sz w:val="28"/>
          <w:szCs w:val="28"/>
        </w:rPr>
        <w: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Marina Andrijevic, Carl-Friedrich Schleussner, Matthew Gidden, David L. McCollum, Joeri Rogelj</w:t>
      </w:r>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7FC58EC4" w:rsidR="002C030F" w:rsidRDefault="002C030F" w:rsidP="00DE4E6E">
      <w:pPr>
        <w:ind w:left="720"/>
      </w:pPr>
      <w:r>
        <w:t>Table S1</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51AD6125" w:rsidR="00017FEF" w:rsidRPr="00F33CF5" w:rsidRDefault="00017FEF" w:rsidP="00017FEF">
      <w:pPr>
        <w:pStyle w:val="SMSubheading"/>
        <w:rPr>
          <w:u w:val="none"/>
        </w:rPr>
      </w:pPr>
      <w:r w:rsidRPr="00F33CF5">
        <w:rPr>
          <w:u w:val="none"/>
        </w:rPr>
        <w:t>In this analysis, for purposes of quantifying highly uncertain ‘demand-side’, or ‘energy efficiency-increasing’ investments, we inherit the methodology of McCollum et al. (2018)</w:t>
      </w:r>
      <w:r w:rsidR="00F97E43">
        <w:rPr>
          <w:u w:val="none"/>
        </w:rPr>
        <w:t xml:space="preserve"> (reference </w:t>
      </w:r>
      <w:r w:rsidR="00F97E43">
        <w:rPr>
          <w:u w:val="none"/>
        </w:rPr>
        <w:fldChar w:fldCharType="begin" w:fldLock="1"/>
      </w:r>
      <w:r w:rsidR="00F97E43">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sidR="00F97E43">
        <w:rPr>
          <w:u w:val="none"/>
        </w:rPr>
        <w:fldChar w:fldCharType="separate"/>
      </w:r>
      <w:r w:rsidR="00F97E43" w:rsidRPr="0096329F">
        <w:rPr>
          <w:noProof/>
          <w:u w:val="none"/>
        </w:rPr>
        <w:t>(</w:t>
      </w:r>
      <w:r w:rsidR="00F97E43" w:rsidRPr="0096329F">
        <w:rPr>
          <w:i/>
          <w:noProof/>
          <w:u w:val="none"/>
        </w:rPr>
        <w:t>1</w:t>
      </w:r>
      <w:r w:rsidR="00F97E43" w:rsidRPr="0096329F">
        <w:rPr>
          <w:noProof/>
          <w:u w:val="none"/>
        </w:rPr>
        <w:t>)</w:t>
      </w:r>
      <w:r w:rsidR="00F97E43">
        <w:rPr>
          <w:u w:val="none"/>
        </w:rPr>
        <w:fldChar w:fldCharType="end"/>
      </w:r>
      <w:r w:rsidR="00F97E43">
        <w:rPr>
          <w:u w:val="none"/>
        </w:rPr>
        <w:t>)</w:t>
      </w:r>
      <w:r w:rsidRPr="00F33CF5">
        <w:rPr>
          <w:u w:val="none"/>
        </w:rPr>
        <w:t xml:space="preserve">, the original source for all of our energy investment numbers. That study calculated demand-side energy efficiency investments across the end-use sectors (buildings, transport, industry) in a harmonized way for each of the global models. The calculations </w:t>
      </w:r>
      <w:proofErr w:type="gramStart"/>
      <w:r w:rsidRPr="00F33CF5">
        <w:rPr>
          <w:u w:val="none"/>
        </w:rPr>
        <w:t>take into account</w:t>
      </w:r>
      <w:proofErr w:type="gramEnd"/>
      <w:r w:rsidRPr="00F33CF5">
        <w:rPr>
          <w:u w:val="none"/>
        </w:rPr>
        <w:t xml:space="preserve">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2D8295E7"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commentRangeStart w:id="3"/>
      <w:r w:rsidR="0096329F" w:rsidRPr="0096329F">
        <w:rPr>
          <w:u w:val="none"/>
        </w:rPr>
        <w:t>current USD</w:t>
      </w:r>
      <w:commentRangeEnd w:id="2"/>
      <w:r>
        <w:rPr>
          <w:rStyle w:val="CommentReference"/>
          <w:u w:val="none"/>
        </w:rPr>
        <w:commentReference w:id="2"/>
      </w:r>
      <w:commentRangeEnd w:id="3"/>
      <w:r w:rsidR="005E11AB">
        <w:rPr>
          <w:rStyle w:val="CommentReference"/>
          <w:u w:val="none"/>
        </w:rPr>
        <w:commentReference w:id="3"/>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37DB391F" w:rsidR="00F33CF5" w:rsidRPr="00F33CF5" w:rsidRDefault="00F33CF5" w:rsidP="00F33CF5">
      <w:pPr>
        <w:pStyle w:val="SMSubheading"/>
        <w:rPr>
          <w:u w:val="none"/>
        </w:rPr>
      </w:pPr>
      <w:r w:rsidRPr="00F33CF5">
        <w:rPr>
          <w:u w:val="none"/>
        </w:rPr>
        <w:t xml:space="preserve">Estimating current and future energy investment flows is not an exact science. Private and </w:t>
      </w:r>
      <w:proofErr w:type="gramStart"/>
      <w:r w:rsidRPr="00F33CF5">
        <w:rPr>
          <w:u w:val="none"/>
        </w:rPr>
        <w:t>publicly-traded</w:t>
      </w:r>
      <w:proofErr w:type="gramEnd"/>
      <w:r w:rsidRPr="00F33CF5">
        <w:rPr>
          <w:u w:val="none"/>
        </w:rPr>
        <w:t xml:space="preserve"> companies, governments, stated-owned enterprises, and households are not required to report such information to statistical gathering organizations in all cases. For this reason, the numbers must be </w:t>
      </w:r>
      <w:proofErr w:type="gramStart"/>
      <w:r w:rsidRPr="00F33CF5">
        <w:rPr>
          <w:u w:val="none"/>
        </w:rPr>
        <w:t>back-calculated</w:t>
      </w:r>
      <w:proofErr w:type="gramEnd"/>
      <w:r w:rsidRPr="00F33CF5">
        <w:rPr>
          <w:u w:val="none"/>
        </w:rPr>
        <w:t xml:space="preserve">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w:t>
      </w:r>
      <w:r w:rsidR="005E11AB">
        <w:rPr>
          <w:u w:val="none"/>
        </w:rPr>
        <w:t xml:space="preserve">of </w:t>
      </w:r>
      <w:r w:rsidRPr="00F33CF5">
        <w:rPr>
          <w:u w:val="none"/>
        </w:rPr>
        <w:t xml:space="preserve">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7DF4D64"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including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3C97DB6" w14:textId="77777777" w:rsidR="005E11AB" w:rsidRDefault="005E11AB">
      <w:pPr>
        <w:rPr>
          <w:u w:val="single"/>
        </w:rPr>
      </w:pPr>
      <w:r>
        <w:rPr>
          <w:u w:val="single"/>
        </w:rPr>
        <w:br w:type="page"/>
      </w:r>
    </w:p>
    <w:p w14:paraId="402B5AD3" w14:textId="6221BFD7" w:rsidR="003755FE" w:rsidRPr="005E11AB" w:rsidRDefault="003755FE" w:rsidP="00DE4E6E">
      <w:pPr>
        <w:pStyle w:val="SMSubheading"/>
        <w:rPr>
          <w:u w:val="single"/>
        </w:rPr>
      </w:pPr>
      <w:r w:rsidRPr="005E11AB">
        <w:rPr>
          <w:u w:val="single"/>
        </w:rPr>
        <w:lastRenderedPageBreak/>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0686F82E" w:rsidR="007324FE" w:rsidRDefault="007324FE" w:rsidP="00DE4E6E">
      <w:pPr>
        <w:pStyle w:val="SMcaption"/>
      </w:pPr>
      <w:r>
        <w:t>Total amount of stimulus packages for four large economies</w:t>
      </w:r>
      <w:r w:rsidR="00C44957">
        <w:t xml:space="preserve"> (China, European Union, </w:t>
      </w:r>
      <w:r w:rsidR="00BD23A1">
        <w:t>India,</w:t>
      </w:r>
      <w:r w:rsidR="00C44957">
        <w:t xml:space="preserve">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5D9D3F7"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r w:rsidR="0077691F">
        <w:t xml:space="preserve"> Horizontal black lines indicate the annual net shift in investments. </w:t>
      </w:r>
    </w:p>
    <w:p w14:paraId="488FF271" w14:textId="332C74F1" w:rsidR="0042183E" w:rsidRDefault="0042183E" w:rsidP="00DE4E6E">
      <w:r>
        <w:br w:type="page"/>
      </w:r>
    </w:p>
    <w:p w14:paraId="4B8F0549" w14:textId="0EE3FC5E" w:rsidR="007324FE" w:rsidRDefault="00CB7721" w:rsidP="00DE4E6E">
      <w:pPr>
        <w:pStyle w:val="SMcaption"/>
      </w:pPr>
      <w:commentRangeStart w:id="4"/>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commentRangeEnd w:id="4"/>
      <w:r w:rsidR="001723DE">
        <w:rPr>
          <w:rStyle w:val="CommentReference"/>
        </w:rPr>
        <w:commentReference w:id="4"/>
      </w:r>
    </w:p>
    <w:p w14:paraId="2D0F2A1F" w14:textId="07DEFEC9" w:rsidR="007324FE" w:rsidRPr="00355362" w:rsidRDefault="007324FE" w:rsidP="00DE4E6E">
      <w:pPr>
        <w:pStyle w:val="SMHeading"/>
      </w:pPr>
      <w:r w:rsidRPr="00355362">
        <w:t>Fig. S</w:t>
      </w:r>
      <w:r>
        <w:t>6.</w:t>
      </w:r>
    </w:p>
    <w:p w14:paraId="722A1460" w14:textId="2C0D3999"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w:t>
      </w:r>
      <w:commentRangeStart w:id="5"/>
      <w:r>
        <w:t xml:space="preserve"> 2018 Gross Domestic Product (GDP)</w:t>
      </w:r>
      <w:commentRangeEnd w:id="5"/>
      <w:r w:rsidR="001723DE">
        <w:rPr>
          <w:rStyle w:val="CommentReference"/>
        </w:rPr>
        <w:commentReference w:id="5"/>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3">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25309106" w:rsidR="002254CD" w:rsidRDefault="002254CD" w:rsidP="00DE4E6E">
      <w:pPr>
        <w:pStyle w:val="SMcaption"/>
      </w:pPr>
      <w:r>
        <w:t>Annual energy investments compatible with the 1.5</w:t>
      </w:r>
      <w:r>
        <w:sym w:font="Symbol" w:char="F0B0"/>
      </w:r>
      <w:r>
        <w:t>C global mean temperature limit, and fiscal stimulus packages in response to COVID-19, expressed in current USD, for five macro regions and the world (left) and four major economies (right).</w:t>
      </w:r>
    </w:p>
    <w:p w14:paraId="0CB7F20E" w14:textId="5B53B4D5" w:rsidR="00EC26B3" w:rsidRDefault="00EC26B3">
      <w:r>
        <w:br w:type="page"/>
      </w:r>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9112AA">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lastRenderedPageBreak/>
              <w:t xml:space="preserve">Table S1: </w:t>
            </w:r>
          </w:p>
          <w:p w14:paraId="1846E656" w14:textId="46115816"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commentRangeStart w:id="6"/>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commentRangeEnd w:id="6"/>
            <w:r w:rsidR="006A6EB5">
              <w:rPr>
                <w:rStyle w:val="CommentReference"/>
                <w:rFonts w:ascii="Times New Roman" w:eastAsia="Times New Roman" w:hAnsi="Times New Roman" w:cs="Times New Roman"/>
              </w:rPr>
              <w:commentReference w:id="6"/>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w:t>
            </w:r>
            <w:proofErr w:type="spellStart"/>
            <w:r w:rsidRPr="00EC26B3">
              <w:rPr>
                <w:rFonts w:ascii="Times New Roman" w:hAnsi="Times New Roman" w:cs="Times New Roman"/>
                <w:sz w:val="20"/>
                <w:szCs w:val="20"/>
              </w:rPr>
              <w:t>te</w:t>
            </w:r>
            <w:proofErr w:type="spellEnd"/>
            <w:r w:rsidRPr="00EC26B3">
              <w:rPr>
                <w:rFonts w:ascii="Times New Roman" w:hAnsi="Times New Roman" w:cs="Times New Roman"/>
                <w:sz w:val="20"/>
                <w:szCs w:val="20"/>
              </w:rPr>
              <w:t xml:space="preserve"> </w:t>
            </w:r>
            <w:proofErr w:type="spellStart"/>
            <w:r w:rsidRPr="00EC26B3">
              <w:rPr>
                <w:rFonts w:ascii="Times New Roman" w:hAnsi="Times New Roman" w:cs="Times New Roman"/>
                <w:sz w:val="20"/>
                <w:szCs w:val="20"/>
              </w:rPr>
              <w:t>d‚ÄôIvoire</w:t>
            </w:r>
            <w:proofErr w:type="spellEnd"/>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F2920BB" w:rsidR="00AD3F34" w:rsidRDefault="00AD3F34">
      <w:r>
        <w:br w:type="page"/>
      </w:r>
    </w:p>
    <w:p w14:paraId="67D9B3C5"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commentRangeStart w:id="7"/>
            <w:r w:rsidRPr="00E97569">
              <w:rPr>
                <w:rFonts w:ascii="Times New Roman" w:hAnsi="Times New Roman" w:cs="Times New Roman"/>
                <w:b/>
                <w:bCs/>
                <w:sz w:val="20"/>
                <w:szCs w:val="20"/>
              </w:rPr>
              <w:t>Table S2: Definitions of the five macro regions used for aggregating energy investments and stimulus packages</w:t>
            </w:r>
            <w:commentRangeEnd w:id="7"/>
            <w:r w:rsidR="00AD3F34">
              <w:rPr>
                <w:rStyle w:val="CommentReference"/>
                <w:rFonts w:ascii="Times New Roman" w:eastAsia="Times New Roman" w:hAnsi="Times New Roman" w:cs="Times New Roman"/>
              </w:rPr>
              <w:commentReference w:id="7"/>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E1C8F2A" w14:textId="71D6812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 xml:space="preserve">Includes most Asian countries </w:t>
            </w:r>
            <w:proofErr w:type="gramStart"/>
            <w:r w:rsidRPr="00E97569">
              <w:rPr>
                <w:rFonts w:ascii="Times New Roman" w:hAnsi="Times New Roman" w:cs="Times New Roman"/>
                <w:sz w:val="20"/>
                <w:szCs w:val="20"/>
              </w:rPr>
              <w:t>with the exception of</w:t>
            </w:r>
            <w:proofErr w:type="gramEnd"/>
            <w:r w:rsidRPr="00E97569">
              <w:rPr>
                <w:rFonts w:ascii="Times New Roman" w:hAnsi="Times New Roman" w:cs="Times New Roman"/>
                <w:sz w:val="20"/>
                <w:szCs w:val="20"/>
              </w:rPr>
              <w:t xml:space="preserve"> the Middle East, Japan and Former Soviet Union states.</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LAM</w:t>
            </w:r>
          </w:p>
        </w:tc>
        <w:tc>
          <w:tcPr>
            <w:tcW w:w="7370" w:type="dxa"/>
          </w:tcPr>
          <w:p w14:paraId="52A6B3B9" w14:textId="0FC153E4"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630436FE" w14:textId="1F6FDCC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19D66D0B" w14:textId="3ED5243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19BB57CB" w14:textId="7DB7202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Ecomonies of the Former Soviet Union.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63A8D73C" w:rsidR="00CB7721" w:rsidRPr="00CB7721" w:rsidRDefault="00CB7721" w:rsidP="00DE4E6E">
            <w:pPr>
              <w:pStyle w:val="SMcaption"/>
              <w:rPr>
                <w:rFonts w:ascii="Times New Roman" w:hAnsi="Times New Roman" w:cs="Times New Roman"/>
                <w:sz w:val="20"/>
              </w:rPr>
            </w:pPr>
            <w:commentRangeStart w:id="8"/>
            <w:r w:rsidRPr="00CB7721">
              <w:rPr>
                <w:rFonts w:ascii="Times New Roman" w:hAnsi="Times New Roman" w:cs="Times New Roman"/>
                <w:sz w:val="20"/>
              </w:rPr>
              <w:t>European Union</w:t>
            </w:r>
            <w:commentRangeEnd w:id="8"/>
            <w:r w:rsidR="00AD3F34">
              <w:rPr>
                <w:rStyle w:val="CommentReference"/>
                <w:rFonts w:ascii="Times New Roman" w:eastAsia="Times New Roman" w:hAnsi="Times New Roman" w:cs="Times New Roman"/>
              </w:rPr>
              <w:commentReference w:id="8"/>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A961501" w14:textId="7779052E" w:rsidR="002D4B0E" w:rsidRPr="00705C71" w:rsidRDefault="002D4B0E"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At the time of writing, announced COVID-19 fiscal stimulus (as a proportion of GDP) already exceeded the stimulus provided in the wake of the 2008-2009 Global Financial Crisis (</w:t>
            </w:r>
            <w:r w:rsidRPr="00705C71">
              <w:rPr>
                <w:rFonts w:ascii="Times New Roman" w:hAnsi="Times New Roman" w:cs="Times New Roman"/>
                <w:i/>
                <w:iCs/>
                <w:sz w:val="20"/>
                <w:szCs w:val="20"/>
              </w:rPr>
              <w:t>4</w:t>
            </w:r>
            <w:r w:rsidRPr="00705C71">
              <w:rPr>
                <w:rFonts w:ascii="Times New Roman" w:hAnsi="Times New Roman" w:cs="Times New Roman"/>
                <w:sz w:val="20"/>
                <w:szCs w:val="20"/>
              </w:rPr>
              <w:t xml:space="preserve">) by a factor </w:t>
            </w:r>
            <w:proofErr w:type="gramStart"/>
            <w:r w:rsidRPr="00705C71">
              <w:rPr>
                <w:rFonts w:ascii="Times New Roman" w:hAnsi="Times New Roman" w:cs="Times New Roman"/>
                <w:sz w:val="20"/>
                <w:szCs w:val="20"/>
              </w:rPr>
              <w:t xml:space="preserve">of  </w:t>
            </w:r>
            <w:r w:rsidR="00705C71">
              <w:rPr>
                <w:rFonts w:ascii="Times New Roman" w:hAnsi="Times New Roman" w:cs="Times New Roman"/>
                <w:sz w:val="20"/>
                <w:szCs w:val="20"/>
              </w:rPr>
              <w:t>2</w:t>
            </w:r>
            <w:proofErr w:type="gramEnd"/>
            <w:r w:rsidRPr="00705C71">
              <w:rPr>
                <w:rFonts w:ascii="Times New Roman" w:hAnsi="Times New Roman" w:cs="Times New Roman"/>
                <w:sz w:val="20"/>
                <w:szCs w:val="20"/>
              </w:rPr>
              <w:t>.</w:t>
            </w:r>
          </w:p>
          <w:p w14:paraId="0F74DEDF" w14:textId="77777777" w:rsidR="003C0083" w:rsidRPr="00705C71" w:rsidRDefault="003C0083" w:rsidP="00DE4E6E">
            <w:pPr>
              <w:pStyle w:val="SMcaption"/>
              <w:rPr>
                <w:rFonts w:ascii="Times New Roman" w:hAnsi="Times New Roman" w:cs="Times New Roman"/>
                <w:sz w:val="20"/>
                <w:szCs w:val="20"/>
              </w:rPr>
            </w:pPr>
          </w:p>
        </w:tc>
        <w:tc>
          <w:tcPr>
            <w:tcW w:w="4615" w:type="dxa"/>
          </w:tcPr>
          <w:p w14:paraId="1196CC95" w14:textId="3E395C25" w:rsidR="003C0083" w:rsidRPr="00705C71" w:rsidRDefault="002D4B0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USD 12</w:t>
            </w:r>
            <w:r w:rsidR="00C5781D">
              <w:rPr>
                <w:rFonts w:ascii="Times New Roman" w:hAnsi="Times New Roman" w:cs="Times New Roman"/>
                <w:sz w:val="20"/>
                <w:szCs w:val="20"/>
              </w:rPr>
              <w:t>500 billion</w:t>
            </w:r>
            <w:r w:rsidRPr="00705C71">
              <w:rPr>
                <w:rFonts w:ascii="Times New Roman" w:hAnsi="Times New Roman" w:cs="Times New Roman"/>
                <w:sz w:val="20"/>
                <w:szCs w:val="20"/>
              </w:rPr>
              <w:t xml:space="preserve"> (current </w:t>
            </w:r>
            <w:r w:rsidR="00705C71">
              <w:rPr>
                <w:rFonts w:ascii="Times New Roman" w:hAnsi="Times New Roman" w:cs="Times New Roman"/>
                <w:sz w:val="20"/>
                <w:szCs w:val="20"/>
              </w:rPr>
              <w:t>global stimulus, Fig.1</w:t>
            </w:r>
            <w:r w:rsidRPr="00705C71">
              <w:rPr>
                <w:rFonts w:ascii="Times New Roman" w:hAnsi="Times New Roman" w:cs="Times New Roman"/>
                <w:sz w:val="20"/>
                <w:szCs w:val="20"/>
              </w:rPr>
              <w:t>)/USD 3</w:t>
            </w:r>
            <w:r w:rsidR="00C5781D">
              <w:rPr>
                <w:rFonts w:ascii="Times New Roman" w:hAnsi="Times New Roman" w:cs="Times New Roman"/>
                <w:sz w:val="20"/>
                <w:szCs w:val="20"/>
              </w:rPr>
              <w:t xml:space="preserve">000 billion </w:t>
            </w:r>
            <w:r w:rsidRPr="00705C71">
              <w:rPr>
                <w:rFonts w:ascii="Times New Roman" w:hAnsi="Times New Roman" w:cs="Times New Roman"/>
                <w:sz w:val="20"/>
                <w:szCs w:val="20"/>
              </w:rPr>
              <w:t>(after the GFC, based on ref. 4)</w:t>
            </w: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As of July 2020, our tracking framework showed aggregate fiscal stimuli amounting to USD 12.5 trillion, 80% of which comes from OECD countries (Fig. 1, Figures S</w:t>
            </w:r>
            <w:proofErr w:type="gramStart"/>
            <w:r w:rsidRPr="00705C71">
              <w:rPr>
                <w:rFonts w:ascii="Times New Roman" w:hAnsi="Times New Roman" w:cs="Times New Roman"/>
                <w:sz w:val="20"/>
                <w:szCs w:val="20"/>
              </w:rPr>
              <w:t>1,S</w:t>
            </w:r>
            <w:proofErr w:type="gramEnd"/>
            <w:r w:rsidRPr="00705C71">
              <w:rPr>
                <w:rFonts w:ascii="Times New Roman" w:hAnsi="Times New Roman" w:cs="Times New Roman"/>
                <w:sz w:val="20"/>
                <w:szCs w:val="20"/>
              </w:rPr>
              <w:t>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59A2EB46" w:rsidR="008A5C42" w:rsidRPr="00705C71" w:rsidRDefault="008A5C42"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What we can glean from the available data is that at present, 55% about is dedicated to the “above-the-line” measures (of which 4% targeted at the health sector, and 51% percent to other sectors), while 45% is intended for liquidity support.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7DA92CC8" w:rsidR="0093703E" w:rsidRPr="00705C71" w:rsidRDefault="0093703E"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Average annual low-carbon energy and efficiency investments under a Paris-compatible pathway have been estimated at about 1.3 trillion USD per year over the near term between 2020 and 2024 (11, 12). This amounts to about 10% of the total pledged post-COVID-19 stimulus to date (Fig. 1, Figures S</w:t>
            </w:r>
            <w:proofErr w:type="gramStart"/>
            <w:r w:rsidRPr="00705C71">
              <w:rPr>
                <w:rFonts w:ascii="Times New Roman" w:hAnsi="Times New Roman" w:cs="Times New Roman"/>
                <w:sz w:val="20"/>
                <w:szCs w:val="20"/>
              </w:rPr>
              <w:t>3,S</w:t>
            </w:r>
            <w:proofErr w:type="gramEnd"/>
            <w:r w:rsidRPr="00705C71">
              <w:rPr>
                <w:rFonts w:ascii="Times New Roman" w:hAnsi="Times New Roman" w:cs="Times New Roman"/>
                <w:sz w:val="20"/>
                <w:szCs w:val="20"/>
              </w:rPr>
              <w:t>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6AD85CF9" w14:textId="74B655D6" w:rsidR="0093703E" w:rsidRPr="00705C71" w:rsidRDefault="0093703E"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These incremental low-carbon invest-ments globally amount to about 300 billion USD per year over the coming five years (Fig. 1, Fig. S5). This number in isolation, however, masks an important part of the story, as increases in low-carbon </w:t>
            </w:r>
            <w:r w:rsidRPr="00705C71">
              <w:rPr>
                <w:rFonts w:ascii="Times New Roman" w:hAnsi="Times New Roman" w:cs="Times New Roman"/>
                <w:sz w:val="20"/>
                <w:szCs w:val="20"/>
              </w:rPr>
              <w:lastRenderedPageBreak/>
              <w:t>investments would necessarily be accompanied by divestment from high-carbon fossil-fuel investments of about 280 billion USD per year over the same time period. Subtracting these two estimates (investments – divestments) indicates that the additional net annual investments to achieve an ambitious low-carbon trans-formation in the energy sector amounts to about 20 billion USD per year, which is around 0.16% of the total announced stimulus to date (compare Fig. S5 to S1 and S2).</w:t>
            </w: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7DAE311"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In S1, the total global stimulus is shown on the right-most bar, with the total value of 12500 b (and 20 b from above being 0.16%)</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S5; Fig. S1</w:t>
            </w:r>
          </w:p>
        </w:tc>
      </w:tr>
      <w:tr w:rsidR="00705C71" w:rsidRPr="002D4B0E" w14:paraId="1B334292" w14:textId="77777777" w:rsidTr="00705C71">
        <w:tc>
          <w:tcPr>
            <w:tcW w:w="3177" w:type="dxa"/>
          </w:tcPr>
          <w:p w14:paraId="089F825A" w14:textId="188D9FD3" w:rsidR="00705C71" w:rsidRPr="00705C71" w:rsidRDefault="00705C71"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The situation is quite different for developing economies. So far, stimulus packages in these geographies only amount to a small </w:t>
            </w:r>
            <w:r w:rsidRPr="00B061AB">
              <w:rPr>
                <w:rFonts w:ascii="Times New Roman" w:hAnsi="Times New Roman" w:cs="Times New Roman"/>
                <w:sz w:val="20"/>
                <w:szCs w:val="20"/>
              </w:rPr>
              <w:t>fraction (~18%) of what developed countries are putting</w:t>
            </w:r>
            <w:r w:rsidRPr="00705C71">
              <w:rPr>
                <w:rFonts w:ascii="Times New Roman" w:hAnsi="Times New Roman" w:cs="Times New Roman"/>
                <w:sz w:val="20"/>
                <w:szCs w:val="20"/>
              </w:rPr>
              <w:t xml:space="preserve"> forward.</w:t>
            </w:r>
          </w:p>
        </w:tc>
        <w:tc>
          <w:tcPr>
            <w:tcW w:w="4615" w:type="dxa"/>
          </w:tcPr>
          <w:p w14:paraId="6A5858EF" w14:textId="7657722E"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On Fig. S1, the stimulus packages of developing countries (here considered in ASIA, LAM, MAF and REF) add up to about 2200 b, which is about 18% of the global total of 12500 b (right-most bar)</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EF00954" w14:textId="77777777" w:rsidR="00705C71" w:rsidRPr="00705C71" w:rsidRDefault="00705C71"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For example, India’s total annual low-carbon energy investment needs relative to GDP are about </w:t>
            </w:r>
            <w:r w:rsidRPr="00B061AB">
              <w:rPr>
                <w:rFonts w:ascii="Times New Roman" w:hAnsi="Times New Roman" w:cs="Times New Roman"/>
                <w:sz w:val="20"/>
                <w:szCs w:val="20"/>
              </w:rPr>
              <w:t>4 times higher than those of the EU;</w:t>
            </w:r>
            <w:r w:rsidRPr="00705C71">
              <w:rPr>
                <w:rFonts w:ascii="Times New Roman" w:hAnsi="Times New Roman" w:cs="Times New Roman"/>
                <w:sz w:val="20"/>
                <w:szCs w:val="20"/>
              </w:rPr>
              <w:t xml:space="preserve"> but the countries’ stimulus package is only about half the size in relative terms.</w:t>
            </w:r>
          </w:p>
          <w:p w14:paraId="73B363A2" w14:textId="77777777" w:rsidR="00705C71" w:rsidRPr="00705C71" w:rsidRDefault="00705C71" w:rsidP="00DE4E6E">
            <w:pPr>
              <w:pStyle w:val="Paragraph"/>
              <w:jc w:val="left"/>
              <w:rPr>
                <w:rFonts w:ascii="Times New Roman" w:hAnsi="Times New Roman" w:cs="Times New Roman"/>
                <w:sz w:val="20"/>
                <w:szCs w:val="20"/>
              </w:rPr>
            </w:pPr>
          </w:p>
        </w:tc>
        <w:tc>
          <w:tcPr>
            <w:tcW w:w="4615" w:type="dxa"/>
          </w:tcPr>
          <w:p w14:paraId="44023D28" w14:textId="7F38D1B7"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We compare the energy investment needs shown on Fig. S6 (right set of panels, for the EU and India (IND)), with the EU’s estimates at about 1% of the GDP, and for India about 4%.</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S6</w:t>
            </w:r>
          </w:p>
        </w:tc>
      </w:tr>
    </w:tbl>
    <w:p w14:paraId="3D015A9C" w14:textId="77777777" w:rsidR="00E97569" w:rsidRPr="002D4B0E" w:rsidRDefault="00E97569" w:rsidP="00DE4E6E">
      <w:pPr>
        <w:pStyle w:val="SMcaption"/>
      </w:pPr>
    </w:p>
    <w:p w14:paraId="501F4F7C" w14:textId="77777777" w:rsidR="004C2B06" w:rsidRDefault="004C2B06">
      <w:pPr>
        <w:rPr>
          <w:b/>
          <w:bCs/>
          <w:kern w:val="32"/>
          <w:szCs w:val="24"/>
        </w:rPr>
      </w:pPr>
      <w:r>
        <w:br w:type="page"/>
      </w:r>
    </w:p>
    <w:p w14:paraId="2B6BCA94" w14:textId="3408C94D" w:rsidR="00C50C6D" w:rsidRPr="00355362" w:rsidRDefault="00C50C6D" w:rsidP="00DE4E6E">
      <w:pPr>
        <w:pStyle w:val="SMHeading"/>
      </w:pPr>
      <w:r>
        <w:lastRenderedPageBreak/>
        <w:t xml:space="preserve">Data </w:t>
      </w:r>
      <w:r w:rsidRPr="00355362">
        <w:t>S1</w:t>
      </w:r>
      <w:r w:rsidR="008218C4">
        <w:t>.</w:t>
      </w:r>
      <w:r w:rsidRPr="00355362">
        <w:t xml:space="preserve"> </w:t>
      </w:r>
      <w:r>
        <w:t>(separate file)</w:t>
      </w:r>
    </w:p>
    <w:p w14:paraId="30835E0F" w14:textId="2E0CF088" w:rsidR="002254CD" w:rsidRDefault="002254CD" w:rsidP="00DE4E6E">
      <w:r>
        <w:t xml:space="preserve">All data underlying this analysis are available at: </w:t>
      </w:r>
      <w:r w:rsidR="004C2B06">
        <w:br/>
      </w:r>
      <w:hyperlink r:id="rId24" w:history="1">
        <w:r w:rsidR="00ED576B" w:rsidRPr="00C711C4">
          <w:rPr>
            <w:rStyle w:val="Hyperlink"/>
          </w:rPr>
          <w:t>https://github.com/marina-andrijevic/covid_recovery/tree/master/data</w:t>
        </w:r>
      </w:hyperlink>
    </w:p>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C44957" w:rsidRDefault="00C44957">
      <w:pPr>
        <w:pStyle w:val="CommentText"/>
      </w:pPr>
      <w:r>
        <w:rPr>
          <w:rStyle w:val="CommentReference"/>
        </w:rPr>
        <w:annotationRef/>
      </w:r>
      <w:proofErr w:type="gramStart"/>
      <w:r>
        <w:t>Shouldn’t</w:t>
      </w:r>
      <w:proofErr w:type="gramEnd"/>
      <w:r>
        <w:t xml:space="preserve"> we be specific about the dollar year.  2019 or 2020?</w:t>
      </w:r>
    </w:p>
  </w:comment>
  <w:comment w:id="3" w:author="Rogelj, Joeri" w:date="2020-08-02T18:31:00Z" w:initials="RJ">
    <w:p w14:paraId="6EC45923" w14:textId="597BBAD8" w:rsidR="005E11AB" w:rsidRDefault="005E11AB">
      <w:pPr>
        <w:pStyle w:val="CommentText"/>
      </w:pPr>
      <w:r>
        <w:rPr>
          <w:rStyle w:val="CommentReference"/>
        </w:rPr>
        <w:annotationRef/>
      </w:r>
      <w:r>
        <w:t>We should</w:t>
      </w:r>
      <w:r>
        <w:br/>
        <w:t>@Marina, can you specify this?</w:t>
      </w:r>
    </w:p>
  </w:comment>
  <w:comment w:id="4" w:author="Rogelj, Joeri" w:date="2020-08-02T18:38:00Z" w:initials="RJ">
    <w:p w14:paraId="715D4D36" w14:textId="616D7108" w:rsidR="001723DE" w:rsidRDefault="001723DE">
      <w:pPr>
        <w:pStyle w:val="CommentText"/>
      </w:pPr>
      <w:r>
        <w:rPr>
          <w:rStyle w:val="CommentReference"/>
        </w:rPr>
        <w:annotationRef/>
      </w:r>
      <w:r>
        <w:t xml:space="preserve">Stimulus of India in this figure is inconsistent with the plots provided for the Figure in the main text. </w:t>
      </w:r>
    </w:p>
  </w:comment>
  <w:comment w:id="5" w:author="Rogelj, Joeri" w:date="2020-08-02T18:38:00Z" w:initials="RJ">
    <w:p w14:paraId="24235A7B" w14:textId="6EA60010" w:rsidR="001723DE" w:rsidRDefault="001723DE">
      <w:pPr>
        <w:pStyle w:val="CommentText"/>
      </w:pPr>
      <w:r>
        <w:rPr>
          <w:rStyle w:val="CommentReference"/>
        </w:rPr>
        <w:annotationRef/>
      </w:r>
      <w:r>
        <w:t>Is this correct?</w:t>
      </w:r>
    </w:p>
  </w:comment>
  <w:comment w:id="6" w:author="Rogelj, Joeri" w:date="2020-08-02T18:39:00Z" w:initials="RJ">
    <w:p w14:paraId="6B3D1596" w14:textId="69D9C811" w:rsidR="006A6EB5" w:rsidRDefault="006A6EB5">
      <w:pPr>
        <w:pStyle w:val="CommentText"/>
      </w:pPr>
      <w:r>
        <w:rPr>
          <w:rStyle w:val="CommentReference"/>
        </w:rPr>
        <w:annotationRef/>
      </w:r>
      <w:r>
        <w:t>These numbers need units to be defined somewhere.</w:t>
      </w:r>
    </w:p>
  </w:comment>
  <w:comment w:id="7" w:author="Rogelj, Joeri" w:date="2020-08-02T18:40:00Z" w:initials="RJ">
    <w:p w14:paraId="25D286ED" w14:textId="3C60F192" w:rsidR="00AD3F34" w:rsidRDefault="00AD3F34">
      <w:pPr>
        <w:pStyle w:val="CommentText"/>
      </w:pPr>
      <w:r>
        <w:rPr>
          <w:rStyle w:val="CommentReference"/>
        </w:rPr>
        <w:annotationRef/>
      </w:r>
      <w:r>
        <w:t xml:space="preserve">Include lists of names of all countries that are included in the respective regions. </w:t>
      </w:r>
    </w:p>
  </w:comment>
  <w:comment w:id="8" w:author="Rogelj, Joeri" w:date="2020-08-02T18:41:00Z" w:initials="RJ">
    <w:p w14:paraId="6E203957" w14:textId="312BF9E6" w:rsidR="00AD3F34" w:rsidRDefault="00AD3F34">
      <w:pPr>
        <w:pStyle w:val="CommentText"/>
      </w:pPr>
      <w:r>
        <w:rPr>
          <w:rStyle w:val="CommentReference"/>
        </w:rPr>
        <w:annotationRef/>
      </w:r>
      <w:r>
        <w:t xml:space="preserve">Define whether this includes UK. If excluding the UK, add between brackets; if including, clarify in footnote.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0"/>
  <w15:commentEx w15:paraId="6EC45923" w15:paraIdParent="69EC9BFA" w15:done="0"/>
  <w15:commentEx w15:paraId="715D4D36" w15:done="0"/>
  <w15:commentEx w15:paraId="24235A7B" w15:done="0"/>
  <w15:commentEx w15:paraId="6B3D1596" w15:done="0"/>
  <w15:commentEx w15:paraId="25D286ED" w15:done="0"/>
  <w15:commentEx w15:paraId="6E203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184EE" w16cex:dateUtc="2020-08-02T17:31:00Z"/>
  <w16cex:commentExtensible w16cex:durableId="22D186B6" w16cex:dateUtc="2020-08-02T17:38:00Z"/>
  <w16cex:commentExtensible w16cex:durableId="22D18695" w16cex:dateUtc="2020-08-02T17:38:00Z"/>
  <w16cex:commentExtensible w16cex:durableId="22D186FC" w16cex:dateUtc="2020-08-02T17:39:00Z"/>
  <w16cex:commentExtensible w16cex:durableId="22D18738" w16cex:dateUtc="2020-08-02T17:40:00Z"/>
  <w16cex:commentExtensible w16cex:durableId="22D18756" w16cex:dateUtc="2020-08-02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Id w16cid:paraId="6EC45923" w16cid:durableId="22D184EE"/>
  <w16cid:commentId w16cid:paraId="715D4D36" w16cid:durableId="22D186B6"/>
  <w16cid:commentId w16cid:paraId="24235A7B" w16cid:durableId="22D18695"/>
  <w16cid:commentId w16cid:paraId="6B3D1596" w16cid:durableId="22D186FC"/>
  <w16cid:commentId w16cid:paraId="25D286ED" w16cid:durableId="22D18738"/>
  <w16cid:commentId w16cid:paraId="6E203957" w16cid:durableId="22D187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DC2A6" w14:textId="77777777" w:rsidR="0013315A" w:rsidRDefault="0013315A">
      <w:r>
        <w:separator/>
      </w:r>
    </w:p>
  </w:endnote>
  <w:endnote w:type="continuationSeparator" w:id="0">
    <w:p w14:paraId="6E16282B" w14:textId="77777777" w:rsidR="0013315A" w:rsidRDefault="00133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MillerDaily">
    <w:altName w:val="Calibri"/>
    <w:panose1 w:val="00000000000000000000"/>
    <w:charset w:val="00"/>
    <w:family w:val="modern"/>
    <w:notTrueType/>
    <w:pitch w:val="variable"/>
    <w:sig w:usb0="800000AF" w:usb1="5000204A" w:usb2="00000000" w:usb3="00000000" w:csb0="00000001" w:csb1="00000000"/>
  </w:font>
  <w:font w:name="MillerDaily Roman">
    <w:altName w:val="Cambria"/>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C44957" w:rsidRDefault="00C44957">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C44957" w:rsidRDefault="00C4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A2DAC" w14:textId="77777777" w:rsidR="0013315A" w:rsidRDefault="0013315A">
      <w:r>
        <w:separator/>
      </w:r>
    </w:p>
  </w:footnote>
  <w:footnote w:type="continuationSeparator" w:id="0">
    <w:p w14:paraId="639EB7B1" w14:textId="77777777" w:rsidR="0013315A" w:rsidRDefault="00133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C44957" w:rsidRPr="005001AC" w:rsidRDefault="00C44957" w:rsidP="005001AC">
    <w:pPr>
      <w:jc w:val="right"/>
      <w:rPr>
        <w:sz w:val="20"/>
      </w:rPr>
    </w:pPr>
  </w:p>
  <w:p w14:paraId="3CD866EE" w14:textId="77777777" w:rsidR="00C44957" w:rsidRDefault="00C449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Collum, David">
    <w15:presenceInfo w15:providerId="AD" w15:userId="S::DMcCollum@epri.com::a1284153-985a-4b65-a33b-f252e22df11d"/>
  </w15:person>
  <w15:person w15:author="Rogelj, Joeri">
    <w15:presenceInfo w15:providerId="AD" w15:userId="S::jrogelj@ic.ac.uk::e1d4b9d5-2a66-4e82-abf3-ba9fdf53c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65EBD"/>
    <w:rsid w:val="00083B44"/>
    <w:rsid w:val="000850DC"/>
    <w:rsid w:val="000C2771"/>
    <w:rsid w:val="000C62C2"/>
    <w:rsid w:val="000D46F4"/>
    <w:rsid w:val="000F0DCE"/>
    <w:rsid w:val="000F6BE3"/>
    <w:rsid w:val="00112C5B"/>
    <w:rsid w:val="00114193"/>
    <w:rsid w:val="00115A38"/>
    <w:rsid w:val="0011687B"/>
    <w:rsid w:val="00124F82"/>
    <w:rsid w:val="0013315A"/>
    <w:rsid w:val="0016337A"/>
    <w:rsid w:val="00164269"/>
    <w:rsid w:val="001723DE"/>
    <w:rsid w:val="001A08F0"/>
    <w:rsid w:val="001A1BDE"/>
    <w:rsid w:val="001F0876"/>
    <w:rsid w:val="001F167C"/>
    <w:rsid w:val="001F5E91"/>
    <w:rsid w:val="002077B9"/>
    <w:rsid w:val="002248D7"/>
    <w:rsid w:val="002254CD"/>
    <w:rsid w:val="00262D72"/>
    <w:rsid w:val="00294FBB"/>
    <w:rsid w:val="002C030F"/>
    <w:rsid w:val="002C5DE8"/>
    <w:rsid w:val="002D4B0E"/>
    <w:rsid w:val="00331D75"/>
    <w:rsid w:val="00355362"/>
    <w:rsid w:val="00363E44"/>
    <w:rsid w:val="003755FE"/>
    <w:rsid w:val="00395E86"/>
    <w:rsid w:val="003A2FD8"/>
    <w:rsid w:val="003B40E6"/>
    <w:rsid w:val="003B44B6"/>
    <w:rsid w:val="003C0083"/>
    <w:rsid w:val="003E74FB"/>
    <w:rsid w:val="003F6E14"/>
    <w:rsid w:val="00405336"/>
    <w:rsid w:val="0042183E"/>
    <w:rsid w:val="004444A4"/>
    <w:rsid w:val="004571D5"/>
    <w:rsid w:val="00461D81"/>
    <w:rsid w:val="0046356B"/>
    <w:rsid w:val="00477182"/>
    <w:rsid w:val="004779CB"/>
    <w:rsid w:val="00487287"/>
    <w:rsid w:val="004C2B06"/>
    <w:rsid w:val="004E42D8"/>
    <w:rsid w:val="004E7BA2"/>
    <w:rsid w:val="004F7EDF"/>
    <w:rsid w:val="005001AC"/>
    <w:rsid w:val="00527D71"/>
    <w:rsid w:val="005520A8"/>
    <w:rsid w:val="005607DD"/>
    <w:rsid w:val="005A558C"/>
    <w:rsid w:val="005E11AB"/>
    <w:rsid w:val="005E28F8"/>
    <w:rsid w:val="005E6513"/>
    <w:rsid w:val="005F5B04"/>
    <w:rsid w:val="00651114"/>
    <w:rsid w:val="00663B16"/>
    <w:rsid w:val="00664560"/>
    <w:rsid w:val="00670299"/>
    <w:rsid w:val="00691985"/>
    <w:rsid w:val="00692DD6"/>
    <w:rsid w:val="006A1B64"/>
    <w:rsid w:val="006A6EB5"/>
    <w:rsid w:val="00705C71"/>
    <w:rsid w:val="007108F5"/>
    <w:rsid w:val="00713E5B"/>
    <w:rsid w:val="007324FE"/>
    <w:rsid w:val="007402FC"/>
    <w:rsid w:val="007411A1"/>
    <w:rsid w:val="0077691F"/>
    <w:rsid w:val="00793072"/>
    <w:rsid w:val="007D4CB9"/>
    <w:rsid w:val="00807D35"/>
    <w:rsid w:val="008218C4"/>
    <w:rsid w:val="00867A98"/>
    <w:rsid w:val="00870867"/>
    <w:rsid w:val="00882200"/>
    <w:rsid w:val="00885C9B"/>
    <w:rsid w:val="008969C9"/>
    <w:rsid w:val="008A5C42"/>
    <w:rsid w:val="008D5D2A"/>
    <w:rsid w:val="00914B63"/>
    <w:rsid w:val="009354F3"/>
    <w:rsid w:val="0093703E"/>
    <w:rsid w:val="009447DC"/>
    <w:rsid w:val="00961BA5"/>
    <w:rsid w:val="0096329F"/>
    <w:rsid w:val="009743A9"/>
    <w:rsid w:val="009A2827"/>
    <w:rsid w:val="009A5287"/>
    <w:rsid w:val="009B2AC5"/>
    <w:rsid w:val="009B7984"/>
    <w:rsid w:val="009F4BED"/>
    <w:rsid w:val="009F7D93"/>
    <w:rsid w:val="00A3403B"/>
    <w:rsid w:val="00A51A12"/>
    <w:rsid w:val="00A627D4"/>
    <w:rsid w:val="00A74DA2"/>
    <w:rsid w:val="00AB399E"/>
    <w:rsid w:val="00AC205F"/>
    <w:rsid w:val="00AC59D0"/>
    <w:rsid w:val="00AD16B1"/>
    <w:rsid w:val="00AD3F34"/>
    <w:rsid w:val="00AD499C"/>
    <w:rsid w:val="00B061AB"/>
    <w:rsid w:val="00B36869"/>
    <w:rsid w:val="00B43B31"/>
    <w:rsid w:val="00B47CFA"/>
    <w:rsid w:val="00B57F00"/>
    <w:rsid w:val="00B77B2A"/>
    <w:rsid w:val="00B82C22"/>
    <w:rsid w:val="00B93DBA"/>
    <w:rsid w:val="00B9440A"/>
    <w:rsid w:val="00BB2D2A"/>
    <w:rsid w:val="00BC3E04"/>
    <w:rsid w:val="00BD0989"/>
    <w:rsid w:val="00BD23A1"/>
    <w:rsid w:val="00BD58CF"/>
    <w:rsid w:val="00BF0C92"/>
    <w:rsid w:val="00C04CC1"/>
    <w:rsid w:val="00C4096C"/>
    <w:rsid w:val="00C44957"/>
    <w:rsid w:val="00C50C6D"/>
    <w:rsid w:val="00C5781D"/>
    <w:rsid w:val="00C600D9"/>
    <w:rsid w:val="00C92B22"/>
    <w:rsid w:val="00CA455E"/>
    <w:rsid w:val="00CB7721"/>
    <w:rsid w:val="00CC1384"/>
    <w:rsid w:val="00CD3720"/>
    <w:rsid w:val="00CF1848"/>
    <w:rsid w:val="00CF5C2F"/>
    <w:rsid w:val="00D04BCF"/>
    <w:rsid w:val="00D143D9"/>
    <w:rsid w:val="00D5511B"/>
    <w:rsid w:val="00D766F1"/>
    <w:rsid w:val="00DE4E6E"/>
    <w:rsid w:val="00E257C8"/>
    <w:rsid w:val="00E41512"/>
    <w:rsid w:val="00E4519A"/>
    <w:rsid w:val="00E853D5"/>
    <w:rsid w:val="00E97569"/>
    <w:rsid w:val="00E9773B"/>
    <w:rsid w:val="00EA6F42"/>
    <w:rsid w:val="00EC13A3"/>
    <w:rsid w:val="00EC26B3"/>
    <w:rsid w:val="00EC553B"/>
    <w:rsid w:val="00EC7C85"/>
    <w:rsid w:val="00ED576B"/>
    <w:rsid w:val="00F125EE"/>
    <w:rsid w:val="00F12E98"/>
    <w:rsid w:val="00F22029"/>
    <w:rsid w:val="00F33CF5"/>
    <w:rsid w:val="00F515FB"/>
    <w:rsid w:val="00F630EA"/>
    <w:rsid w:val="00F7007E"/>
    <w:rsid w:val="00F73193"/>
    <w:rsid w:val="00F74F95"/>
    <w:rsid w:val="00F80705"/>
    <w:rsid w:val="00F97E43"/>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hyperlink" Target="https://github.com/marina-andrijevic/covid_recovery/tree/master/data"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20</Pages>
  <Words>7007</Words>
  <Characters>39941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46855</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Rogelj, Joeri</cp:lastModifiedBy>
  <cp:revision>14</cp:revision>
  <cp:lastPrinted>2018-01-11T19:53:00Z</cp:lastPrinted>
  <dcterms:created xsi:type="dcterms:W3CDTF">2020-08-01T20:27:00Z</dcterms:created>
  <dcterms:modified xsi:type="dcterms:W3CDTF">2020-08-02T17:42:00Z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