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B0F6E9" w14:textId="2E9B101E" w:rsidR="00015D7C" w:rsidRPr="00AC0BC7" w:rsidRDefault="0057611E" w:rsidP="006C5CF2">
      <w:pPr>
        <w:pStyle w:val="HEAD"/>
      </w:pPr>
      <w:bookmarkStart w:id="0" w:name="_Ref333403857"/>
      <w:bookmarkStart w:id="1" w:name="_Toc339538551"/>
      <w:bookmarkStart w:id="2" w:name="_Toc389036524"/>
      <w:r>
        <w:t>Cold</w:t>
      </w:r>
      <w:r w:rsidR="00015D7C" w:rsidRPr="00AC0BC7">
        <w:t>-Related Deaths</w:t>
      </w:r>
      <w:bookmarkEnd w:id="0"/>
      <w:bookmarkEnd w:id="1"/>
      <w:bookmarkEnd w:id="2"/>
    </w:p>
    <w:p w14:paraId="6EFCFFDD" w14:textId="77777777" w:rsidR="00015D7C" w:rsidRPr="00AC0BC7" w:rsidRDefault="00015D7C" w:rsidP="006C5CF2">
      <w:pPr>
        <w:pStyle w:val="Heading1nonumbering"/>
      </w:pPr>
      <w:r w:rsidRPr="00AC0BC7">
        <w:t>Identification</w:t>
      </w:r>
    </w:p>
    <w:p w14:paraId="7AF0BC77" w14:textId="77777777" w:rsidR="00015D7C" w:rsidRDefault="00015D7C" w:rsidP="00522041">
      <w:pPr>
        <w:pStyle w:val="Heading2"/>
        <w:numPr>
          <w:ilvl w:val="1"/>
          <w:numId w:val="49"/>
        </w:numPr>
      </w:pPr>
      <w:r w:rsidRPr="00AC0BC7">
        <w:t>Indicator Description</w:t>
      </w:r>
    </w:p>
    <w:p w14:paraId="007B12C0" w14:textId="4F01E432" w:rsidR="00015D7C" w:rsidRPr="00495D6A" w:rsidRDefault="00465EF1" w:rsidP="0032112C">
      <w:pPr>
        <w:pStyle w:val="BodyText"/>
      </w:pPr>
      <w:r w:rsidRPr="00465EF1">
        <w:t>Unusually cold winter temperatures (e.g., multi-day cold waves)</w:t>
      </w:r>
      <w:r w:rsidR="00015D7C" w:rsidRPr="009D4A13">
        <w:t xml:space="preserve"> have become </w:t>
      </w:r>
      <w:r w:rsidR="0057611E">
        <w:t>less</w:t>
      </w:r>
      <w:r w:rsidR="0057611E" w:rsidRPr="009D4A13">
        <w:t xml:space="preserve"> </w:t>
      </w:r>
      <w:r w:rsidR="00015D7C" w:rsidRPr="009D4A13">
        <w:t xml:space="preserve">frequent in </w:t>
      </w:r>
      <w:r w:rsidR="00015D7C">
        <w:t>the United States</w:t>
      </w:r>
      <w:r w:rsidR="00015D7C" w:rsidRPr="009D4A13">
        <w:t xml:space="preserve"> in recent decades (see the </w:t>
      </w:r>
      <w:r w:rsidR="00015D7C">
        <w:t>High and Low Temperatures</w:t>
      </w:r>
      <w:r w:rsidR="00015D7C" w:rsidRPr="009D4A13">
        <w:t xml:space="preserve"> indicator), and </w:t>
      </w:r>
      <w:r w:rsidR="00015D7C">
        <w:t xml:space="preserve">studies project that the frequency and intensity of extreme </w:t>
      </w:r>
      <w:r w:rsidR="0057611E">
        <w:t>cold wave</w:t>
      </w:r>
      <w:r w:rsidR="001E097C">
        <w:t>s</w:t>
      </w:r>
      <w:r w:rsidR="00015D7C">
        <w:t xml:space="preserve"> will</w:t>
      </w:r>
      <w:r w:rsidR="0057611E">
        <w:t xml:space="preserve"> decrease</w:t>
      </w:r>
      <w:r w:rsidR="00015D7C">
        <w:t xml:space="preserve"> as a consequence of climate change</w:t>
      </w:r>
      <w:r w:rsidR="0057611E">
        <w:t xml:space="preserve"> and warming temperatures</w:t>
      </w:r>
      <w:r w:rsidR="00015D7C">
        <w:t xml:space="preserve"> (</w:t>
      </w:r>
      <w:r w:rsidR="002819B3">
        <w:t>USGCRP</w:t>
      </w:r>
      <w:r w:rsidR="00015D7C">
        <w:t>, 201</w:t>
      </w:r>
      <w:r w:rsidR="00F21AE9">
        <w:t>7</w:t>
      </w:r>
      <w:r w:rsidR="00015D7C">
        <w:t xml:space="preserve">). </w:t>
      </w:r>
      <w:r w:rsidR="00015D7C" w:rsidRPr="00BA19EB">
        <w:t xml:space="preserve">When people are exposed to extreme </w:t>
      </w:r>
      <w:r w:rsidR="0057611E">
        <w:t>cold</w:t>
      </w:r>
      <w:r w:rsidR="00015D7C" w:rsidRPr="00BA19EB">
        <w:t xml:space="preserve">, they can suffer from </w:t>
      </w:r>
      <w:r w:rsidR="003B286A">
        <w:t>cold</w:t>
      </w:r>
      <w:r w:rsidR="00015D7C" w:rsidRPr="00BA19EB">
        <w:t>-related illnesses</w:t>
      </w:r>
      <w:r w:rsidR="00AC4473">
        <w:t>,</w:t>
      </w:r>
      <w:r w:rsidR="00015D7C" w:rsidRPr="00BA19EB">
        <w:t xml:space="preserve"> such as</w:t>
      </w:r>
      <w:r w:rsidR="001E097C">
        <w:t xml:space="preserve"> frostbite and potentially deadly</w:t>
      </w:r>
      <w:r w:rsidR="00015D7C" w:rsidRPr="00BA19EB">
        <w:t xml:space="preserve"> </w:t>
      </w:r>
      <w:r w:rsidR="0057611E">
        <w:t>hypothermia</w:t>
      </w:r>
      <w:r w:rsidR="00015D7C" w:rsidRPr="00BA19EB">
        <w:t>.</w:t>
      </w:r>
      <w:r w:rsidR="00015D7C">
        <w:t xml:space="preserve"> </w:t>
      </w:r>
      <w:r w:rsidR="00AC4473">
        <w:t>Thus, as extreme cold events decrease, the risk of cold-</w:t>
      </w:r>
      <w:r w:rsidR="00AC4473" w:rsidRPr="00495D6A">
        <w:t>related deaths and illness i</w:t>
      </w:r>
      <w:r w:rsidR="001E097C" w:rsidRPr="00495D6A">
        <w:t>s</w:t>
      </w:r>
      <w:r w:rsidR="00AC4473" w:rsidRPr="00495D6A">
        <w:t xml:space="preserve"> also expected to decrease (</w:t>
      </w:r>
      <w:r w:rsidR="001C50D5" w:rsidRPr="00495D6A">
        <w:t>Sarofim et al., 2016</w:t>
      </w:r>
      <w:r w:rsidR="00AC4473" w:rsidRPr="00495D6A">
        <w:t>). Tracking the rate of reported overall cold-related deaths over time</w:t>
      </w:r>
      <w:r w:rsidR="003122CE" w:rsidRPr="00495D6A">
        <w:t xml:space="preserve"> and in conjunction with tracking heat-related deaths</w:t>
      </w:r>
      <w:r w:rsidR="00AC4473" w:rsidRPr="00495D6A">
        <w:t xml:space="preserve"> provides a measure of how climate change</w:t>
      </w:r>
      <w:r w:rsidR="003122CE" w:rsidRPr="00495D6A">
        <w:t xml:space="preserve"> and changing temperatures</w:t>
      </w:r>
      <w:r w:rsidR="00AC4473" w:rsidRPr="00495D6A">
        <w:t xml:space="preserve"> may affect human well-being.</w:t>
      </w:r>
    </w:p>
    <w:p w14:paraId="4D1B8D54" w14:textId="77777777" w:rsidR="00015D7C" w:rsidRPr="00495D6A" w:rsidRDefault="00015D7C" w:rsidP="0032112C">
      <w:pPr>
        <w:pStyle w:val="BodyText"/>
      </w:pPr>
      <w:r w:rsidRPr="00495D6A">
        <w:t>Components of this indicator include:</w:t>
      </w:r>
    </w:p>
    <w:p w14:paraId="4E8EEB62" w14:textId="169C3765" w:rsidR="00015D7C" w:rsidRPr="00495D6A" w:rsidRDefault="00015D7C" w:rsidP="0032112C">
      <w:pPr>
        <w:pStyle w:val="ListBullet"/>
      </w:pPr>
      <w:r w:rsidRPr="00495D6A">
        <w:t xml:space="preserve">The rate of U.S. </w:t>
      </w:r>
      <w:r w:rsidR="00D418E6" w:rsidRPr="00495D6A">
        <w:t xml:space="preserve">annual </w:t>
      </w:r>
      <w:r w:rsidRPr="00495D6A">
        <w:t>deaths between 1979 and 201</w:t>
      </w:r>
      <w:r w:rsidR="00B67462">
        <w:t>6</w:t>
      </w:r>
      <w:r w:rsidRPr="00495D6A">
        <w:t xml:space="preserve"> for which </w:t>
      </w:r>
      <w:r w:rsidR="00AF562E" w:rsidRPr="00495D6A">
        <w:t xml:space="preserve">cold </w:t>
      </w:r>
      <w:r w:rsidRPr="00495D6A">
        <w:t>was classified on death certificates as the underlying (direct) cause (Figure 1, orange line).</w:t>
      </w:r>
    </w:p>
    <w:p w14:paraId="5BE8F8A0" w14:textId="401C3854" w:rsidR="00015D7C" w:rsidRPr="00495D6A" w:rsidRDefault="00015D7C" w:rsidP="0032112C">
      <w:pPr>
        <w:pStyle w:val="ListBullet"/>
      </w:pPr>
      <w:r w:rsidRPr="00495D6A">
        <w:t>The rate of U.S. deaths between 1999 and 201</w:t>
      </w:r>
      <w:r w:rsidR="00526E1B">
        <w:t>5</w:t>
      </w:r>
      <w:r w:rsidR="00B83FAE">
        <w:t xml:space="preserve">, </w:t>
      </w:r>
      <w:r w:rsidRPr="00495D6A">
        <w:t xml:space="preserve">for which </w:t>
      </w:r>
      <w:r w:rsidR="00AF562E" w:rsidRPr="00495D6A">
        <w:t xml:space="preserve">cold </w:t>
      </w:r>
      <w:r w:rsidRPr="00495D6A">
        <w:t>was classified as either the underlying cause or a contributing factor (Figure 1, blue line).</w:t>
      </w:r>
    </w:p>
    <w:p w14:paraId="2006D2FB" w14:textId="77777777" w:rsidR="00015D7C" w:rsidRPr="00AC0BC7" w:rsidRDefault="00015D7C" w:rsidP="00015D7C">
      <w:pPr>
        <w:pStyle w:val="Heading2"/>
      </w:pPr>
      <w:r w:rsidRPr="00AC0BC7">
        <w:t>Revision History</w:t>
      </w:r>
    </w:p>
    <w:p w14:paraId="40D8B99B" w14:textId="2C73C1E6" w:rsidR="00015D7C" w:rsidRDefault="00BC0977" w:rsidP="0032112C">
      <w:pPr>
        <w:pStyle w:val="BodyTextnospace"/>
      </w:pPr>
      <w:r>
        <w:t xml:space="preserve">August </w:t>
      </w:r>
      <w:r w:rsidR="00015D7C">
        <w:t>201</w:t>
      </w:r>
      <w:r w:rsidR="00AF562E">
        <w:t>7</w:t>
      </w:r>
      <w:r w:rsidR="00015D7C">
        <w:t xml:space="preserve">: </w:t>
      </w:r>
      <w:r w:rsidR="00015D7C">
        <w:tab/>
        <w:t xml:space="preserve">Indicator </w:t>
      </w:r>
      <w:r w:rsidR="003061AE">
        <w:t>published</w:t>
      </w:r>
      <w:r w:rsidR="00015D7C">
        <w:t>.</w:t>
      </w:r>
    </w:p>
    <w:p w14:paraId="6FE26301" w14:textId="07041D06" w:rsidR="00A74010" w:rsidRDefault="00637B7D" w:rsidP="0032112C">
      <w:pPr>
        <w:pStyle w:val="BodyTextnospace"/>
      </w:pPr>
      <w:r>
        <w:t>April 2021</w:t>
      </w:r>
      <w:r w:rsidR="00A74010">
        <w:t xml:space="preserve">: </w:t>
      </w:r>
      <w:r w:rsidR="00A74010">
        <w:tab/>
        <w:t>Indicator updated</w:t>
      </w:r>
      <w:r w:rsidR="00F4568F">
        <w:t xml:space="preserve"> </w:t>
      </w:r>
      <w:r w:rsidR="002620FA">
        <w:t>with contributing cause of death data through 2015 and underlying cause of death data through 2016</w:t>
      </w:r>
      <w:r w:rsidR="00A74010">
        <w:t>.</w:t>
      </w:r>
    </w:p>
    <w:p w14:paraId="484EEB76" w14:textId="60850B3C" w:rsidR="00B562D1" w:rsidRDefault="00B562D1" w:rsidP="0032112C">
      <w:pPr>
        <w:pStyle w:val="BodyTextnospacelast"/>
      </w:pPr>
    </w:p>
    <w:p w14:paraId="14EA728B" w14:textId="77777777" w:rsidR="00015D7C" w:rsidRDefault="00015D7C" w:rsidP="00015D7C">
      <w:pPr>
        <w:pStyle w:val="Heading1nonumbering"/>
      </w:pPr>
      <w:r>
        <w:t>Data Sources</w:t>
      </w:r>
    </w:p>
    <w:p w14:paraId="0138FD84" w14:textId="77777777" w:rsidR="00015D7C" w:rsidRPr="00AC0BC7" w:rsidRDefault="00015D7C" w:rsidP="00015D7C">
      <w:pPr>
        <w:pStyle w:val="Heading2"/>
      </w:pPr>
      <w:r w:rsidRPr="00AC0BC7">
        <w:t>Data Sources</w:t>
      </w:r>
    </w:p>
    <w:p w14:paraId="7177C830" w14:textId="00646B7A" w:rsidR="00015D7C" w:rsidRDefault="00015D7C" w:rsidP="0032112C">
      <w:pPr>
        <w:pStyle w:val="BodyText"/>
      </w:pPr>
      <w:r>
        <w:rPr>
          <w:szCs w:val="22"/>
        </w:rPr>
        <w:t xml:space="preserve">This indicator is based on data from the </w:t>
      </w:r>
      <w:r>
        <w:t xml:space="preserve">U.S. Centers for Disease Control and Prevention’s (CDC’s) </w:t>
      </w:r>
      <w:r w:rsidRPr="00487F13">
        <w:t>National Vital Statistics System</w:t>
      </w:r>
      <w:r>
        <w:t xml:space="preserve"> (NVSS),</w:t>
      </w:r>
      <w:r w:rsidRPr="003C5832">
        <w:t xml:space="preserve"> </w:t>
      </w:r>
      <w:r>
        <w:t>which compiles information from death certificates for nearly every death in the United States</w:t>
      </w:r>
      <w:r w:rsidRPr="00487F13">
        <w:t>.</w:t>
      </w:r>
      <w:r>
        <w:t xml:space="preserve"> </w:t>
      </w:r>
      <w:r w:rsidRPr="00410B32">
        <w:t xml:space="preserve">The NVSS </w:t>
      </w:r>
      <w:r>
        <w:t>is the most comprehensive source of mortality data for the population of the United States. The CDC provided analysis of NVSS data.</w:t>
      </w:r>
    </w:p>
    <w:p w14:paraId="47460DD4" w14:textId="77777777" w:rsidR="00015D7C" w:rsidRPr="00AC0BC7" w:rsidRDefault="00015D7C" w:rsidP="0032112C">
      <w:pPr>
        <w:pStyle w:val="Heading2"/>
      </w:pPr>
      <w:r w:rsidRPr="00AC0BC7">
        <w:t>Data Availability</w:t>
      </w:r>
    </w:p>
    <w:p w14:paraId="658D46D8" w14:textId="0DB49A0F" w:rsidR="00015D7C" w:rsidRDefault="00015D7C" w:rsidP="005046A7">
      <w:pPr>
        <w:pStyle w:val="Heading3"/>
      </w:pPr>
      <w:r>
        <w:t>Underlying Causes</w:t>
      </w:r>
    </w:p>
    <w:p w14:paraId="76A051A4" w14:textId="76E0F39D" w:rsidR="00015D7C" w:rsidRPr="00CB2A68" w:rsidRDefault="00015D7C" w:rsidP="0032112C">
      <w:pPr>
        <w:pStyle w:val="BodyText"/>
      </w:pPr>
      <w:r>
        <w:t xml:space="preserve">The long-term </w:t>
      </w:r>
      <w:r w:rsidR="00026AE3">
        <w:t>time series</w:t>
      </w:r>
      <w:r>
        <w:t xml:space="preserve"> (1979–201</w:t>
      </w:r>
      <w:r w:rsidR="00E40F9D">
        <w:t>6</w:t>
      </w:r>
      <w:r>
        <w:t>)</w:t>
      </w:r>
      <w:r w:rsidR="00BB1695">
        <w:t xml:space="preserve"> in Figure 1</w:t>
      </w:r>
      <w:r>
        <w:t xml:space="preserve"> is based on CDC’s Compressed Mortality File,</w:t>
      </w:r>
      <w:r w:rsidRPr="00030E2A">
        <w:t xml:space="preserve"> </w:t>
      </w:r>
      <w:r>
        <w:t xml:space="preserve">which can be </w:t>
      </w:r>
      <w:r w:rsidRPr="00030E2A">
        <w:t>accessed</w:t>
      </w:r>
      <w:r>
        <w:t xml:space="preserve"> </w:t>
      </w:r>
      <w:r w:rsidRPr="00030E2A">
        <w:t>through</w:t>
      </w:r>
      <w:r>
        <w:t xml:space="preserve"> the</w:t>
      </w:r>
      <w:r w:rsidRPr="00030E2A">
        <w:t xml:space="preserve"> CDC WONDER</w:t>
      </w:r>
      <w:r>
        <w:t xml:space="preserve"> online database at: </w:t>
      </w:r>
      <w:hyperlink r:id="rId11" w:history="1">
        <w:r w:rsidR="0039215B">
          <w:rPr>
            <w:rStyle w:val="Hyperlink"/>
            <w:szCs w:val="18"/>
          </w:rPr>
          <w:t>https://wonder.cdc.gov/mortSQL.html</w:t>
        </w:r>
      </w:hyperlink>
      <w:r>
        <w:t xml:space="preserve"> </w:t>
      </w:r>
      <w:r>
        <w:lastRenderedPageBreak/>
        <w:t>(CDC, 201</w:t>
      </w:r>
      <w:r w:rsidR="00E40F9D">
        <w:t>8</w:t>
      </w:r>
      <w:r w:rsidR="00493EDD">
        <w:t>a</w:t>
      </w:r>
      <w:r>
        <w:t>)</w:t>
      </w:r>
      <w:r w:rsidRPr="00030E2A">
        <w:t>.</w:t>
      </w:r>
      <w:r>
        <w:t xml:space="preserve"> CDC WONDER provides free public access to mortality statistics, allowing users to query data for the nation as a whole or by state or region, demographic group (age, sex, race), or International Classification of Diseases (ICD) code. Users can obtain the data for this indicator by accessing CDC WONDER and querying the ICD codes listed in Section 5 for the entire U.S. population.</w:t>
      </w:r>
    </w:p>
    <w:p w14:paraId="7758EC8B" w14:textId="3943E74E" w:rsidR="00015D7C" w:rsidRPr="00AC4473" w:rsidRDefault="00015D7C" w:rsidP="005046A7">
      <w:pPr>
        <w:pStyle w:val="Heading3"/>
      </w:pPr>
      <w:r w:rsidRPr="00AC4473">
        <w:t>Underlying and Contributing Causes</w:t>
      </w:r>
    </w:p>
    <w:p w14:paraId="684513CF" w14:textId="039BBA11" w:rsidR="00015D7C" w:rsidRPr="00AC4473" w:rsidRDefault="00015D7C" w:rsidP="00D705A4">
      <w:pPr>
        <w:pStyle w:val="BodyText"/>
      </w:pPr>
      <w:r w:rsidRPr="00AC4473">
        <w:t>The 1999–201</w:t>
      </w:r>
      <w:r w:rsidR="00DF29D1">
        <w:t>5</w:t>
      </w:r>
      <w:r w:rsidRPr="00AC4473">
        <w:t xml:space="preserve"> </w:t>
      </w:r>
      <w:r w:rsidR="00026AE3" w:rsidRPr="00AC4473">
        <w:t>time series</w:t>
      </w:r>
      <w:r w:rsidR="00BB1695" w:rsidRPr="00AC4473">
        <w:t xml:space="preserve"> in Figure 1</w:t>
      </w:r>
      <w:r w:rsidRPr="00AC4473">
        <w:t xml:space="preserve"> is based on an analysis </w:t>
      </w:r>
      <w:r w:rsidR="00EF7CD0">
        <w:t>conducted</w:t>
      </w:r>
      <w:r w:rsidR="00EF7CD0" w:rsidRPr="00AC4473">
        <w:t xml:space="preserve"> </w:t>
      </w:r>
      <w:r w:rsidRPr="00AC4473">
        <w:t xml:space="preserve">by the National Environmental Public Health Tracking (EPHT) Program, which CDC coordinates. CDC staff from the National Center for Environmental Health provided </w:t>
      </w:r>
      <w:r w:rsidR="001C50D5">
        <w:t xml:space="preserve">monthly </w:t>
      </w:r>
      <w:r w:rsidRPr="00AC4473">
        <w:t>national totals to EPA (CDC, 201</w:t>
      </w:r>
      <w:r w:rsidR="00277029">
        <w:t>8</w:t>
      </w:r>
      <w:r w:rsidR="00EF7CD0">
        <w:t>b</w:t>
      </w:r>
      <w:r w:rsidRPr="00AC4473">
        <w:t xml:space="preserve">). </w:t>
      </w:r>
      <w:r w:rsidR="002B0C29">
        <w:t>This analysis is similar to an analysis that EPHT has published for heat-related deaths</w:t>
      </w:r>
      <w:r w:rsidR="002B0C29" w:rsidRPr="00AC4473">
        <w:t xml:space="preserve"> at:</w:t>
      </w:r>
      <w:r w:rsidR="00637B7D">
        <w:t xml:space="preserve"> </w:t>
      </w:r>
      <w:hyperlink r:id="rId12" w:history="1">
        <w:r w:rsidR="00637B7D" w:rsidRPr="00637B7D">
          <w:rPr>
            <w:rStyle w:val="Hyperlink"/>
          </w:rPr>
          <w:t>https://ephtracking.cdc.gov/DataExplorer</w:t>
        </w:r>
      </w:hyperlink>
      <w:hyperlink w:history="1"/>
      <w:r w:rsidR="002B0C29" w:rsidRPr="00AC4473">
        <w:t>.</w:t>
      </w:r>
    </w:p>
    <w:p w14:paraId="4AED7240" w14:textId="48896F5B" w:rsidR="00BB1695" w:rsidRDefault="00BB1695" w:rsidP="00BB1695">
      <w:pPr>
        <w:pStyle w:val="BodyText"/>
      </w:pPr>
      <w:r w:rsidRPr="00AC4473">
        <w:t>Users can query underlying and contributing causes of death through CDC WONDER’s Multiple Causes of Death file (</w:t>
      </w:r>
      <w:hyperlink r:id="rId13" w:history="1">
        <w:r w:rsidR="0039215B">
          <w:rPr>
            <w:rStyle w:val="Hyperlink"/>
            <w:szCs w:val="18"/>
          </w:rPr>
          <w:t>https://wonder.cdc.gov/mcd-icd10.html</w:t>
        </w:r>
      </w:hyperlink>
      <w:r w:rsidRPr="00AC4473">
        <w:t>), but note that EPHT performed additional steps for Figure 1 that cannot be recreated through the publicly available data portal (see Section 6).</w:t>
      </w:r>
    </w:p>
    <w:p w14:paraId="0CD32054" w14:textId="77777777" w:rsidR="00015D7C" w:rsidRPr="00F731B5" w:rsidRDefault="00015D7C" w:rsidP="004142A0">
      <w:pPr>
        <w:pStyle w:val="Heading3"/>
        <w:keepNext/>
      </w:pPr>
      <w:r>
        <w:t>Death Certificates</w:t>
      </w:r>
    </w:p>
    <w:p w14:paraId="02BC7C8C" w14:textId="77777777" w:rsidR="00015D7C" w:rsidRDefault="00015D7C" w:rsidP="0032112C">
      <w:pPr>
        <w:pStyle w:val="BodyText"/>
      </w:pPr>
      <w:r>
        <w:t>I</w:t>
      </w:r>
      <w:r w:rsidRPr="00030E2A">
        <w:t>ndividual</w:t>
      </w:r>
      <w:r>
        <w:t>-</w:t>
      </w:r>
      <w:r w:rsidRPr="00030E2A">
        <w:t>level data</w:t>
      </w:r>
      <w:r>
        <w:t xml:space="preserve"> (i.e., individual death certificates)</w:t>
      </w:r>
      <w:r w:rsidRPr="00030E2A">
        <w:t xml:space="preserve"> are not </w:t>
      </w:r>
      <w:r>
        <w:t xml:space="preserve">publicly </w:t>
      </w:r>
      <w:r w:rsidRPr="00030E2A">
        <w:t>available due to confidentiality issues.</w:t>
      </w:r>
    </w:p>
    <w:p w14:paraId="5EEA2155" w14:textId="77777777" w:rsidR="00015D7C" w:rsidRDefault="00015D7C" w:rsidP="0032112C">
      <w:pPr>
        <w:pStyle w:val="Heading1nonumbering"/>
      </w:pPr>
      <w:r w:rsidRPr="0093483D">
        <w:t>Methodology</w:t>
      </w:r>
    </w:p>
    <w:p w14:paraId="570DB236" w14:textId="77777777" w:rsidR="00015D7C" w:rsidRPr="00AC0BC7" w:rsidRDefault="00015D7C" w:rsidP="0032112C">
      <w:pPr>
        <w:pStyle w:val="Heading2"/>
      </w:pPr>
      <w:r w:rsidRPr="00AC0BC7">
        <w:t>Data Collection</w:t>
      </w:r>
    </w:p>
    <w:p w14:paraId="437AB6E1" w14:textId="77777777" w:rsidR="00015D7C" w:rsidRDefault="00015D7C" w:rsidP="0032112C">
      <w:pPr>
        <w:pStyle w:val="BodyText"/>
      </w:pPr>
      <w:r>
        <w:t>This indicator is based on causes of death as reported on death certificates. A death certificate typically provides space to designate an immediate cause of death along with up to 20 contributing causes, one of which will be identified as the underlying cause of death. The World Health Organization (WHO) defines the underlying cause of death as “the disease or injury which initiated the train of events leading directly to death, or the circumstances of the accident or violence which produced the fatal injury.”</w:t>
      </w:r>
    </w:p>
    <w:p w14:paraId="55C6B9D7" w14:textId="77777777" w:rsidR="00015D7C" w:rsidRDefault="00015D7C" w:rsidP="0032112C">
      <w:pPr>
        <w:pStyle w:val="BodyText"/>
      </w:pPr>
      <w:r>
        <w:t xml:space="preserve">Causes of death are certified by a </w:t>
      </w:r>
      <w:r w:rsidRPr="00B13E8A">
        <w:rPr>
          <w:szCs w:val="18"/>
        </w:rPr>
        <w:t>physicia</w:t>
      </w:r>
      <w:r>
        <w:rPr>
          <w:szCs w:val="18"/>
        </w:rPr>
        <w:t>n, medical examiner, or coroner, and are</w:t>
      </w:r>
      <w:r>
        <w:t xml:space="preserve"> classified according to a standard set of codes called the ICD. Deaths for 1979 through 1998 are classified using the Ninth Revision of ICD (ICD-9). Deaths for 1999 and beyond are classified using the Tenth Revision (ICD-10).</w:t>
      </w:r>
    </w:p>
    <w:p w14:paraId="458F5719" w14:textId="77777777" w:rsidR="00015D7C" w:rsidRDefault="00015D7C" w:rsidP="0032112C">
      <w:pPr>
        <w:pStyle w:val="BodyText"/>
      </w:pPr>
      <w:r>
        <w:t xml:space="preserve">Although causes of death rely to some degree on the judgment of the physician, medical examiner, or coroner, the “measurements” for this indicator are expected to be generally reliable based on the medical knowledge required of the “measurer” and the use of a standard classification scheme based on widely accepted scientific definitions. </w:t>
      </w:r>
      <w:r w:rsidRPr="004A25DB">
        <w:t>When more than one cause or condition is entered, the underlying cause is determined by the sequence of conditions on the certificate, provisions of the ICD, and associated selection rules and modifications.</w:t>
      </w:r>
    </w:p>
    <w:p w14:paraId="40C17414" w14:textId="77777777" w:rsidR="00015D7C" w:rsidRPr="000D0358" w:rsidRDefault="00015D7C" w:rsidP="0032112C">
      <w:pPr>
        <w:pStyle w:val="BodyText"/>
        <w:rPr>
          <w:szCs w:val="22"/>
        </w:rPr>
      </w:pPr>
      <w:r>
        <w:t>Mortality data are collected for the entire population and, therefore, are not subject to sampling design error. For virtually every death that occurs in the United States, a physician, medical examiner, or coroner certifies the causes of death on an official death certificate. State registries collect these death certificates and report causes of death to</w:t>
      </w:r>
      <w:r w:rsidRPr="00487F13">
        <w:rPr>
          <w:szCs w:val="18"/>
        </w:rPr>
        <w:t xml:space="preserve"> the </w:t>
      </w:r>
      <w:r>
        <w:rPr>
          <w:szCs w:val="18"/>
        </w:rPr>
        <w:t>NVSS</w:t>
      </w:r>
      <w:r w:rsidRPr="00487F13">
        <w:rPr>
          <w:szCs w:val="18"/>
        </w:rPr>
        <w:t>.</w:t>
      </w:r>
      <w:r>
        <w:rPr>
          <w:szCs w:val="18"/>
        </w:rPr>
        <w:t xml:space="preserve"> NVSS’s</w:t>
      </w:r>
      <w:r w:rsidRPr="00B13E8A">
        <w:rPr>
          <w:szCs w:val="18"/>
        </w:rPr>
        <w:t xml:space="preserve"> shared relationships, standards, and procedures form the mechanism by which </w:t>
      </w:r>
      <w:r>
        <w:rPr>
          <w:szCs w:val="18"/>
        </w:rPr>
        <w:t xml:space="preserve">the </w:t>
      </w:r>
      <w:r>
        <w:t xml:space="preserve">CDC </w:t>
      </w:r>
      <w:r>
        <w:rPr>
          <w:szCs w:val="18"/>
        </w:rPr>
        <w:t>collects and disseminates the n</w:t>
      </w:r>
      <w:r w:rsidRPr="00B13E8A">
        <w:rPr>
          <w:szCs w:val="18"/>
        </w:rPr>
        <w:t>ation</w:t>
      </w:r>
      <w:r>
        <w:rPr>
          <w:szCs w:val="18"/>
        </w:rPr>
        <w:t>’</w:t>
      </w:r>
      <w:r w:rsidRPr="00B13E8A">
        <w:rPr>
          <w:szCs w:val="18"/>
        </w:rPr>
        <w:t>s official vital statistics.</w:t>
      </w:r>
    </w:p>
    <w:p w14:paraId="00E142DD" w14:textId="43FB914F" w:rsidR="00015D7C" w:rsidRDefault="00015D7C" w:rsidP="0032112C">
      <w:pPr>
        <w:pStyle w:val="BodyText"/>
      </w:pPr>
      <w:r w:rsidRPr="00B13E8A">
        <w:t xml:space="preserve">Standard forms for the collection of data and model procedures for the uniform registration of </w:t>
      </w:r>
      <w:r>
        <w:t>death</w:t>
      </w:r>
      <w:r w:rsidRPr="00B13E8A">
        <w:t xml:space="preserve"> events </w:t>
      </w:r>
      <w:r>
        <w:t>have been developed and recommended for s</w:t>
      </w:r>
      <w:r w:rsidRPr="00B13E8A">
        <w:t>tate use through</w:t>
      </w:r>
      <w:r>
        <w:t xml:space="preserve"> cooperative activities of the s</w:t>
      </w:r>
      <w:r w:rsidRPr="00B13E8A">
        <w:t xml:space="preserve">tates and </w:t>
      </w:r>
      <w:r>
        <w:t xml:space="preserve">CDC’s </w:t>
      </w:r>
      <w:r w:rsidR="00194E6F">
        <w:t>National Center for Health Statistics (</w:t>
      </w:r>
      <w:r w:rsidRPr="00B13E8A">
        <w:t>NCHS</w:t>
      </w:r>
      <w:r w:rsidR="00194E6F">
        <w:t>)</w:t>
      </w:r>
      <w:r w:rsidRPr="00B13E8A">
        <w:t>.</w:t>
      </w:r>
      <w:r>
        <w:t xml:space="preserve"> All states collect</w:t>
      </w:r>
      <w:r w:rsidRPr="00B13E8A">
        <w:t xml:space="preserve"> a minimum data set specified by NCHS</w:t>
      </w:r>
      <w:r>
        <w:t>, including underlying causes of death</w:t>
      </w:r>
      <w:r w:rsidR="00BB1695">
        <w:t xml:space="preserve"> and basic demographic data (e.g., age</w:t>
      </w:r>
      <w:r w:rsidR="009F0C97">
        <w:t>,</w:t>
      </w:r>
      <w:r w:rsidR="00BB1695">
        <w:t xml:space="preserve"> race</w:t>
      </w:r>
      <w:r w:rsidR="009F0C97">
        <w:t>, and ethnicity</w:t>
      </w:r>
      <w:r w:rsidR="00BB1695">
        <w:t>)</w:t>
      </w:r>
      <w:r>
        <w:t>. CDC has published procedures for collecting vital statistics data (CDC, 1995).</w:t>
      </w:r>
    </w:p>
    <w:p w14:paraId="044F0ACF" w14:textId="77777777" w:rsidR="00015D7C" w:rsidRDefault="00015D7C" w:rsidP="0032112C">
      <w:pPr>
        <w:pStyle w:val="BodyText"/>
      </w:pPr>
      <w:r>
        <w:t>This indicator excludes d</w:t>
      </w:r>
      <w:r w:rsidRPr="00CB2A68">
        <w:t>eaths to foreign residents</w:t>
      </w:r>
      <w:r>
        <w:t xml:space="preserve"> and d</w:t>
      </w:r>
      <w:r w:rsidRPr="00CB2A68">
        <w:t>eaths to</w:t>
      </w:r>
      <w:r>
        <w:t xml:space="preserve"> U.S. residents who died abroad</w:t>
      </w:r>
      <w:r w:rsidRPr="00CB2A68">
        <w:t>.</w:t>
      </w:r>
    </w:p>
    <w:p w14:paraId="2BDD3899" w14:textId="1C7F0E56" w:rsidR="00015D7C" w:rsidRDefault="00015D7C" w:rsidP="0032112C">
      <w:pPr>
        <w:pStyle w:val="BodyText"/>
      </w:pPr>
      <w:r>
        <w:t>General</w:t>
      </w:r>
      <w:r w:rsidRPr="0058392D">
        <w:t xml:space="preserve"> </w:t>
      </w:r>
      <w:r>
        <w:t>information regarding data collection</w:t>
      </w:r>
      <w:r w:rsidRPr="0058392D">
        <w:t xml:space="preserve"> </w:t>
      </w:r>
      <w:r>
        <w:t xml:space="preserve">procedures </w:t>
      </w:r>
      <w:r w:rsidRPr="0058392D">
        <w:t xml:space="preserve">can be found in the Model State Vital Statistics Act and Regulations </w:t>
      </w:r>
      <w:r>
        <w:t>(CDC, 1995). For additional d</w:t>
      </w:r>
      <w:r w:rsidRPr="00030E2A">
        <w:t>ocumentation</w:t>
      </w:r>
      <w:r>
        <w:t xml:space="preserve"> on the CDC WONDER database (EPA’s data source for part of this indicator) and its underlying sources, see:</w:t>
      </w:r>
      <w:r w:rsidRPr="00030E2A">
        <w:t xml:space="preserve"> </w:t>
      </w:r>
      <w:hyperlink r:id="rId14" w:history="1">
        <w:r w:rsidR="0039215B">
          <w:rPr>
            <w:rStyle w:val="Hyperlink"/>
            <w:szCs w:val="18"/>
          </w:rPr>
          <w:t>https://wonder.cdc.gov/wonder/help/cmf.html</w:t>
        </w:r>
      </w:hyperlink>
      <w:r>
        <w:t>.</w:t>
      </w:r>
    </w:p>
    <w:p w14:paraId="4C991E7E" w14:textId="6FBECBCF" w:rsidR="00015D7C" w:rsidRDefault="00015D7C" w:rsidP="0032112C">
      <w:pPr>
        <w:pStyle w:val="BodyText"/>
      </w:pPr>
      <w:r>
        <w:t>CDC has posted a</w:t>
      </w:r>
      <w:r w:rsidRPr="00030E2A">
        <w:t xml:space="preserve"> recommended </w:t>
      </w:r>
      <w:r>
        <w:t xml:space="preserve">standard </w:t>
      </w:r>
      <w:r w:rsidRPr="00030E2A">
        <w:t xml:space="preserve">certificate of death </w:t>
      </w:r>
      <w:r>
        <w:t xml:space="preserve">online </w:t>
      </w:r>
      <w:r w:rsidRPr="00030E2A">
        <w:t>at</w:t>
      </w:r>
      <w:r>
        <w:t>:</w:t>
      </w:r>
      <w:r w:rsidRPr="00030E2A">
        <w:t xml:space="preserve"> </w:t>
      </w:r>
      <w:hyperlink r:id="rId15" w:history="1">
        <w:r w:rsidRPr="00447171">
          <w:rPr>
            <w:rStyle w:val="Hyperlink"/>
            <w:szCs w:val="18"/>
          </w:rPr>
          <w:t>www.cdc.gov/nchs/data/dvs/DEATH11-03final-ACC.pdf</w:t>
        </w:r>
      </w:hyperlink>
      <w:r>
        <w:t>. For a complete list and description of the ICD codes used to classify causes of death, see:</w:t>
      </w:r>
      <w:r w:rsidR="00B02762">
        <w:rPr>
          <w:rStyle w:val="Hyperlink"/>
          <w:szCs w:val="18"/>
        </w:rPr>
        <w:t xml:space="preserve"> </w:t>
      </w:r>
      <w:hyperlink r:id="rId16" w:history="1">
        <w:r w:rsidR="00B02762" w:rsidRPr="006610A1">
          <w:rPr>
            <w:rStyle w:val="Hyperlink"/>
            <w:szCs w:val="18"/>
          </w:rPr>
          <w:t>https://icd.who.int/browse10/2019/en</w:t>
        </w:r>
      </w:hyperlink>
      <w:r>
        <w:t>.</w:t>
      </w:r>
    </w:p>
    <w:p w14:paraId="2195F90E" w14:textId="77777777" w:rsidR="00015D7C" w:rsidRPr="00AC0BC7" w:rsidRDefault="00015D7C" w:rsidP="0032112C">
      <w:pPr>
        <w:pStyle w:val="Heading2"/>
      </w:pPr>
      <w:r w:rsidRPr="00AC0BC7">
        <w:t>Indicator Derivation</w:t>
      </w:r>
    </w:p>
    <w:p w14:paraId="1180495B" w14:textId="25194499" w:rsidR="00015D7C" w:rsidRDefault="00015D7C" w:rsidP="0032112C">
      <w:pPr>
        <w:pStyle w:val="BodyText"/>
      </w:pPr>
      <w:r>
        <w:t>This indicator reports annual rate</w:t>
      </w:r>
      <w:r w:rsidR="00BB1695">
        <w:t>s</w:t>
      </w:r>
      <w:r>
        <w:t xml:space="preserve"> of deaths per million population that have been classified with ICD codes related to exposure to natural sources of</w:t>
      </w:r>
      <w:r w:rsidR="002C79D4">
        <w:t xml:space="preserve"> cold</w:t>
      </w:r>
      <w:r>
        <w:t>. The NVSS collects data on virtually all deaths that occur in the United States, meaning the data collection mechanism already covers the entire target population. Thus, it was not necessary to extrapolate the results on a spatial or population basis. No attempt has been made to reconstruct trends prior to the onset of comprehensive data collection, and no attempt has been made to project data forward into the future.</w:t>
      </w:r>
    </w:p>
    <w:p w14:paraId="4AFA5B91" w14:textId="77777777" w:rsidR="00015D7C" w:rsidRPr="00F731B5" w:rsidRDefault="00015D7C" w:rsidP="005046A7">
      <w:pPr>
        <w:pStyle w:val="Heading3"/>
      </w:pPr>
      <w:r>
        <w:t>Underlying Causes</w:t>
      </w:r>
    </w:p>
    <w:p w14:paraId="2FC24F1A" w14:textId="77777777" w:rsidR="00015D7C" w:rsidRPr="00CB2A68" w:rsidRDefault="00015D7C" w:rsidP="0032112C">
      <w:pPr>
        <w:pStyle w:val="BodyText"/>
        <w:rPr>
          <w:szCs w:val="18"/>
        </w:rPr>
      </w:pPr>
      <w:r>
        <w:t>The long-term trend line in Figure 1 reports the rate of deaths per year for which the underlying cause had one of the following ICD codes:</w:t>
      </w:r>
    </w:p>
    <w:p w14:paraId="4EF1D425" w14:textId="426FC4F4" w:rsidR="00015D7C" w:rsidRDefault="00015D7C" w:rsidP="0032112C">
      <w:pPr>
        <w:pStyle w:val="ListBullet"/>
      </w:pPr>
      <w:r w:rsidRPr="00CB2A68">
        <w:t>ICD-9 code E90</w:t>
      </w:r>
      <w:r w:rsidR="002C79D4">
        <w:t>1</w:t>
      </w:r>
      <w:r w:rsidR="005712F1">
        <w:t>:</w:t>
      </w:r>
      <w:r w:rsidRPr="00CB2A68">
        <w:t xml:space="preserve"> “</w:t>
      </w:r>
      <w:r w:rsidR="002C79D4">
        <w:t>e</w:t>
      </w:r>
      <w:r w:rsidRPr="00CB2A68">
        <w:t xml:space="preserve">xcessive </w:t>
      </w:r>
      <w:r w:rsidR="00AF562E">
        <w:t>cold</w:t>
      </w:r>
      <w:r w:rsidRPr="00CB2A68">
        <w:t>—hyp</w:t>
      </w:r>
      <w:r w:rsidR="00AF562E">
        <w:t>o</w:t>
      </w:r>
      <w:r w:rsidRPr="00CB2A68">
        <w:t>thermia”</w:t>
      </w:r>
      <w:r>
        <w:t>—specifically subpart</w:t>
      </w:r>
      <w:r w:rsidRPr="00CB2A68">
        <w:t xml:space="preserve"> E90</w:t>
      </w:r>
      <w:r w:rsidR="002C79D4">
        <w:t>1</w:t>
      </w:r>
      <w:r w:rsidRPr="00CB2A68">
        <w:t>.0</w:t>
      </w:r>
      <w:r>
        <w:t>:</w:t>
      </w:r>
      <w:r w:rsidRPr="00CB2A68">
        <w:t xml:space="preserve"> “</w:t>
      </w:r>
      <w:r w:rsidR="002C79D4">
        <w:t>d</w:t>
      </w:r>
      <w:r w:rsidRPr="00CB2A68">
        <w:t>ue to weather conditions</w:t>
      </w:r>
      <w:r>
        <w:t>.</w:t>
      </w:r>
      <w:r w:rsidRPr="00CB2A68">
        <w:t>”</w:t>
      </w:r>
    </w:p>
    <w:p w14:paraId="1CD7D086" w14:textId="7A86473E" w:rsidR="00781C89" w:rsidRDefault="00015D7C" w:rsidP="001C50D5">
      <w:pPr>
        <w:pStyle w:val="ListBullet"/>
      </w:pPr>
      <w:r>
        <w:t>ICD-10 code</w:t>
      </w:r>
      <w:r w:rsidRPr="00CB2A68">
        <w:t xml:space="preserve"> X3</w:t>
      </w:r>
      <w:r w:rsidR="00AF562E">
        <w:t>1</w:t>
      </w:r>
      <w:r>
        <w:t>:</w:t>
      </w:r>
      <w:r w:rsidRPr="00CB2A68">
        <w:t xml:space="preserve"> “</w:t>
      </w:r>
      <w:r w:rsidR="002C79D4">
        <w:t>e</w:t>
      </w:r>
      <w:r w:rsidR="00AF562E">
        <w:t>xposure to excessive natural cold</w:t>
      </w:r>
      <w:r w:rsidR="006B617F">
        <w:t>—</w:t>
      </w:r>
      <w:r w:rsidR="00AF562E">
        <w:t>hypothermia</w:t>
      </w:r>
      <w:r w:rsidR="00B9320D">
        <w:t>.</w:t>
      </w:r>
      <w:r w:rsidR="00AF562E">
        <w:t>”</w:t>
      </w:r>
      <w:r w:rsidR="00B9320D">
        <w:t xml:space="preserve"> </w:t>
      </w:r>
    </w:p>
    <w:p w14:paraId="4763C84C" w14:textId="3A709F20" w:rsidR="00015D7C" w:rsidRDefault="00015D7C" w:rsidP="0032112C">
      <w:pPr>
        <w:pStyle w:val="BodyText"/>
      </w:pPr>
      <w:r>
        <w:t>This component of the indicator is reported for the entire year. EPA developed this analysis based on the publicly available data compiled by CDC WONDER. EPA chose to use crude death rates rather than death counts because rates account for changes in total population over time. Population figures are obtained from CDC WONDER.</w:t>
      </w:r>
    </w:p>
    <w:p w14:paraId="7A4B11D8" w14:textId="77777777" w:rsidR="00015D7C" w:rsidRPr="00DA25F6" w:rsidRDefault="00015D7C" w:rsidP="005046A7">
      <w:pPr>
        <w:pStyle w:val="Heading3"/>
      </w:pPr>
      <w:r>
        <w:t>Underlying and Contributing Causes</w:t>
      </w:r>
    </w:p>
    <w:p w14:paraId="56A89081" w14:textId="77777777" w:rsidR="00015D7C" w:rsidRDefault="00015D7C" w:rsidP="0032112C">
      <w:pPr>
        <w:pStyle w:val="BodyText"/>
      </w:pPr>
      <w:r>
        <w:t>The “underlying and contributing causes” trend line in Figure 1 reports the rate of deaths for which either the underlying cause or the contributing causes had one or more of the following ICD codes:</w:t>
      </w:r>
    </w:p>
    <w:p w14:paraId="171B49B3" w14:textId="7BA32507" w:rsidR="002C79D4" w:rsidRDefault="00015D7C" w:rsidP="0032112C">
      <w:pPr>
        <w:pStyle w:val="ListBullet"/>
      </w:pPr>
      <w:r>
        <w:t>ICD-10 code</w:t>
      </w:r>
      <w:r w:rsidRPr="00CB2A68">
        <w:t xml:space="preserve"> X3</w:t>
      </w:r>
      <w:r w:rsidR="002C79D4">
        <w:t>1</w:t>
      </w:r>
      <w:r>
        <w:t>:</w:t>
      </w:r>
      <w:r w:rsidRPr="00CB2A68">
        <w:t xml:space="preserve"> “</w:t>
      </w:r>
      <w:r w:rsidR="002C79D4">
        <w:t>e</w:t>
      </w:r>
      <w:r w:rsidRPr="00CB2A68">
        <w:t xml:space="preserve">xposure to excessive natural </w:t>
      </w:r>
      <w:r w:rsidR="002C79D4">
        <w:t>cold</w:t>
      </w:r>
      <w:r w:rsidRPr="00CB2A68">
        <w:t>—hyp</w:t>
      </w:r>
      <w:r w:rsidR="002C79D4">
        <w:t>o</w:t>
      </w:r>
      <w:r w:rsidRPr="00CB2A68">
        <w:t>thermia.”</w:t>
      </w:r>
    </w:p>
    <w:p w14:paraId="65CABFE8" w14:textId="366E001D" w:rsidR="002C79D4" w:rsidRPr="00495D6A" w:rsidRDefault="00781C89" w:rsidP="001C50D5">
      <w:pPr>
        <w:pStyle w:val="ListBullet"/>
      </w:pPr>
      <w:r>
        <w:t>ICD-10 code T68: “hypothermia associated with low environmental temperature</w:t>
      </w:r>
      <w:r w:rsidR="00CC0400">
        <w:t xml:space="preserve">.” Note that </w:t>
      </w:r>
      <w:r w:rsidR="004F45B4">
        <w:t>this code</w:t>
      </w:r>
      <w:r w:rsidR="00CC0400">
        <w:t xml:space="preserve"> is used for </w:t>
      </w:r>
      <w:r w:rsidR="00CC0400" w:rsidRPr="00495D6A">
        <w:t>contributing causes</w:t>
      </w:r>
      <w:r w:rsidR="004F45B4" w:rsidRPr="00495D6A">
        <w:t>—</w:t>
      </w:r>
      <w:r w:rsidR="00CC0400" w:rsidRPr="00495D6A">
        <w:t xml:space="preserve">never for </w:t>
      </w:r>
      <w:r w:rsidR="004F45B4" w:rsidRPr="00495D6A">
        <w:t xml:space="preserve">the </w:t>
      </w:r>
      <w:r w:rsidR="00CC0400" w:rsidRPr="00495D6A">
        <w:t>underlying cause.</w:t>
      </w:r>
    </w:p>
    <w:p w14:paraId="4CC2142E" w14:textId="2314CA46" w:rsidR="00781C89" w:rsidRPr="00495D6A" w:rsidRDefault="00781C89" w:rsidP="001C50D5">
      <w:pPr>
        <w:pStyle w:val="ListBullet"/>
      </w:pPr>
      <w:r w:rsidRPr="00495D6A">
        <w:t xml:space="preserve">ICD-10 code T69: </w:t>
      </w:r>
      <w:r w:rsidR="002C79D4" w:rsidRPr="00495D6A">
        <w:t>“o</w:t>
      </w:r>
      <w:r w:rsidRPr="00495D6A">
        <w:t>ther effects of reduced temperature</w:t>
      </w:r>
      <w:r w:rsidR="00CC0400" w:rsidRPr="00495D6A">
        <w:t>.</w:t>
      </w:r>
      <w:r w:rsidR="002C79D4" w:rsidRPr="00495D6A">
        <w:t>”</w:t>
      </w:r>
      <w:r w:rsidR="00CC0400" w:rsidRPr="00495D6A">
        <w:t xml:space="preserve"> Note that </w:t>
      </w:r>
      <w:r w:rsidR="004F45B4" w:rsidRPr="00495D6A">
        <w:t>this code</w:t>
      </w:r>
      <w:r w:rsidR="00CC0400" w:rsidRPr="00495D6A">
        <w:t xml:space="preserve"> is used for contributing causes</w:t>
      </w:r>
      <w:r w:rsidR="004F45B4" w:rsidRPr="00495D6A">
        <w:t>—</w:t>
      </w:r>
      <w:r w:rsidR="00CC0400" w:rsidRPr="00495D6A">
        <w:t>never for</w:t>
      </w:r>
      <w:r w:rsidR="004F45B4" w:rsidRPr="00495D6A">
        <w:t xml:space="preserve"> the</w:t>
      </w:r>
      <w:r w:rsidR="00CC0400" w:rsidRPr="00495D6A">
        <w:t xml:space="preserve"> underlying cause.</w:t>
      </w:r>
    </w:p>
    <w:p w14:paraId="6A8DB6FA" w14:textId="1A36E69A" w:rsidR="00015D7C" w:rsidRPr="00495D6A" w:rsidRDefault="00015D7C" w:rsidP="0032112C">
      <w:pPr>
        <w:pStyle w:val="BodyText"/>
      </w:pPr>
      <w:r w:rsidRPr="00495D6A">
        <w:t>To reduce the chances of including deaths that were incorrectly classified, EPHT did not count the following deaths:</w:t>
      </w:r>
    </w:p>
    <w:p w14:paraId="672A4EF2" w14:textId="2086054F" w:rsidR="00781C89" w:rsidRDefault="00456B35" w:rsidP="00781C89">
      <w:pPr>
        <w:pStyle w:val="ListBullet"/>
      </w:pPr>
      <w:r w:rsidRPr="00495D6A">
        <w:t xml:space="preserve">Any deaths for which the </w:t>
      </w:r>
      <w:r w:rsidR="00781C89" w:rsidRPr="00495D6A">
        <w:t>ICD-10 code</w:t>
      </w:r>
      <w:r w:rsidRPr="00495D6A">
        <w:t xml:space="preserve"> </w:t>
      </w:r>
      <w:r w:rsidR="00781C89" w:rsidRPr="00495D6A">
        <w:t>W93: “exposure to excessive cold of man-made origi</w:t>
      </w:r>
      <w:r w:rsidRPr="00495D6A">
        <w:t>n,</w:t>
      </w:r>
      <w:r w:rsidR="00781C89" w:rsidRPr="00495D6A">
        <w:t>”</w:t>
      </w:r>
      <w:r w:rsidRPr="00495D6A">
        <w:t xml:space="preserve"> appear</w:t>
      </w:r>
      <w:r w:rsidR="00AA3F31" w:rsidRPr="00495D6A">
        <w:t>s</w:t>
      </w:r>
      <w:r w:rsidRPr="00495D6A">
        <w:t xml:space="preserve"> in any cause field.</w:t>
      </w:r>
      <w:r w:rsidR="004F45B4" w:rsidRPr="00495D6A">
        <w:t xml:space="preserve"> This step</w:t>
      </w:r>
      <w:r w:rsidR="004F45B4">
        <w:t xml:space="preserve"> removes certain occupational-related deaths—for example, being trapped in a freezer.</w:t>
      </w:r>
    </w:p>
    <w:p w14:paraId="57E59AD5" w14:textId="127AA6A8" w:rsidR="00781C89" w:rsidRDefault="00456B35" w:rsidP="00781C89">
      <w:pPr>
        <w:pStyle w:val="ListBullet"/>
      </w:pPr>
      <w:r>
        <w:t xml:space="preserve">Any deaths for which the </w:t>
      </w:r>
      <w:r w:rsidR="00781C89">
        <w:t>ICD-10 code</w:t>
      </w:r>
      <w:r>
        <w:t xml:space="preserve"> </w:t>
      </w:r>
      <w:r w:rsidR="00781C89">
        <w:t>R68.0: “hypothermia, not associated with low environmental temperature</w:t>
      </w:r>
      <w:r>
        <w:t>,” appear</w:t>
      </w:r>
      <w:r w:rsidR="00AA3F31">
        <w:t>s</w:t>
      </w:r>
      <w:r>
        <w:t xml:space="preserve"> in any cause field.</w:t>
      </w:r>
      <w:r w:rsidR="004F45B4">
        <w:t xml:space="preserve"> This step excludes certain causes of hypothermia that are not associated with exposure to cold environmental conditions.</w:t>
      </w:r>
    </w:p>
    <w:p w14:paraId="6219EAD6" w14:textId="1CF6A0C1" w:rsidR="00781C89" w:rsidRDefault="00456B35" w:rsidP="00781C89">
      <w:pPr>
        <w:pStyle w:val="ListBullet"/>
      </w:pPr>
      <w:r>
        <w:t xml:space="preserve">Any deaths for which the </w:t>
      </w:r>
      <w:r w:rsidR="00781C89">
        <w:t>ICD-10 code P80: “hypothermia of newborn</w:t>
      </w:r>
      <w:r w:rsidR="00AA3F31">
        <w:t>,” appears in any cause field.</w:t>
      </w:r>
      <w:r w:rsidR="004F45B4">
        <w:t xml:space="preserve"> This step excludes deaths that may be due to a newborn child’s inability to regulate body temperature.</w:t>
      </w:r>
    </w:p>
    <w:p w14:paraId="12D6E4B8" w14:textId="25484D5B" w:rsidR="00015D7C" w:rsidRDefault="00015D7C" w:rsidP="0032112C">
      <w:pPr>
        <w:pStyle w:val="BodyText"/>
      </w:pPr>
      <w:r>
        <w:t>Foreign residents were excluded. EPHT obtained death counts directly from NVSS, rather than using the processed data available through CDC WONDER. EPHT has not yet applied its methods to data prior to 1999. Crude death rates were calculated in the same manner as with the underlying causes time series.</w:t>
      </w:r>
    </w:p>
    <w:p w14:paraId="37777616" w14:textId="77777777" w:rsidR="00015D7C" w:rsidRPr="00AC0BC7" w:rsidRDefault="00015D7C" w:rsidP="0032112C">
      <w:pPr>
        <w:pStyle w:val="Heading2"/>
      </w:pPr>
      <w:r w:rsidRPr="00AC0BC7">
        <w:t>Quality Assurance and Quality Control</w:t>
      </w:r>
    </w:p>
    <w:p w14:paraId="7CF9F67E" w14:textId="77777777" w:rsidR="00015D7C" w:rsidRDefault="00015D7C" w:rsidP="0032112C">
      <w:pPr>
        <w:pStyle w:val="BodyText"/>
      </w:pPr>
      <w:r w:rsidRPr="00A07C74">
        <w:t>Vital statistics regulations have been developed to serve as a detailed guide to state and local registration officials who administer the NVSS. These regulations provide specific instructions to protect the integrity and quality of the data collected. This quality assurance information can be found in CDC (1995).</w:t>
      </w:r>
    </w:p>
    <w:p w14:paraId="64A2FBDC" w14:textId="77777777" w:rsidR="00015D7C" w:rsidRDefault="00015D7C" w:rsidP="0032112C">
      <w:pPr>
        <w:pStyle w:val="BodyText"/>
      </w:pPr>
      <w:r>
        <w:t>For the “underlying and contributing causes” component of this indicator, extra steps have been taken to remove certain deaths that could potentially reflect a misclassification (see Section 6). T</w:t>
      </w:r>
      <w:r w:rsidRPr="005A6312">
        <w:t xml:space="preserve">hese criteria </w:t>
      </w:r>
      <w:r>
        <w:t xml:space="preserve">generally </w:t>
      </w:r>
      <w:r w:rsidRPr="005A6312">
        <w:t>excluded only a small number of deaths</w:t>
      </w:r>
      <w:r>
        <w:t>.</w:t>
      </w:r>
    </w:p>
    <w:p w14:paraId="6828BBD3" w14:textId="77777777" w:rsidR="00015D7C" w:rsidRDefault="00015D7C" w:rsidP="0032112C">
      <w:pPr>
        <w:pStyle w:val="Heading1nonumbering"/>
      </w:pPr>
      <w:r>
        <w:t>Analysis</w:t>
      </w:r>
    </w:p>
    <w:p w14:paraId="7DBA6F81" w14:textId="77777777" w:rsidR="00015D7C" w:rsidRPr="00AC0BC7" w:rsidRDefault="00015D7C" w:rsidP="0032112C">
      <w:pPr>
        <w:pStyle w:val="Heading2"/>
      </w:pPr>
      <w:r w:rsidRPr="00AC0BC7">
        <w:t>Comparability Over Time and Space</w:t>
      </w:r>
    </w:p>
    <w:p w14:paraId="7454B09B" w14:textId="4501FE02" w:rsidR="00015D7C" w:rsidRDefault="00015D7C" w:rsidP="0032112C">
      <w:pPr>
        <w:pStyle w:val="BodyText"/>
      </w:pPr>
      <w:r>
        <w:t xml:space="preserve">When plotting the </w:t>
      </w:r>
      <w:r w:rsidR="00705008">
        <w:t xml:space="preserve">long-term </w:t>
      </w:r>
      <w:r>
        <w:t>data</w:t>
      </w:r>
      <w:r w:rsidR="00705008">
        <w:t xml:space="preserve"> in Figure 1</w:t>
      </w:r>
      <w:r>
        <w:t>, EPA inserted a break in the line between 1998 and 1999 to reflect the transition from ICD-9 codes to ICD-10 codes. The change in codes makes it difficult to accurately compare pre-1999 data with data from 1999 and later. Otherwise, all methods have been applied consistently over time and space. ICD codes allow physicians and other medical professionals across the country to use a standard scheme for classifying causes of deaths.</w:t>
      </w:r>
    </w:p>
    <w:p w14:paraId="016E16B5" w14:textId="77777777" w:rsidR="00015D7C" w:rsidRPr="00AC0BC7" w:rsidRDefault="00015D7C" w:rsidP="0032112C">
      <w:pPr>
        <w:pStyle w:val="Heading2"/>
      </w:pPr>
      <w:r w:rsidRPr="00AC0BC7">
        <w:t>Data Limitations</w:t>
      </w:r>
    </w:p>
    <w:p w14:paraId="7769CCE1" w14:textId="77777777" w:rsidR="00015D7C" w:rsidRPr="00D04ED5" w:rsidRDefault="00015D7C" w:rsidP="0032112C">
      <w:pPr>
        <w:pStyle w:val="BodyText"/>
      </w:pPr>
      <w:r w:rsidRPr="00AC0BC7">
        <w:t xml:space="preserve">Factors that may impact the confidence, application, or conclusions drawn from this indicator are as </w:t>
      </w:r>
      <w:r w:rsidRPr="00D04ED5">
        <w:t>follows:</w:t>
      </w:r>
    </w:p>
    <w:p w14:paraId="7D737113" w14:textId="21D77C81" w:rsidR="00015D7C" w:rsidRPr="00D04ED5" w:rsidRDefault="00DC1961" w:rsidP="00DC1961">
      <w:pPr>
        <w:pStyle w:val="ListParagraph"/>
      </w:pPr>
      <w:r>
        <w:t>S</w:t>
      </w:r>
      <w:r w:rsidR="00D04ED5">
        <w:t>ome</w:t>
      </w:r>
      <w:r w:rsidR="00015D7C" w:rsidRPr="00D04ED5">
        <w:t xml:space="preserve"> deaths associated with </w:t>
      </w:r>
      <w:r w:rsidR="00B65079" w:rsidRPr="00D04ED5">
        <w:t>cold</w:t>
      </w:r>
      <w:r>
        <w:t xml:space="preserve"> exposure</w:t>
      </w:r>
      <w:r w:rsidR="00B65079" w:rsidRPr="00D04ED5">
        <w:t xml:space="preserve"> </w:t>
      </w:r>
      <w:r w:rsidR="00015D7C" w:rsidRPr="00D04ED5">
        <w:t xml:space="preserve">are not identified as such by the medical examiner and might not be </w:t>
      </w:r>
      <w:r w:rsidR="002D0A87">
        <w:t>properly</w:t>
      </w:r>
      <w:r w:rsidR="002D0A87" w:rsidRPr="00D04ED5">
        <w:t xml:space="preserve"> </w:t>
      </w:r>
      <w:r w:rsidR="00015D7C" w:rsidRPr="00D04ED5">
        <w:t>coded on the death certificate. In many cases, they might just classify the cause of death as a cardiovascular or respiratory disease</w:t>
      </w:r>
      <w:r>
        <w:t>, not knowing for certain whether cold was a contributing factor.</w:t>
      </w:r>
      <w:r w:rsidR="00B45A28">
        <w:t xml:space="preserve"> </w:t>
      </w:r>
      <w:r w:rsidR="00B45A28" w:rsidRPr="00D04ED5">
        <w:t>These causes of death are much more common than cold-related illnesses such as hypothermia.</w:t>
      </w:r>
      <w:r>
        <w:t xml:space="preserve"> Furthermore, deaths can occur from exposure to</w:t>
      </w:r>
      <w:r w:rsidR="00382593">
        <w:t xml:space="preserve"> more</w:t>
      </w:r>
      <w:r>
        <w:t xml:space="preserve"> </w:t>
      </w:r>
      <w:r w:rsidR="00382593">
        <w:t xml:space="preserve">moderately </w:t>
      </w:r>
      <w:r>
        <w:t>cold</w:t>
      </w:r>
      <w:r w:rsidR="00382593">
        <w:t xml:space="preserve"> temperature</w:t>
      </w:r>
      <w:r>
        <w:t xml:space="preserve"> (either as an underlying cause or as a contributing factor) that is not classified as extreme and therefor</w:t>
      </w:r>
      <w:r w:rsidR="003F6276">
        <w:t>e is often not recorded as such</w:t>
      </w:r>
      <w:r w:rsidR="00B45A28">
        <w:t>. T</w:t>
      </w:r>
      <w:r w:rsidR="00B45A28" w:rsidRPr="00D04ED5">
        <w:t xml:space="preserve">he stress of several cold days can increase </w:t>
      </w:r>
      <w:r w:rsidR="00B45A28">
        <w:t xml:space="preserve">one’s </w:t>
      </w:r>
      <w:r w:rsidR="00B45A28" w:rsidRPr="00D04ED5">
        <w:t>risk of dying from</w:t>
      </w:r>
      <w:r w:rsidR="00B45A28">
        <w:t xml:space="preserve"> conditions such as</w:t>
      </w:r>
      <w:r w:rsidR="00B45A28" w:rsidRPr="00D04ED5">
        <w:t xml:space="preserve"> myocardial infarction or cardiac arrest</w:t>
      </w:r>
      <w:r w:rsidR="00B45A28">
        <w:t xml:space="preserve"> (Medina-Ramon and Schwartz, 2007; Braga et al., 2002), and the </w:t>
      </w:r>
      <w:r>
        <w:t>effects of cold on the body tend to persist for longer than the effects of heat</w:t>
      </w:r>
      <w:r w:rsidR="00B45A28">
        <w:t xml:space="preserve"> (Gasparrini et al., 2015)</w:t>
      </w:r>
      <w:r>
        <w:t>, which could make it even more difficult to connect deaths to exposures.</w:t>
      </w:r>
      <w:r w:rsidR="00AA3F31" w:rsidRPr="00D04ED5">
        <w:t xml:space="preserve"> </w:t>
      </w:r>
      <w:r w:rsidR="00B45A28">
        <w:t>Still, this indicator</w:t>
      </w:r>
      <w:r w:rsidR="00015D7C" w:rsidRPr="00D04ED5">
        <w:t xml:space="preserve"> serve</w:t>
      </w:r>
      <w:r w:rsidR="00B45A28">
        <w:t>s</w:t>
      </w:r>
      <w:r w:rsidR="00015D7C" w:rsidRPr="00D04ED5">
        <w:t xml:space="preserve"> as a reportable national measure of </w:t>
      </w:r>
      <w:r w:rsidR="00705008" w:rsidRPr="00D04ED5">
        <w:t xml:space="preserve">overall </w:t>
      </w:r>
      <w:r w:rsidR="00015D7C" w:rsidRPr="00D04ED5">
        <w:t xml:space="preserve">deaths </w:t>
      </w:r>
      <w:r w:rsidR="0008045F">
        <w:t xml:space="preserve">directly </w:t>
      </w:r>
      <w:r w:rsidR="00015D7C" w:rsidRPr="00D04ED5">
        <w:t xml:space="preserve">attributable to </w:t>
      </w:r>
      <w:r w:rsidR="00B45A28">
        <w:t>cold</w:t>
      </w:r>
      <w:r w:rsidR="00382593">
        <w:t xml:space="preserve"> and can be used as evidence for more focused investigations</w:t>
      </w:r>
      <w:r w:rsidR="00015D7C" w:rsidRPr="00D04ED5">
        <w:t>.</w:t>
      </w:r>
    </w:p>
    <w:p w14:paraId="50C5EA13" w14:textId="77777777" w:rsidR="00015D7C" w:rsidRPr="00AC0BC7" w:rsidRDefault="00015D7C" w:rsidP="0032112C">
      <w:pPr>
        <w:pStyle w:val="ListParagraph"/>
      </w:pPr>
      <w:r w:rsidRPr="00AC0BC7">
        <w:t>ICD-9 codes were used to specify underlying cause of death for the years 1979 to 1998. Beginning in 1999, cause of death was specified with ICD-10 codes. The two revisions differ substantially, so data from before 1999 cannot easily be compared with data from 1999 and later.</w:t>
      </w:r>
    </w:p>
    <w:p w14:paraId="53B1C4A0" w14:textId="44E0A744" w:rsidR="00015D7C" w:rsidRDefault="00015D7C" w:rsidP="002D0A87">
      <w:pPr>
        <w:pStyle w:val="ListParagraph"/>
      </w:pPr>
      <w:r w:rsidRPr="00AC0BC7">
        <w:t>The fact that a death is classified as “</w:t>
      </w:r>
      <w:r w:rsidR="00B65079">
        <w:t>cold</w:t>
      </w:r>
      <w:r w:rsidRPr="00AC0BC7">
        <w:t xml:space="preserve">-related” does not mean that </w:t>
      </w:r>
      <w:r w:rsidR="00B65079">
        <w:t>cold</w:t>
      </w:r>
      <w:r w:rsidR="00B65079" w:rsidRPr="00AC0BC7">
        <w:t xml:space="preserve"> </w:t>
      </w:r>
      <w:r w:rsidRPr="00AC0BC7">
        <w:t>temperatures were the only factor that caused the death. Pre-existing medical conditions</w:t>
      </w:r>
      <w:r w:rsidR="00DC1961">
        <w:t>, certain medications, alcohol or drug use, and other factors</w:t>
      </w:r>
      <w:r w:rsidRPr="00AC0BC7">
        <w:t xml:space="preserve"> can greatly increase an individual’s vulnerability to </w:t>
      </w:r>
      <w:r w:rsidR="00B65079">
        <w:t>cold.</w:t>
      </w:r>
      <w:r w:rsidR="00A92779">
        <w:t xml:space="preserve"> Some deaths classified as “cold-related” reflect human behavior more than weather conditions—for instance, deaths </w:t>
      </w:r>
      <w:r w:rsidR="002D0A87" w:rsidRPr="002D0A87">
        <w:t>in which alcohol abuse increased a person's susceptibility to cold weather</w:t>
      </w:r>
      <w:r w:rsidR="00A92779">
        <w:t>, falling into cold water (which can cause hypothermia, even in the summer), or getting lost on a wilderness excursion. This indicator includes these types of deaths.</w:t>
      </w:r>
      <w:r w:rsidR="00A53011">
        <w:t xml:space="preserve"> Nonetheless, deaths classified as “cold-related” are much more common in colder months of the year than in warmer months, as Figure TD-1 shows.</w:t>
      </w:r>
    </w:p>
    <w:p w14:paraId="797DA80E" w14:textId="273163C8" w:rsidR="00027C49" w:rsidRDefault="00027C49">
      <w:pPr>
        <w:pStyle w:val="ListParagraph"/>
      </w:pPr>
      <w:r>
        <w:t>Cold</w:t>
      </w:r>
      <w:r w:rsidRPr="00AC0BC7">
        <w:t xml:space="preserve"> </w:t>
      </w:r>
      <w:r>
        <w:t>weather is</w:t>
      </w:r>
      <w:r w:rsidRPr="00AC0BC7">
        <w:t xml:space="preserve"> not the only factor that can affect trends in “</w:t>
      </w:r>
      <w:r>
        <w:t>cold</w:t>
      </w:r>
      <w:r w:rsidRPr="00AC0BC7">
        <w:t>-related” deaths. Other factors include the vulnerability of the population</w:t>
      </w:r>
      <w:r>
        <w:t xml:space="preserve"> and</w:t>
      </w:r>
      <w:r w:rsidRPr="00AC0BC7">
        <w:t xml:space="preserve"> the extent to which people have adapted</w:t>
      </w:r>
      <w:r>
        <w:t xml:space="preserve"> and acclimated</w:t>
      </w:r>
      <w:r w:rsidRPr="00AC0BC7">
        <w:t xml:space="preserve"> to </w:t>
      </w:r>
      <w:r>
        <w:t>cold</w:t>
      </w:r>
      <w:r w:rsidRPr="00AC0BC7">
        <w:t xml:space="preserve"> temperatures</w:t>
      </w:r>
      <w:r>
        <w:t xml:space="preserve">. </w:t>
      </w:r>
    </w:p>
    <w:p w14:paraId="56255EFB" w14:textId="2CCDBC29" w:rsidR="00A53011" w:rsidRDefault="00A53011" w:rsidP="003061AE">
      <w:pPr>
        <w:pStyle w:val="FigureTitle"/>
      </w:pPr>
      <w:r>
        <w:t>Figure TD-1. Deaths Classified as “Cold-Related” in the United States by Month, 1999–201</w:t>
      </w:r>
      <w:r w:rsidR="00A8541E">
        <w:t>5</w:t>
      </w:r>
    </w:p>
    <w:p w14:paraId="5B526850" w14:textId="117C9A5C" w:rsidR="00A53011" w:rsidRDefault="005A4534" w:rsidP="003061AE">
      <w:r>
        <w:rPr>
          <w:noProof/>
        </w:rPr>
        <w:drawing>
          <wp:inline distT="0" distB="0" distL="0" distR="0" wp14:anchorId="6E56C9F2" wp14:editId="54241D87">
            <wp:extent cx="5943600" cy="3331210"/>
            <wp:effectExtent l="0" t="0" r="0" b="2540"/>
            <wp:docPr id="2" name="Picture 2" descr="Bar graph showing all deaths for which cold was recorded as either the underlying cause or a contributing factor, 1990-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Bar graph showing all deaths for which cold was recorded as either the underlying cause or a contributing factor, 1990-2015"/>
                    <pic:cNvPicPr/>
                  </pic:nvPicPr>
                  <pic:blipFill>
                    <a:blip r:embed="rId17">
                      <a:extLst>
                        <a:ext uri="{28A0092B-C50C-407E-A947-70E740481C1C}">
                          <a14:useLocalDpi xmlns:a14="http://schemas.microsoft.com/office/drawing/2010/main" val="0"/>
                        </a:ext>
                      </a:extLst>
                    </a:blip>
                    <a:stretch>
                      <a:fillRect/>
                    </a:stretch>
                  </pic:blipFill>
                  <pic:spPr>
                    <a:xfrm>
                      <a:off x="0" y="0"/>
                      <a:ext cx="5943600" cy="3331210"/>
                    </a:xfrm>
                    <a:prstGeom prst="rect">
                      <a:avLst/>
                    </a:prstGeom>
                  </pic:spPr>
                </pic:pic>
              </a:graphicData>
            </a:graphic>
          </wp:inline>
        </w:drawing>
      </w:r>
    </w:p>
    <w:p w14:paraId="00EEB9EA" w14:textId="77777777" w:rsidR="002D0A87" w:rsidRDefault="00A53011" w:rsidP="003061AE">
      <w:pPr>
        <w:pStyle w:val="BodyTextitalics"/>
      </w:pPr>
      <w:r>
        <w:t xml:space="preserve">This graph shows all deaths for which cold was recorded as either the underlying cause or a contributing cause of death, which corresponds with the blue line in Figure 1 of this indicator. Deaths have been aggregated by month over the entire period of record. </w:t>
      </w:r>
    </w:p>
    <w:p w14:paraId="1441E004" w14:textId="0DB0E1E4" w:rsidR="00A53011" w:rsidRPr="00AC0BC7" w:rsidRDefault="00A53011" w:rsidP="003061AE">
      <w:pPr>
        <w:pStyle w:val="BodyText"/>
      </w:pPr>
      <w:r w:rsidRPr="003061AE">
        <w:t>Data source: CDC</w:t>
      </w:r>
      <w:r w:rsidR="002D0A87">
        <w:t xml:space="preserve">, </w:t>
      </w:r>
      <w:r w:rsidRPr="003061AE">
        <w:t>201</w:t>
      </w:r>
      <w:r w:rsidR="00A8541E">
        <w:t>8</w:t>
      </w:r>
      <w:r w:rsidRPr="003061AE">
        <w:t>b</w:t>
      </w:r>
    </w:p>
    <w:p w14:paraId="69A69E4C" w14:textId="77777777" w:rsidR="00015D7C" w:rsidRPr="00AC0BC7" w:rsidRDefault="00015D7C" w:rsidP="0032112C">
      <w:pPr>
        <w:pStyle w:val="Heading2"/>
      </w:pPr>
      <w:r w:rsidRPr="00AC0BC7">
        <w:t>Sources of Uncertainty</w:t>
      </w:r>
    </w:p>
    <w:p w14:paraId="3813AA0B" w14:textId="77777777" w:rsidR="00015D7C" w:rsidRDefault="00015D7C" w:rsidP="0032112C">
      <w:pPr>
        <w:pStyle w:val="BodyText"/>
      </w:pPr>
      <w:r>
        <w:t>Uncertainty estimates are not available for this indicator. Because statistics have been gathered from virtually the entire target population (i.e., all deaths in a given year), these data are not subject to the same kinds of errors and uncertainties that would be inherent in a probabilistic survey or other type of representative sampling program.</w:t>
      </w:r>
    </w:p>
    <w:p w14:paraId="76ED2F8B" w14:textId="0809BD95" w:rsidR="00015D7C" w:rsidRDefault="00015D7C" w:rsidP="0032112C">
      <w:pPr>
        <w:pStyle w:val="BodyText"/>
      </w:pPr>
      <w:r>
        <w:t>Some uncertainty could be introduced as a result of the professional judgment required of the medical professionals filling out the death certificates, which could potentially result in misclassification or underreporting in some number of cases.</w:t>
      </w:r>
    </w:p>
    <w:p w14:paraId="064A0D0F" w14:textId="77777777" w:rsidR="00015D7C" w:rsidRPr="00AC0BC7" w:rsidRDefault="00015D7C" w:rsidP="0032112C">
      <w:pPr>
        <w:pStyle w:val="Heading2"/>
      </w:pPr>
      <w:r w:rsidRPr="00AC0BC7">
        <w:t>Sources of Variability</w:t>
      </w:r>
    </w:p>
    <w:p w14:paraId="61E3BA3C" w14:textId="5B2BBC0F" w:rsidR="00015D7C" w:rsidRDefault="00015D7C" w:rsidP="0032112C">
      <w:pPr>
        <w:pStyle w:val="BodyText"/>
      </w:pPr>
      <w:r>
        <w:t>There is substantial year-to-year variability within the data</w:t>
      </w:r>
      <w:r w:rsidR="00DC1961">
        <w:t>. Further study is needed to determine the extent to which year-to-year variations in cold-related deaths might reflect general weather conditions (e.g., a particularly cold winter in a certain region)</w:t>
      </w:r>
      <w:r w:rsidR="00382593">
        <w:t>, the status of winter illness in the population</w:t>
      </w:r>
      <w:r w:rsidR="00B83FAE">
        <w:t xml:space="preserve"> (e.g., a particularly bad strain of influenza)</w:t>
      </w:r>
      <w:r w:rsidR="00382593">
        <w:t>,</w:t>
      </w:r>
      <w:r w:rsidR="00DC1961">
        <w:t xml:space="preserve"> or specific extreme cold events</w:t>
      </w:r>
      <w:r w:rsidR="00AC4473">
        <w:t>.</w:t>
      </w:r>
    </w:p>
    <w:p w14:paraId="74E08412" w14:textId="77777777" w:rsidR="00015D7C" w:rsidRPr="00AC0BC7" w:rsidRDefault="00015D7C" w:rsidP="0032112C">
      <w:pPr>
        <w:pStyle w:val="Heading2"/>
      </w:pPr>
      <w:r w:rsidRPr="00AC0BC7">
        <w:t>Statistical/Trend Analysis</w:t>
      </w:r>
    </w:p>
    <w:p w14:paraId="643795F5" w14:textId="48CFC16C" w:rsidR="00015D7C" w:rsidRDefault="00015D7C" w:rsidP="0032112C">
      <w:pPr>
        <w:pStyle w:val="BodyText"/>
      </w:pPr>
      <w:r>
        <w:t xml:space="preserve">This indicator does not report on the slope of the apparent trends in </w:t>
      </w:r>
      <w:r w:rsidR="00AC4473">
        <w:t>cold</w:t>
      </w:r>
      <w:r w:rsidR="00DC1961">
        <w:t>-</w:t>
      </w:r>
      <w:r>
        <w:t>related deaths, nor does it calculate the statistical significance of these trends.</w:t>
      </w:r>
    </w:p>
    <w:p w14:paraId="3BC8F66B" w14:textId="77777777" w:rsidR="00015D7C" w:rsidRDefault="00015D7C" w:rsidP="0032112C">
      <w:pPr>
        <w:pStyle w:val="Heading1nonumbering"/>
      </w:pPr>
      <w:r>
        <w:t>References</w:t>
      </w:r>
    </w:p>
    <w:p w14:paraId="0C223F61" w14:textId="39BF3E52" w:rsidR="00D04ED5" w:rsidRDefault="00D04ED5" w:rsidP="0032112C">
      <w:pPr>
        <w:pStyle w:val="Reference"/>
      </w:pPr>
      <w:r>
        <w:t>Braga, A.L., A. Zanobetti, and J. Schwartz. 2002. The effect of weather on respiratory and cardiovascular deaths in 12 U.S. cities. Environ</w:t>
      </w:r>
      <w:r w:rsidR="009B7883">
        <w:t>.</w:t>
      </w:r>
      <w:r>
        <w:t xml:space="preserve"> Health Perspect. 110(9)</w:t>
      </w:r>
      <w:r w:rsidR="007B7A0E">
        <w:t>:</w:t>
      </w:r>
      <w:r>
        <w:t>859</w:t>
      </w:r>
      <w:r w:rsidR="007B7A0E">
        <w:t>–</w:t>
      </w:r>
      <w:r>
        <w:t>863.</w:t>
      </w:r>
    </w:p>
    <w:p w14:paraId="27A229C9" w14:textId="2981757A" w:rsidR="00015D7C" w:rsidRDefault="00015D7C" w:rsidP="0032112C">
      <w:pPr>
        <w:pStyle w:val="Reference"/>
      </w:pPr>
      <w:r w:rsidRPr="0065199F">
        <w:t>CDC (</w:t>
      </w:r>
      <w:r>
        <w:t xml:space="preserve">U.S. </w:t>
      </w:r>
      <w:r w:rsidRPr="0065199F">
        <w:t>Centers for Disease Control and Prevention</w:t>
      </w:r>
      <w:r>
        <w:t>). 1995.</w:t>
      </w:r>
      <w:r w:rsidRPr="0065199F">
        <w:t xml:space="preserve"> </w:t>
      </w:r>
      <w:r w:rsidRPr="006160B2">
        <w:t xml:space="preserve">Model State Vital Statistics Act and Regulations </w:t>
      </w:r>
      <w:r>
        <w:t>(r</w:t>
      </w:r>
      <w:r w:rsidRPr="00D44A6C">
        <w:t>evised April 1995</w:t>
      </w:r>
      <w:r>
        <w:t>).</w:t>
      </w:r>
      <w:r w:rsidRPr="00D44A6C">
        <w:t xml:space="preserve"> DHHS publication </w:t>
      </w:r>
      <w:r>
        <w:t xml:space="preserve">no. </w:t>
      </w:r>
      <w:r w:rsidRPr="00D44A6C">
        <w:t>(PHS) 95-1115</w:t>
      </w:r>
      <w:r>
        <w:t>.</w:t>
      </w:r>
      <w:r w:rsidR="007B7A0E" w:rsidRPr="007B7A0E">
        <w:t xml:space="preserve"> </w:t>
      </w:r>
      <w:hyperlink r:id="rId18" w:history="1">
        <w:r w:rsidR="007B7A0E" w:rsidRPr="00CA1BB7">
          <w:rPr>
            <w:rStyle w:val="Hyperlink"/>
          </w:rPr>
          <w:t>www.cdc.gov/nchs/data/misc/mvsact92aacc.pdf</w:t>
        </w:r>
      </w:hyperlink>
      <w:r>
        <w:t>.</w:t>
      </w:r>
    </w:p>
    <w:p w14:paraId="439F273B" w14:textId="741F19E2" w:rsidR="00015D7C" w:rsidRDefault="00015D7C" w:rsidP="0032112C">
      <w:pPr>
        <w:pStyle w:val="Reference"/>
      </w:pPr>
      <w:r w:rsidRPr="009F4367">
        <w:t>CDC</w:t>
      </w:r>
      <w:r w:rsidR="00974F5B">
        <w:t xml:space="preserve"> </w:t>
      </w:r>
      <w:r w:rsidR="00974F5B" w:rsidRPr="0065199F">
        <w:t>(</w:t>
      </w:r>
      <w:r w:rsidR="00974F5B">
        <w:t xml:space="preserve">U.S. </w:t>
      </w:r>
      <w:r w:rsidR="00974F5B" w:rsidRPr="0065199F">
        <w:t>Centers for Disease Control and Prevention</w:t>
      </w:r>
      <w:r w:rsidR="00974F5B">
        <w:t>)</w:t>
      </w:r>
      <w:r w:rsidRPr="009F4367">
        <w:t>. 20</w:t>
      </w:r>
      <w:r>
        <w:t>1</w:t>
      </w:r>
      <w:r w:rsidR="00F56428">
        <w:t>8</w:t>
      </w:r>
      <w:r w:rsidR="006B617F">
        <w:t>a</w:t>
      </w:r>
      <w:r w:rsidRPr="009F4367">
        <w:t xml:space="preserve">. </w:t>
      </w:r>
      <w:r w:rsidR="00450B83">
        <w:t xml:space="preserve">Mortality data on CDC WONDER: </w:t>
      </w:r>
      <w:r w:rsidR="001443C8">
        <w:t xml:space="preserve">Underlying </w:t>
      </w:r>
      <w:r w:rsidR="00402B58">
        <w:t>c</w:t>
      </w:r>
      <w:r w:rsidR="001443C8">
        <w:t>ause-of-</w:t>
      </w:r>
      <w:r w:rsidR="00402B58">
        <w:t>d</w:t>
      </w:r>
      <w:r w:rsidR="001443C8">
        <w:t xml:space="preserve">eath: All ages deaths from compressed mortality: </w:t>
      </w:r>
      <w:r w:rsidR="00402B58">
        <w:t xml:space="preserve">Mortality for </w:t>
      </w:r>
      <w:r w:rsidRPr="009F4367">
        <w:t>1999</w:t>
      </w:r>
      <w:r>
        <w:t>–</w:t>
      </w:r>
      <w:r w:rsidRPr="009F4367">
        <w:t>20</w:t>
      </w:r>
      <w:r>
        <w:t>1</w:t>
      </w:r>
      <w:r w:rsidR="00F56428">
        <w:t>6</w:t>
      </w:r>
      <w:r w:rsidRPr="009F4367">
        <w:t xml:space="preserve"> with </w:t>
      </w:r>
      <w:r>
        <w:t>ICD</w:t>
      </w:r>
      <w:r w:rsidR="00402B58">
        <w:t xml:space="preserve"> </w:t>
      </w:r>
      <w:r w:rsidRPr="009F4367">
        <w:t>10</w:t>
      </w:r>
      <w:r>
        <w:t xml:space="preserve"> codes</w:t>
      </w:r>
      <w:r w:rsidR="00402B58">
        <w:t xml:space="preserve">, mortality for </w:t>
      </w:r>
      <w:r>
        <w:t>1979–1998 with ICD</w:t>
      </w:r>
      <w:r w:rsidR="00402B58">
        <w:t xml:space="preserve"> </w:t>
      </w:r>
      <w:r w:rsidRPr="009F4367">
        <w:t xml:space="preserve">9 codes. Accessed </w:t>
      </w:r>
      <w:r w:rsidR="00F56428">
        <w:t>March</w:t>
      </w:r>
      <w:r w:rsidR="001E097C">
        <w:t xml:space="preserve"> 201</w:t>
      </w:r>
      <w:r w:rsidR="00F56428">
        <w:t>8</w:t>
      </w:r>
      <w:r w:rsidRPr="009F4367">
        <w:t xml:space="preserve">. </w:t>
      </w:r>
      <w:hyperlink r:id="rId19" w:history="1">
        <w:r w:rsidR="00E36DFA">
          <w:rPr>
            <w:rStyle w:val="Hyperlink"/>
            <w:bCs/>
          </w:rPr>
          <w:t>https://wonder.cdc.gov/mortSQL.html</w:t>
        </w:r>
      </w:hyperlink>
      <w:r>
        <w:t>.</w:t>
      </w:r>
    </w:p>
    <w:p w14:paraId="5952EE5F" w14:textId="4D01064E" w:rsidR="00015D7C" w:rsidRDefault="00015D7C" w:rsidP="00BA6B70">
      <w:pPr>
        <w:pStyle w:val="Reference"/>
      </w:pPr>
      <w:r w:rsidRPr="004B755C">
        <w:t>CDC</w:t>
      </w:r>
      <w:r w:rsidR="00974F5B">
        <w:t xml:space="preserve"> </w:t>
      </w:r>
      <w:r w:rsidR="00974F5B" w:rsidRPr="0065199F">
        <w:t>(</w:t>
      </w:r>
      <w:r w:rsidR="00974F5B">
        <w:t xml:space="preserve">U.S. </w:t>
      </w:r>
      <w:r w:rsidR="00974F5B" w:rsidRPr="0065199F">
        <w:t>Centers for Disease Control and Prevention</w:t>
      </w:r>
      <w:r w:rsidR="00974F5B">
        <w:t>)</w:t>
      </w:r>
      <w:r w:rsidRPr="004B755C">
        <w:t xml:space="preserve">. </w:t>
      </w:r>
      <w:r w:rsidR="006B617F" w:rsidRPr="004B755C">
        <w:t>201</w:t>
      </w:r>
      <w:r w:rsidR="00F56428">
        <w:t>8</w:t>
      </w:r>
      <w:r w:rsidR="006B617F">
        <w:t>b</w:t>
      </w:r>
      <w:r w:rsidRPr="004B755C">
        <w:t xml:space="preserve">. </w:t>
      </w:r>
      <w:r w:rsidR="006B617F">
        <w:t xml:space="preserve">Monthly national totals provided by </w:t>
      </w:r>
      <w:r w:rsidR="006B617F" w:rsidRPr="0031518E">
        <w:t>National Center for Environmental Health</w:t>
      </w:r>
      <w:r w:rsidR="006B617F">
        <w:t xml:space="preserve"> staff in </w:t>
      </w:r>
      <w:r w:rsidR="00F56428">
        <w:t>March</w:t>
      </w:r>
      <w:r w:rsidR="006B617F">
        <w:t xml:space="preserve"> 201</w:t>
      </w:r>
      <w:r w:rsidR="00F56428">
        <w:t>8</w:t>
      </w:r>
      <w:r w:rsidR="006B617F">
        <w:t>, based on contributing causes of death with exclusion criteria applied.</w:t>
      </w:r>
    </w:p>
    <w:p w14:paraId="4B76B6A8" w14:textId="4C058F24" w:rsidR="00B45A28" w:rsidRDefault="00B45A28" w:rsidP="0032112C">
      <w:pPr>
        <w:pStyle w:val="Reference"/>
      </w:pPr>
      <w:r>
        <w:t xml:space="preserve">Gasparrini, A., </w:t>
      </w:r>
      <w:r w:rsidR="00581FA0">
        <w:t>et al</w:t>
      </w:r>
      <w:r>
        <w:t xml:space="preserve">. 2015. Mortality risk attributable to high and low ambient temperature: A multicountry observational study. Lancet </w:t>
      </w:r>
      <w:r w:rsidRPr="00CF1AE7">
        <w:t>386</w:t>
      </w:r>
      <w:r>
        <w:t>(</w:t>
      </w:r>
      <w:r w:rsidRPr="00CF1AE7">
        <w:t>9991</w:t>
      </w:r>
      <w:r>
        <w:t>):</w:t>
      </w:r>
      <w:r w:rsidRPr="00CF1AE7">
        <w:t>369–375</w:t>
      </w:r>
      <w:r>
        <w:t>.</w:t>
      </w:r>
    </w:p>
    <w:p w14:paraId="4C4F137A" w14:textId="77777777" w:rsidR="00015D7C" w:rsidRDefault="00015D7C" w:rsidP="0032112C">
      <w:pPr>
        <w:pStyle w:val="Reference"/>
      </w:pPr>
      <w:r>
        <w:t xml:space="preserve">Medina-Ramón, M., and J. Schwartz. 2007. Temperature, temperature extremes, and mortality: A study of acclimatization and effect modification in 50 U.S. cities. </w:t>
      </w:r>
      <w:r w:rsidRPr="00A636CC">
        <w:t>Occup</w:t>
      </w:r>
      <w:r>
        <w:t>.</w:t>
      </w:r>
      <w:r w:rsidRPr="00A636CC">
        <w:t xml:space="preserve"> Envi</w:t>
      </w:r>
      <w:r>
        <w:t>ron.</w:t>
      </w:r>
      <w:r w:rsidRPr="00A636CC">
        <w:t xml:space="preserve"> Med</w:t>
      </w:r>
      <w:r>
        <w:t>. 64(12):</w:t>
      </w:r>
      <w:r w:rsidRPr="00A636CC">
        <w:t>827</w:t>
      </w:r>
      <w:r>
        <w:t>–</w:t>
      </w:r>
      <w:r w:rsidRPr="00A636CC">
        <w:t>833</w:t>
      </w:r>
      <w:r>
        <w:t>.</w:t>
      </w:r>
    </w:p>
    <w:p w14:paraId="7D35D8C7" w14:textId="710038CA" w:rsidR="00247D12" w:rsidRDefault="00BA6B70" w:rsidP="005E05A3">
      <w:pPr>
        <w:pStyle w:val="Reference"/>
      </w:pPr>
      <w:r w:rsidRPr="004163C2">
        <w:t>Sarofim, M.C., S. Saha, M.D. Hawkins, D.M. Mills, J. Hess, R. Horton, P. Kinney, J. Schwartz, and A. St. Juliana</w:t>
      </w:r>
      <w:r>
        <w:t>.</w:t>
      </w:r>
      <w:r w:rsidRPr="004163C2">
        <w:t xml:space="preserve"> 2016</w:t>
      </w:r>
      <w:r>
        <w:t>.</w:t>
      </w:r>
      <w:r w:rsidRPr="004163C2">
        <w:t xml:space="preserve"> Ch</w:t>
      </w:r>
      <w:r>
        <w:t>apter</w:t>
      </w:r>
      <w:r w:rsidRPr="004163C2">
        <w:t xml:space="preserve"> 2: Temperature-</w:t>
      </w:r>
      <w:r>
        <w:t>r</w:t>
      </w:r>
      <w:r w:rsidRPr="004163C2">
        <w:t xml:space="preserve">elated </w:t>
      </w:r>
      <w:r>
        <w:t>d</w:t>
      </w:r>
      <w:r w:rsidRPr="004163C2">
        <w:t xml:space="preserve">eath and </w:t>
      </w:r>
      <w:r>
        <w:t>i</w:t>
      </w:r>
      <w:r w:rsidRPr="004163C2">
        <w:t>llness. </w:t>
      </w:r>
      <w:r w:rsidR="00581FA0">
        <w:t xml:space="preserve">In: </w:t>
      </w:r>
      <w:r>
        <w:t>The impacts of climate change on human h</w:t>
      </w:r>
      <w:r w:rsidRPr="00055A5F">
        <w:t xml:space="preserve">ealth in </w:t>
      </w:r>
      <w:r>
        <w:t>the United States: A scientific a</w:t>
      </w:r>
      <w:r w:rsidRPr="00055A5F">
        <w:t>ssessment</w:t>
      </w:r>
      <w:r>
        <w:t>. U.S. Global Change Research Program</w:t>
      </w:r>
      <w:r w:rsidRPr="00227B9D">
        <w:t>.</w:t>
      </w:r>
      <w:r w:rsidR="00A80706">
        <w:t xml:space="preserve"> </w:t>
      </w:r>
      <w:hyperlink r:id="rId20" w:history="1">
        <w:r w:rsidR="005E05A3" w:rsidRPr="00CA1BB7">
          <w:rPr>
            <w:rStyle w:val="Hyperlink"/>
            <w:szCs w:val="18"/>
          </w:rPr>
          <w:t>https://health2016.globalchange.gov</w:t>
        </w:r>
      </w:hyperlink>
      <w:r w:rsidR="00A80706">
        <w:t>.</w:t>
      </w:r>
    </w:p>
    <w:p w14:paraId="38A432BF" w14:textId="3289CEEE" w:rsidR="00465F60" w:rsidRPr="00F26E07" w:rsidRDefault="00465F60" w:rsidP="005E05A3">
      <w:pPr>
        <w:pStyle w:val="Reference"/>
      </w:pPr>
      <w:r w:rsidRPr="00465F60">
        <w:t xml:space="preserve">USGCRP (U.S. Global Change Research Program). 2017. Climate science special report: Fourth National Climate Assessment, volume I. Wuebbles, D.J., D.W. Fahey, K.A. Hibbard, D.J. Dokken, B.C. Stewart, and T.K. </w:t>
      </w:r>
      <w:proofErr w:type="spellStart"/>
      <w:r w:rsidRPr="00465F60">
        <w:t>Maycock</w:t>
      </w:r>
      <w:proofErr w:type="spellEnd"/>
      <w:r w:rsidR="007B79DE">
        <w:t xml:space="preserve"> (</w:t>
      </w:r>
      <w:r w:rsidRPr="00465F60">
        <w:t>eds.</w:t>
      </w:r>
      <w:r w:rsidR="007B79DE">
        <w:t>).</w:t>
      </w:r>
      <w:r w:rsidRPr="00465F60">
        <w:t xml:space="preserve"> </w:t>
      </w:r>
      <w:hyperlink r:id="rId21" w:history="1">
        <w:r w:rsidRPr="00695F36">
          <w:rPr>
            <w:rStyle w:val="Hyperlink"/>
          </w:rPr>
          <w:t>https://science2017.globalchange.gov</w:t>
        </w:r>
      </w:hyperlink>
      <w:r w:rsidRPr="00465F60">
        <w:t>. doi:10.7930/J0J964J6</w:t>
      </w:r>
    </w:p>
    <w:sectPr w:rsidR="00465F60" w:rsidRPr="00F26E07" w:rsidSect="007E43E7">
      <w:footerReference w:type="default" r:id="rId22"/>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AC9A6D2" w14:textId="77777777" w:rsidR="00004E03" w:rsidRDefault="00004E03" w:rsidP="00D90DC3">
      <w:r>
        <w:separator/>
      </w:r>
    </w:p>
  </w:endnote>
  <w:endnote w:type="continuationSeparator" w:id="0">
    <w:p w14:paraId="5EC61457" w14:textId="77777777" w:rsidR="00004E03" w:rsidRDefault="00004E03" w:rsidP="00D90DC3">
      <w:r>
        <w:continuationSeparator/>
      </w:r>
    </w:p>
  </w:endnote>
  <w:endnote w:type="continuationNotice" w:id="1">
    <w:p w14:paraId="625DBA16" w14:textId="77777777" w:rsidR="00004E03" w:rsidRDefault="00004E0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auto"/>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238840"/>
      <w:docPartObj>
        <w:docPartGallery w:val="Page Numbers (Bottom of Page)"/>
        <w:docPartUnique/>
      </w:docPartObj>
    </w:sdtPr>
    <w:sdtEndPr>
      <w:rPr>
        <w:i w:val="0"/>
      </w:rPr>
    </w:sdtEndPr>
    <w:sdtContent>
      <w:p w14:paraId="489B7395" w14:textId="29405725" w:rsidR="00A876AC" w:rsidRPr="00F91EA6" w:rsidRDefault="000B78D5" w:rsidP="00A876AC">
        <w:pPr>
          <w:pStyle w:val="Footer"/>
          <w:jc w:val="right"/>
          <w:rPr>
            <w:rFonts w:asciiTheme="minorHAnsi" w:hAnsiTheme="minorHAnsi"/>
            <w:color w:val="auto"/>
            <w:sz w:val="22"/>
          </w:rPr>
        </w:pPr>
        <w:r>
          <w:t xml:space="preserve">Technical Documentation: </w:t>
        </w:r>
        <w:r w:rsidR="006B617F">
          <w:t>Cold</w:t>
        </w:r>
        <w:r>
          <w:t>-Related Deaths</w:t>
        </w:r>
        <w:r>
          <w:tab/>
        </w:r>
        <w:r>
          <w:fldChar w:fldCharType="begin"/>
        </w:r>
        <w:r>
          <w:instrText xml:space="preserve"> PAGE   \* MERGEFORMAT </w:instrText>
        </w:r>
        <w:r>
          <w:fldChar w:fldCharType="separate"/>
        </w:r>
        <w:r w:rsidR="0045204B" w:rsidRPr="0045204B">
          <w:rPr>
            <w:i w:val="0"/>
            <w:noProof/>
          </w:rPr>
          <w:t>1</w:t>
        </w:r>
        <w:r>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F2B74BA" w14:textId="77777777" w:rsidR="00004E03" w:rsidRDefault="00004E03" w:rsidP="00D90DC3">
      <w:r>
        <w:separator/>
      </w:r>
    </w:p>
  </w:footnote>
  <w:footnote w:type="continuationSeparator" w:id="0">
    <w:p w14:paraId="04D109D1" w14:textId="77777777" w:rsidR="00004E03" w:rsidRDefault="00004E03" w:rsidP="00D90DC3">
      <w:r>
        <w:continuationSeparator/>
      </w:r>
    </w:p>
  </w:footnote>
  <w:footnote w:type="continuationNotice" w:id="1">
    <w:p w14:paraId="5674B964" w14:textId="77777777" w:rsidR="00004E03" w:rsidRDefault="00004E0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B654659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ECE6DE9E"/>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832E0ED8"/>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6C00AA7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E5E8890"/>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57781BC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4B3EDD4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E361B0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B0CE6B50"/>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81C3DC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0654FD7A"/>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1CF22CFB"/>
    <w:multiLevelType w:val="hybridMultilevel"/>
    <w:tmpl w:val="CFE89E32"/>
    <w:lvl w:ilvl="0" w:tplc="93406F54">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683CF0"/>
    <w:multiLevelType w:val="hybridMultilevel"/>
    <w:tmpl w:val="100AC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B05DAF"/>
    <w:multiLevelType w:val="multilevel"/>
    <w:tmpl w:val="A2BC840A"/>
    <w:lvl w:ilvl="0">
      <w:start w:val="10"/>
      <w:numFmt w:val="decimal"/>
      <w:lvlText w:val="%1."/>
      <w:lvlJc w:val="left"/>
      <w:pPr>
        <w:tabs>
          <w:tab w:val="left" w:pos="360"/>
        </w:tabs>
        <w:ind w:left="720"/>
      </w:pPr>
      <w:rPr>
        <w:rFonts w:ascii="Arial" w:eastAsia="Arial" w:hAnsi="Arial"/>
        <w:b/>
        <w:strike w:val="0"/>
        <w:color w:val="005E9D"/>
        <w:spacing w:val="4"/>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79407BA"/>
    <w:multiLevelType w:val="hybridMultilevel"/>
    <w:tmpl w:val="1F1AA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D8089E"/>
    <w:multiLevelType w:val="multilevel"/>
    <w:tmpl w:val="874283BA"/>
    <w:lvl w:ilvl="0">
      <w:start w:val="1"/>
      <w:numFmt w:val="bullet"/>
      <w:lvlText w:val="·"/>
      <w:lvlJc w:val="left"/>
      <w:pPr>
        <w:tabs>
          <w:tab w:val="left" w:pos="360"/>
        </w:tabs>
        <w:ind w:left="720"/>
      </w:pPr>
      <w:rPr>
        <w:rFonts w:ascii="Symbol" w:eastAsia="Symbol" w:hAnsi="Symbol"/>
        <w:strike w:val="0"/>
        <w:color w:val="000000"/>
        <w:spacing w:val="0"/>
        <w:w w:val="100"/>
        <w:sz w:val="19"/>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DFE2DC1"/>
    <w:multiLevelType w:val="hybridMultilevel"/>
    <w:tmpl w:val="3CD04356"/>
    <w:lvl w:ilvl="0" w:tplc="357662A2">
      <w:numFmt w:val="bullet"/>
      <w:lvlText w:val="-"/>
      <w:lvlJc w:val="left"/>
      <w:pPr>
        <w:ind w:left="720" w:hanging="360"/>
      </w:pPr>
      <w:rPr>
        <w:rFonts w:ascii="Times New Roman" w:eastAsia="PMingLiU"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38153B"/>
    <w:multiLevelType w:val="hybridMultilevel"/>
    <w:tmpl w:val="2A1820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37425B"/>
    <w:multiLevelType w:val="multilevel"/>
    <w:tmpl w:val="74BE3FA4"/>
    <w:lvl w:ilvl="0">
      <w:start w:val="7"/>
      <w:numFmt w:val="none"/>
      <w:pStyle w:val="Heading1nonumbering"/>
      <w:suff w:val="nothing"/>
      <w:lvlText w:val="%1"/>
      <w:lvlJc w:val="left"/>
      <w:pPr>
        <w:ind w:left="0" w:firstLine="0"/>
      </w:pPr>
      <w:rPr>
        <w:rFonts w:hint="default"/>
        <w:caps w:val="0"/>
        <w:strike w:val="0"/>
        <w:dstrike w:val="0"/>
        <w:vanish w:val="0"/>
        <w:color w:val="005E9D"/>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6"/>
      <w:numFmt w:val="decimal"/>
      <w:lvlRestart w:val="0"/>
      <w:pStyle w:val="Heading2"/>
      <w:lvlText w:val="%2."/>
      <w:lvlJc w:val="left"/>
      <w:pPr>
        <w:ind w:left="446" w:hanging="446"/>
      </w:pPr>
      <w:rPr>
        <w:rFonts w:hint="default"/>
        <w:caps w:val="0"/>
        <w:strike w:val="0"/>
        <w:dstrike w:val="0"/>
        <w:vanish w:val="0"/>
        <w:color w:val="005E9D"/>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lvlText w:val="%2.%3"/>
      <w:lvlJc w:val="left"/>
      <w:pPr>
        <w:tabs>
          <w:tab w:val="num" w:pos="446"/>
        </w:tabs>
        <w:ind w:left="900" w:hanging="454"/>
      </w:pPr>
      <w:rPr>
        <w:rFonts w:hint="default"/>
        <w:caps w:val="0"/>
        <w:strike w:val="0"/>
        <w:dstrike w:val="0"/>
        <w:vanish w:val="0"/>
        <w:color w:val="005E9D"/>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880"/>
        </w:tabs>
        <w:ind w:left="-200" w:firstLine="0"/>
      </w:pPr>
      <w:rPr>
        <w:rFonts w:hint="default"/>
        <w:caps w:val="0"/>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320"/>
        </w:tabs>
        <w:ind w:left="2032" w:hanging="792"/>
      </w:pPr>
      <w:rPr>
        <w:rFonts w:hint="default"/>
      </w:rPr>
    </w:lvl>
    <w:lvl w:ilvl="5">
      <w:start w:val="1"/>
      <w:numFmt w:val="decimal"/>
      <w:lvlText w:val="%1.%2.%3.%4.%5.%6."/>
      <w:lvlJc w:val="left"/>
      <w:pPr>
        <w:tabs>
          <w:tab w:val="num" w:pos="2680"/>
        </w:tabs>
        <w:ind w:left="2536" w:hanging="936"/>
      </w:pPr>
      <w:rPr>
        <w:rFonts w:hint="default"/>
      </w:rPr>
    </w:lvl>
    <w:lvl w:ilvl="6">
      <w:start w:val="1"/>
      <w:numFmt w:val="decimal"/>
      <w:lvlText w:val="%1.%2.%3.%4.%5.%6.%7."/>
      <w:lvlJc w:val="left"/>
      <w:pPr>
        <w:tabs>
          <w:tab w:val="num" w:pos="3400"/>
        </w:tabs>
        <w:ind w:left="3040" w:hanging="1080"/>
      </w:pPr>
      <w:rPr>
        <w:rFonts w:hint="default"/>
      </w:rPr>
    </w:lvl>
    <w:lvl w:ilvl="7">
      <w:start w:val="1"/>
      <w:numFmt w:val="decimal"/>
      <w:lvlText w:val="%1.%2.%3.%4.%5.%6.%7.%8."/>
      <w:lvlJc w:val="left"/>
      <w:pPr>
        <w:tabs>
          <w:tab w:val="num" w:pos="3760"/>
        </w:tabs>
        <w:ind w:left="3544" w:hanging="1224"/>
      </w:pPr>
      <w:rPr>
        <w:rFonts w:hint="default"/>
      </w:rPr>
    </w:lvl>
    <w:lvl w:ilvl="8">
      <w:start w:val="1"/>
      <w:numFmt w:val="decimal"/>
      <w:lvlText w:val="%1.%2.%3.%4.%5.%6.%7.%8.%9."/>
      <w:lvlJc w:val="left"/>
      <w:pPr>
        <w:tabs>
          <w:tab w:val="num" w:pos="4480"/>
        </w:tabs>
        <w:ind w:left="4120" w:hanging="1440"/>
      </w:pPr>
      <w:rPr>
        <w:rFonts w:hint="default"/>
      </w:rPr>
    </w:lvl>
  </w:abstractNum>
  <w:abstractNum w:abstractNumId="19" w15:restartNumberingAfterBreak="0">
    <w:nsid w:val="497314B8"/>
    <w:multiLevelType w:val="hybridMultilevel"/>
    <w:tmpl w:val="531E1076"/>
    <w:lvl w:ilvl="0" w:tplc="F19E0552">
      <w:start w:val="1"/>
      <w:numFmt w:val="bullet"/>
      <w:pStyle w:val="Bullet2"/>
      <w:lvlText w:val=""/>
      <w:lvlJc w:val="left"/>
      <w:pPr>
        <w:tabs>
          <w:tab w:val="num" w:pos="1080"/>
        </w:tabs>
        <w:ind w:left="1080" w:hanging="360"/>
      </w:pPr>
      <w:rPr>
        <w:rFonts w:ascii="Symbol" w:hAnsi="Symbol" w:cs="Times New Roman"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B900CCF"/>
    <w:multiLevelType w:val="hybridMultilevel"/>
    <w:tmpl w:val="344E0846"/>
    <w:lvl w:ilvl="0" w:tplc="4FF0FC64">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D92628"/>
    <w:multiLevelType w:val="hybridMultilevel"/>
    <w:tmpl w:val="F7066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627F7B"/>
    <w:multiLevelType w:val="hybridMultilevel"/>
    <w:tmpl w:val="2A1820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5833D3B"/>
    <w:multiLevelType w:val="multilevel"/>
    <w:tmpl w:val="8452A3BA"/>
    <w:lvl w:ilvl="0">
      <w:start w:val="2"/>
      <w:numFmt w:val="decimal"/>
      <w:lvlText w:val="%1."/>
      <w:lvlJc w:val="left"/>
      <w:pPr>
        <w:tabs>
          <w:tab w:val="left" w:pos="504"/>
        </w:tabs>
        <w:ind w:left="720"/>
      </w:pPr>
      <w:rPr>
        <w:rFonts w:ascii="Arial" w:eastAsia="Arial" w:hAnsi="Arial"/>
        <w:b/>
        <w:strike w:val="0"/>
        <w:color w:val="005E9D"/>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59FE2108"/>
    <w:multiLevelType w:val="multilevel"/>
    <w:tmpl w:val="3D728E30"/>
    <w:lvl w:ilvl="0">
      <w:start w:val="1"/>
      <w:numFmt w:val="decimal"/>
      <w:lvlText w:val="%1."/>
      <w:lvlJc w:val="left"/>
      <w:pPr>
        <w:tabs>
          <w:tab w:val="left" w:pos="360"/>
        </w:tabs>
        <w:ind w:left="720"/>
      </w:pPr>
      <w:rPr>
        <w:rFonts w:ascii="Tahoma" w:eastAsia="Tahoma" w:hAnsi="Tahoma"/>
        <w:strike w:val="0"/>
        <w:color w:val="000000"/>
        <w:spacing w:val="4"/>
        <w:w w:val="100"/>
        <w:sz w:val="19"/>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E390389"/>
    <w:multiLevelType w:val="multilevel"/>
    <w:tmpl w:val="7694AFEA"/>
    <w:lvl w:ilvl="0">
      <w:start w:val="4"/>
      <w:numFmt w:val="decimal"/>
      <w:lvlText w:val="%1."/>
      <w:lvlJc w:val="left"/>
      <w:pPr>
        <w:tabs>
          <w:tab w:val="left" w:pos="504"/>
        </w:tabs>
        <w:ind w:left="720"/>
      </w:pPr>
      <w:rPr>
        <w:rFonts w:ascii="Arial" w:eastAsia="Arial" w:hAnsi="Arial"/>
        <w:b/>
        <w:strike w:val="0"/>
        <w:color w:val="005E9D"/>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60CF3489"/>
    <w:multiLevelType w:val="hybridMultilevel"/>
    <w:tmpl w:val="3CB446D0"/>
    <w:lvl w:ilvl="0" w:tplc="88F22CAA">
      <w:start w:val="1"/>
      <w:numFmt w:val="decimal"/>
      <w:pStyle w:val="ListParagraph"/>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62082832"/>
    <w:multiLevelType w:val="multilevel"/>
    <w:tmpl w:val="9270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6C1192"/>
    <w:multiLevelType w:val="hybridMultilevel"/>
    <w:tmpl w:val="68C82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B3392D"/>
    <w:multiLevelType w:val="multilevel"/>
    <w:tmpl w:val="3D728E30"/>
    <w:lvl w:ilvl="0">
      <w:start w:val="1"/>
      <w:numFmt w:val="decimal"/>
      <w:lvlText w:val="%1."/>
      <w:lvlJc w:val="left"/>
      <w:pPr>
        <w:tabs>
          <w:tab w:val="left" w:pos="360"/>
        </w:tabs>
        <w:ind w:left="720"/>
      </w:pPr>
      <w:rPr>
        <w:rFonts w:ascii="Tahoma" w:eastAsia="Tahoma" w:hAnsi="Tahoma"/>
        <w:strike w:val="0"/>
        <w:color w:val="000000"/>
        <w:spacing w:val="4"/>
        <w:w w:val="100"/>
        <w:sz w:val="19"/>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6CBD5C12"/>
    <w:multiLevelType w:val="multilevel"/>
    <w:tmpl w:val="3D728E30"/>
    <w:lvl w:ilvl="0">
      <w:start w:val="1"/>
      <w:numFmt w:val="decimal"/>
      <w:lvlText w:val="%1."/>
      <w:lvlJc w:val="left"/>
      <w:pPr>
        <w:tabs>
          <w:tab w:val="left" w:pos="360"/>
        </w:tabs>
        <w:ind w:left="720"/>
      </w:pPr>
      <w:rPr>
        <w:rFonts w:ascii="Tahoma" w:eastAsia="Tahoma" w:hAnsi="Tahoma"/>
        <w:strike w:val="0"/>
        <w:color w:val="000000"/>
        <w:spacing w:val="4"/>
        <w:w w:val="100"/>
        <w:sz w:val="19"/>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76CF31C9"/>
    <w:multiLevelType w:val="multilevel"/>
    <w:tmpl w:val="4EFA2738"/>
    <w:lvl w:ilvl="0">
      <w:start w:val="8"/>
      <w:numFmt w:val="decimal"/>
      <w:lvlText w:val="%1."/>
      <w:lvlJc w:val="left"/>
      <w:pPr>
        <w:tabs>
          <w:tab w:val="left" w:pos="504"/>
        </w:tabs>
        <w:ind w:left="720"/>
      </w:pPr>
      <w:rPr>
        <w:rFonts w:ascii="Arial" w:eastAsia="Arial" w:hAnsi="Arial"/>
        <w:b/>
        <w:strike w:val="0"/>
        <w:color w:val="005E9D"/>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7F274332"/>
    <w:multiLevelType w:val="multilevel"/>
    <w:tmpl w:val="28E09278"/>
    <w:lvl w:ilvl="0">
      <w:start w:val="1"/>
      <w:numFmt w:val="bullet"/>
      <w:lvlText w:val="·"/>
      <w:lvlJc w:val="left"/>
      <w:pPr>
        <w:tabs>
          <w:tab w:val="left" w:pos="288"/>
        </w:tabs>
        <w:ind w:left="720"/>
      </w:pPr>
      <w:rPr>
        <w:rFonts w:ascii="Symbol" w:eastAsia="Symbol" w:hAnsi="Symbol"/>
        <w:strike w:val="0"/>
        <w:color w:val="000000"/>
        <w:spacing w:val="0"/>
        <w:w w:val="100"/>
        <w:sz w:val="19"/>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2"/>
  </w:num>
  <w:num w:numId="2">
    <w:abstractNumId w:val="23"/>
  </w:num>
  <w:num w:numId="3">
    <w:abstractNumId w:val="25"/>
  </w:num>
  <w:num w:numId="4">
    <w:abstractNumId w:val="15"/>
  </w:num>
  <w:num w:numId="5">
    <w:abstractNumId w:val="31"/>
  </w:num>
  <w:num w:numId="6">
    <w:abstractNumId w:val="30"/>
  </w:num>
  <w:num w:numId="7">
    <w:abstractNumId w:val="13"/>
  </w:num>
  <w:num w:numId="8">
    <w:abstractNumId w:val="21"/>
  </w:num>
  <w:num w:numId="9">
    <w:abstractNumId w:val="12"/>
  </w:num>
  <w:num w:numId="10">
    <w:abstractNumId w:val="27"/>
  </w:num>
  <w:num w:numId="11">
    <w:abstractNumId w:val="24"/>
  </w:num>
  <w:num w:numId="12">
    <w:abstractNumId w:val="29"/>
  </w:num>
  <w:num w:numId="13">
    <w:abstractNumId w:val="22"/>
  </w:num>
  <w:num w:numId="14">
    <w:abstractNumId w:val="17"/>
  </w:num>
  <w:num w:numId="15">
    <w:abstractNumId w:val="16"/>
  </w:num>
  <w:num w:numId="16">
    <w:abstractNumId w:val="0"/>
  </w:num>
  <w:num w:numId="17">
    <w:abstractNumId w:val="10"/>
  </w:num>
  <w:num w:numId="18">
    <w:abstractNumId w:val="8"/>
  </w:num>
  <w:num w:numId="19">
    <w:abstractNumId w:val="7"/>
  </w:num>
  <w:num w:numId="20">
    <w:abstractNumId w:val="6"/>
  </w:num>
  <w:num w:numId="21">
    <w:abstractNumId w:val="5"/>
  </w:num>
  <w:num w:numId="22">
    <w:abstractNumId w:val="9"/>
  </w:num>
  <w:num w:numId="23">
    <w:abstractNumId w:val="11"/>
  </w:num>
  <w:num w:numId="24">
    <w:abstractNumId w:val="18"/>
  </w:num>
  <w:num w:numId="25">
    <w:abstractNumId w:val="18"/>
  </w:num>
  <w:num w:numId="26">
    <w:abstractNumId w:val="18"/>
  </w:num>
  <w:num w:numId="27">
    <w:abstractNumId w:val="10"/>
  </w:num>
  <w:num w:numId="28">
    <w:abstractNumId w:val="10"/>
  </w:num>
  <w:num w:numId="29">
    <w:abstractNumId w:val="10"/>
  </w:num>
  <w:num w:numId="30">
    <w:abstractNumId w:val="10"/>
  </w:num>
  <w:num w:numId="31">
    <w:abstractNumId w:val="10"/>
  </w:num>
  <w:num w:numId="32">
    <w:abstractNumId w:val="4"/>
  </w:num>
  <w:num w:numId="33">
    <w:abstractNumId w:val="3"/>
  </w:num>
  <w:num w:numId="34">
    <w:abstractNumId w:val="2"/>
  </w:num>
  <w:num w:numId="35">
    <w:abstractNumId w:val="1"/>
  </w:num>
  <w:num w:numId="36">
    <w:abstractNumId w:val="18"/>
    <w:lvlOverride w:ilvl="0">
      <w:startOverride w:val="2"/>
    </w:lvlOverride>
    <w:lvlOverride w:ilvl="1">
      <w:startOverride w:val="3"/>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8"/>
    <w:lvlOverride w:ilvl="0">
      <w:startOverride w:val="2"/>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8"/>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8"/>
    <w:lvlOverride w:ilvl="0">
      <w:startOverride w:val="3"/>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8"/>
    <w:lvlOverride w:ilvl="0">
      <w:startOverride w:val="3"/>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8"/>
    <w:lvlOverride w:ilvl="0">
      <w:startOverride w:val="2"/>
    </w:lvlOverride>
    <w:lvlOverride w:ilvl="1">
      <w:startOverride w:val="3"/>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9"/>
  </w:num>
  <w:num w:numId="43">
    <w:abstractNumId w:val="26"/>
  </w:num>
  <w:num w:numId="44">
    <w:abstractNumId w:val="26"/>
  </w:num>
  <w:num w:numId="4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6"/>
  </w:num>
  <w:num w:numId="47">
    <w:abstractNumId w:val="18"/>
    <w:lvlOverride w:ilvl="0">
      <w:startOverride w:val="7"/>
    </w:lvlOverride>
    <w:lvlOverride w:ilvl="1">
      <w:startOverride w:val="1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6"/>
  </w:num>
  <w:num w:numId="49">
    <w:abstractNumId w:val="18"/>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20"/>
  </w:num>
  <w:num w:numId="51">
    <w:abstractNumId w:val="28"/>
  </w:num>
  <w:num w:numId="52">
    <w:abstractNumId w:val="14"/>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proofState w:spelling="clean" w:grammar="clean"/>
  <w:stylePaneFormatFilter w:val="1808" w:allStyles="0" w:customStyles="0" w:latentStyles="0" w:stylesInUse="1" w:headingStyles="0" w:numberingStyles="0" w:tableStyles="0" w:directFormattingOnRuns="0" w:directFormattingOnParagraphs="0" w:directFormattingOnNumbering="0" w:directFormattingOnTables="1" w:clearFormatting="1" w:top3HeadingStyles="0" w:visibleStyles="0" w:alternateStyleNames="0"/>
  <w:stylePaneSortMethod w:val="0000"/>
  <w:trackRevisions/>
  <w:defaultTabStop w:val="720"/>
  <w:characterSpacingControl w:val="doNotCompress"/>
  <w:savePreviewPicture/>
  <w:hdrShapeDefaults>
    <o:shapedefaults v:ext="edit" spidmax="2049"/>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4AB"/>
    <w:rsid w:val="00003F21"/>
    <w:rsid w:val="00004E03"/>
    <w:rsid w:val="00015D7C"/>
    <w:rsid w:val="00015F9E"/>
    <w:rsid w:val="000169B2"/>
    <w:rsid w:val="00026AE3"/>
    <w:rsid w:val="00027C49"/>
    <w:rsid w:val="0004407D"/>
    <w:rsid w:val="00045D96"/>
    <w:rsid w:val="000469E9"/>
    <w:rsid w:val="000478A1"/>
    <w:rsid w:val="00065B93"/>
    <w:rsid w:val="0008045F"/>
    <w:rsid w:val="00082B93"/>
    <w:rsid w:val="00083559"/>
    <w:rsid w:val="00084D17"/>
    <w:rsid w:val="0009709A"/>
    <w:rsid w:val="000A277C"/>
    <w:rsid w:val="000A40C8"/>
    <w:rsid w:val="000B388A"/>
    <w:rsid w:val="000B78D5"/>
    <w:rsid w:val="000C0D99"/>
    <w:rsid w:val="000C3688"/>
    <w:rsid w:val="000D03A5"/>
    <w:rsid w:val="000E1401"/>
    <w:rsid w:val="000E3EE2"/>
    <w:rsid w:val="000E7B3B"/>
    <w:rsid w:val="000F4EE6"/>
    <w:rsid w:val="0010131A"/>
    <w:rsid w:val="00114203"/>
    <w:rsid w:val="00117740"/>
    <w:rsid w:val="00140C08"/>
    <w:rsid w:val="001443C8"/>
    <w:rsid w:val="00150535"/>
    <w:rsid w:val="00162F45"/>
    <w:rsid w:val="00163949"/>
    <w:rsid w:val="00166F18"/>
    <w:rsid w:val="00194E6F"/>
    <w:rsid w:val="001A0263"/>
    <w:rsid w:val="001B2809"/>
    <w:rsid w:val="001B751B"/>
    <w:rsid w:val="001C50D5"/>
    <w:rsid w:val="001D38C3"/>
    <w:rsid w:val="001E097C"/>
    <w:rsid w:val="001E5A83"/>
    <w:rsid w:val="001F1434"/>
    <w:rsid w:val="001F2654"/>
    <w:rsid w:val="002034CB"/>
    <w:rsid w:val="002148A1"/>
    <w:rsid w:val="002226B9"/>
    <w:rsid w:val="00222A5E"/>
    <w:rsid w:val="00222E13"/>
    <w:rsid w:val="0022568B"/>
    <w:rsid w:val="0023326F"/>
    <w:rsid w:val="00237221"/>
    <w:rsid w:val="00247D12"/>
    <w:rsid w:val="002612F9"/>
    <w:rsid w:val="002620FA"/>
    <w:rsid w:val="00277029"/>
    <w:rsid w:val="002819B3"/>
    <w:rsid w:val="00296F2E"/>
    <w:rsid w:val="002B0C29"/>
    <w:rsid w:val="002B3E91"/>
    <w:rsid w:val="002C496A"/>
    <w:rsid w:val="002C73D1"/>
    <w:rsid w:val="002C79D4"/>
    <w:rsid w:val="002D027B"/>
    <w:rsid w:val="002D0A87"/>
    <w:rsid w:val="002F67B5"/>
    <w:rsid w:val="003061AE"/>
    <w:rsid w:val="003122CE"/>
    <w:rsid w:val="00315423"/>
    <w:rsid w:val="0032112C"/>
    <w:rsid w:val="003258EB"/>
    <w:rsid w:val="00333CBC"/>
    <w:rsid w:val="003406F1"/>
    <w:rsid w:val="00346F2B"/>
    <w:rsid w:val="0036066C"/>
    <w:rsid w:val="0036503E"/>
    <w:rsid w:val="0038223F"/>
    <w:rsid w:val="00382593"/>
    <w:rsid w:val="0039000E"/>
    <w:rsid w:val="0039215B"/>
    <w:rsid w:val="00392D7E"/>
    <w:rsid w:val="00397389"/>
    <w:rsid w:val="003A4576"/>
    <w:rsid w:val="003B286A"/>
    <w:rsid w:val="003B558A"/>
    <w:rsid w:val="003B64FA"/>
    <w:rsid w:val="003D0C78"/>
    <w:rsid w:val="003D69B8"/>
    <w:rsid w:val="003E4018"/>
    <w:rsid w:val="003F145C"/>
    <w:rsid w:val="003F6276"/>
    <w:rsid w:val="004002B8"/>
    <w:rsid w:val="00402B58"/>
    <w:rsid w:val="004142A0"/>
    <w:rsid w:val="00437801"/>
    <w:rsid w:val="00437EA1"/>
    <w:rsid w:val="00442232"/>
    <w:rsid w:val="004423D2"/>
    <w:rsid w:val="004457AA"/>
    <w:rsid w:val="00450B83"/>
    <w:rsid w:val="0045204B"/>
    <w:rsid w:val="00456B35"/>
    <w:rsid w:val="00460F0B"/>
    <w:rsid w:val="00465EF1"/>
    <w:rsid w:val="00465F60"/>
    <w:rsid w:val="004706D5"/>
    <w:rsid w:val="0048703B"/>
    <w:rsid w:val="00493EDD"/>
    <w:rsid w:val="00495D6A"/>
    <w:rsid w:val="00496693"/>
    <w:rsid w:val="004A3010"/>
    <w:rsid w:val="004A52BE"/>
    <w:rsid w:val="004B49D3"/>
    <w:rsid w:val="004B4FA0"/>
    <w:rsid w:val="004B61F4"/>
    <w:rsid w:val="004C4E46"/>
    <w:rsid w:val="004C4FC8"/>
    <w:rsid w:val="004C54B3"/>
    <w:rsid w:val="004D61D6"/>
    <w:rsid w:val="004E7120"/>
    <w:rsid w:val="004E7DAF"/>
    <w:rsid w:val="004F45B4"/>
    <w:rsid w:val="0050301C"/>
    <w:rsid w:val="005035E4"/>
    <w:rsid w:val="005046A7"/>
    <w:rsid w:val="0050470D"/>
    <w:rsid w:val="00506671"/>
    <w:rsid w:val="0051321B"/>
    <w:rsid w:val="00513B6B"/>
    <w:rsid w:val="005165A2"/>
    <w:rsid w:val="00522041"/>
    <w:rsid w:val="00526E1B"/>
    <w:rsid w:val="00527F44"/>
    <w:rsid w:val="00534358"/>
    <w:rsid w:val="005426F1"/>
    <w:rsid w:val="005432E4"/>
    <w:rsid w:val="00545EB6"/>
    <w:rsid w:val="005712F1"/>
    <w:rsid w:val="00574B26"/>
    <w:rsid w:val="0057611E"/>
    <w:rsid w:val="00581FA0"/>
    <w:rsid w:val="0058720A"/>
    <w:rsid w:val="005929BA"/>
    <w:rsid w:val="005966DD"/>
    <w:rsid w:val="005A04A3"/>
    <w:rsid w:val="005A3725"/>
    <w:rsid w:val="005A4534"/>
    <w:rsid w:val="005A7219"/>
    <w:rsid w:val="005D0320"/>
    <w:rsid w:val="005E05A3"/>
    <w:rsid w:val="005E2FED"/>
    <w:rsid w:val="005E3070"/>
    <w:rsid w:val="005F29EE"/>
    <w:rsid w:val="006016C0"/>
    <w:rsid w:val="00635354"/>
    <w:rsid w:val="006357CE"/>
    <w:rsid w:val="00635FEA"/>
    <w:rsid w:val="00637B7D"/>
    <w:rsid w:val="006603C6"/>
    <w:rsid w:val="00661D69"/>
    <w:rsid w:val="006631EE"/>
    <w:rsid w:val="0068458D"/>
    <w:rsid w:val="0068763F"/>
    <w:rsid w:val="00691CDF"/>
    <w:rsid w:val="0069712A"/>
    <w:rsid w:val="006A228B"/>
    <w:rsid w:val="006B112A"/>
    <w:rsid w:val="006B1409"/>
    <w:rsid w:val="006B617F"/>
    <w:rsid w:val="006B6B23"/>
    <w:rsid w:val="006C5CF2"/>
    <w:rsid w:val="006D1261"/>
    <w:rsid w:val="006E26C9"/>
    <w:rsid w:val="006E65B5"/>
    <w:rsid w:val="006E70CA"/>
    <w:rsid w:val="006F5465"/>
    <w:rsid w:val="00705008"/>
    <w:rsid w:val="00716B35"/>
    <w:rsid w:val="007221AF"/>
    <w:rsid w:val="00726940"/>
    <w:rsid w:val="00726FF3"/>
    <w:rsid w:val="007312B9"/>
    <w:rsid w:val="00754F08"/>
    <w:rsid w:val="007603A8"/>
    <w:rsid w:val="00761CF8"/>
    <w:rsid w:val="00764693"/>
    <w:rsid w:val="00775554"/>
    <w:rsid w:val="00775E32"/>
    <w:rsid w:val="00781C89"/>
    <w:rsid w:val="00784852"/>
    <w:rsid w:val="0079146F"/>
    <w:rsid w:val="007A14E9"/>
    <w:rsid w:val="007A6717"/>
    <w:rsid w:val="007A6D81"/>
    <w:rsid w:val="007B1D92"/>
    <w:rsid w:val="007B3A0F"/>
    <w:rsid w:val="007B3F6A"/>
    <w:rsid w:val="007B79DE"/>
    <w:rsid w:val="007B7A0E"/>
    <w:rsid w:val="007C4EE0"/>
    <w:rsid w:val="007D1078"/>
    <w:rsid w:val="007D6592"/>
    <w:rsid w:val="007E43E7"/>
    <w:rsid w:val="007E5C99"/>
    <w:rsid w:val="007F25BD"/>
    <w:rsid w:val="007F5B22"/>
    <w:rsid w:val="00810A2A"/>
    <w:rsid w:val="00811044"/>
    <w:rsid w:val="0081376E"/>
    <w:rsid w:val="008250BD"/>
    <w:rsid w:val="008519C5"/>
    <w:rsid w:val="008528E2"/>
    <w:rsid w:val="008576B9"/>
    <w:rsid w:val="00872E87"/>
    <w:rsid w:val="008837F3"/>
    <w:rsid w:val="00890079"/>
    <w:rsid w:val="008937EC"/>
    <w:rsid w:val="00894BFF"/>
    <w:rsid w:val="008A2A16"/>
    <w:rsid w:val="008A39FD"/>
    <w:rsid w:val="008A659C"/>
    <w:rsid w:val="008B3B3B"/>
    <w:rsid w:val="008F6D33"/>
    <w:rsid w:val="00900AF2"/>
    <w:rsid w:val="009103AC"/>
    <w:rsid w:val="00917DE8"/>
    <w:rsid w:val="00953F47"/>
    <w:rsid w:val="00954D8E"/>
    <w:rsid w:val="00955F98"/>
    <w:rsid w:val="00974F5B"/>
    <w:rsid w:val="00976734"/>
    <w:rsid w:val="00984BD5"/>
    <w:rsid w:val="00985F49"/>
    <w:rsid w:val="009863D0"/>
    <w:rsid w:val="009879FF"/>
    <w:rsid w:val="009A597A"/>
    <w:rsid w:val="009B7883"/>
    <w:rsid w:val="009D43D2"/>
    <w:rsid w:val="009D599E"/>
    <w:rsid w:val="009E17AD"/>
    <w:rsid w:val="009F0C97"/>
    <w:rsid w:val="00A052FF"/>
    <w:rsid w:val="00A12C8F"/>
    <w:rsid w:val="00A27415"/>
    <w:rsid w:val="00A41691"/>
    <w:rsid w:val="00A4179B"/>
    <w:rsid w:val="00A53011"/>
    <w:rsid w:val="00A63227"/>
    <w:rsid w:val="00A63C87"/>
    <w:rsid w:val="00A74010"/>
    <w:rsid w:val="00A75F5B"/>
    <w:rsid w:val="00A76949"/>
    <w:rsid w:val="00A80706"/>
    <w:rsid w:val="00A8106E"/>
    <w:rsid w:val="00A846C7"/>
    <w:rsid w:val="00A8541E"/>
    <w:rsid w:val="00A876AC"/>
    <w:rsid w:val="00A87BE6"/>
    <w:rsid w:val="00A92779"/>
    <w:rsid w:val="00A9749D"/>
    <w:rsid w:val="00AA30E6"/>
    <w:rsid w:val="00AA3F31"/>
    <w:rsid w:val="00AC1645"/>
    <w:rsid w:val="00AC4473"/>
    <w:rsid w:val="00AC45AA"/>
    <w:rsid w:val="00AC4C53"/>
    <w:rsid w:val="00AC5EC9"/>
    <w:rsid w:val="00AD0FE8"/>
    <w:rsid w:val="00AE1591"/>
    <w:rsid w:val="00AF562E"/>
    <w:rsid w:val="00AF7FAC"/>
    <w:rsid w:val="00B02762"/>
    <w:rsid w:val="00B34F6E"/>
    <w:rsid w:val="00B41F38"/>
    <w:rsid w:val="00B45A28"/>
    <w:rsid w:val="00B466AD"/>
    <w:rsid w:val="00B47B42"/>
    <w:rsid w:val="00B535FB"/>
    <w:rsid w:val="00B562D1"/>
    <w:rsid w:val="00B65079"/>
    <w:rsid w:val="00B654B6"/>
    <w:rsid w:val="00B663EF"/>
    <w:rsid w:val="00B67462"/>
    <w:rsid w:val="00B7201E"/>
    <w:rsid w:val="00B724E6"/>
    <w:rsid w:val="00B74074"/>
    <w:rsid w:val="00B74C0D"/>
    <w:rsid w:val="00B81E24"/>
    <w:rsid w:val="00B83FAE"/>
    <w:rsid w:val="00B9320D"/>
    <w:rsid w:val="00B9476B"/>
    <w:rsid w:val="00B955F1"/>
    <w:rsid w:val="00BA0850"/>
    <w:rsid w:val="00BA549A"/>
    <w:rsid w:val="00BA6B70"/>
    <w:rsid w:val="00BA72AC"/>
    <w:rsid w:val="00BA7E8A"/>
    <w:rsid w:val="00BB024F"/>
    <w:rsid w:val="00BB1695"/>
    <w:rsid w:val="00BC07F5"/>
    <w:rsid w:val="00BC0977"/>
    <w:rsid w:val="00BD1EC6"/>
    <w:rsid w:val="00BF0092"/>
    <w:rsid w:val="00BF5C5F"/>
    <w:rsid w:val="00BF5EB3"/>
    <w:rsid w:val="00C013B9"/>
    <w:rsid w:val="00C0147B"/>
    <w:rsid w:val="00C06288"/>
    <w:rsid w:val="00C06918"/>
    <w:rsid w:val="00C16DB5"/>
    <w:rsid w:val="00C32444"/>
    <w:rsid w:val="00C35946"/>
    <w:rsid w:val="00C41B20"/>
    <w:rsid w:val="00C431D3"/>
    <w:rsid w:val="00C50332"/>
    <w:rsid w:val="00C52758"/>
    <w:rsid w:val="00C600E8"/>
    <w:rsid w:val="00C6142A"/>
    <w:rsid w:val="00C625CB"/>
    <w:rsid w:val="00C64BEF"/>
    <w:rsid w:val="00C7011F"/>
    <w:rsid w:val="00C80327"/>
    <w:rsid w:val="00C97424"/>
    <w:rsid w:val="00CA3609"/>
    <w:rsid w:val="00CA6D08"/>
    <w:rsid w:val="00CA7006"/>
    <w:rsid w:val="00CB327B"/>
    <w:rsid w:val="00CB41A0"/>
    <w:rsid w:val="00CB535A"/>
    <w:rsid w:val="00CC0400"/>
    <w:rsid w:val="00CF16CC"/>
    <w:rsid w:val="00CF41DD"/>
    <w:rsid w:val="00D02CB9"/>
    <w:rsid w:val="00D04ED5"/>
    <w:rsid w:val="00D076DB"/>
    <w:rsid w:val="00D1529D"/>
    <w:rsid w:val="00D34150"/>
    <w:rsid w:val="00D351E7"/>
    <w:rsid w:val="00D418E6"/>
    <w:rsid w:val="00D53560"/>
    <w:rsid w:val="00D56AB2"/>
    <w:rsid w:val="00D577BF"/>
    <w:rsid w:val="00D616FD"/>
    <w:rsid w:val="00D705A4"/>
    <w:rsid w:val="00D711E9"/>
    <w:rsid w:val="00D729BB"/>
    <w:rsid w:val="00D744E0"/>
    <w:rsid w:val="00D74C93"/>
    <w:rsid w:val="00D847F4"/>
    <w:rsid w:val="00D85E9E"/>
    <w:rsid w:val="00D87138"/>
    <w:rsid w:val="00D90DC3"/>
    <w:rsid w:val="00D97A6D"/>
    <w:rsid w:val="00DA04D7"/>
    <w:rsid w:val="00DB036A"/>
    <w:rsid w:val="00DB24A2"/>
    <w:rsid w:val="00DB62F4"/>
    <w:rsid w:val="00DB7F53"/>
    <w:rsid w:val="00DC1961"/>
    <w:rsid w:val="00DC2F92"/>
    <w:rsid w:val="00DC7185"/>
    <w:rsid w:val="00DD54B5"/>
    <w:rsid w:val="00DE3E77"/>
    <w:rsid w:val="00DE58C6"/>
    <w:rsid w:val="00DF29D1"/>
    <w:rsid w:val="00DF583C"/>
    <w:rsid w:val="00E01D1B"/>
    <w:rsid w:val="00E109C8"/>
    <w:rsid w:val="00E276EA"/>
    <w:rsid w:val="00E3271F"/>
    <w:rsid w:val="00E33FA5"/>
    <w:rsid w:val="00E35864"/>
    <w:rsid w:val="00E36DFA"/>
    <w:rsid w:val="00E40F9D"/>
    <w:rsid w:val="00E52033"/>
    <w:rsid w:val="00E52EA1"/>
    <w:rsid w:val="00E54EBE"/>
    <w:rsid w:val="00E56C56"/>
    <w:rsid w:val="00E619C1"/>
    <w:rsid w:val="00E65A2E"/>
    <w:rsid w:val="00E74BCB"/>
    <w:rsid w:val="00E75988"/>
    <w:rsid w:val="00E82E89"/>
    <w:rsid w:val="00E93EF4"/>
    <w:rsid w:val="00EB370B"/>
    <w:rsid w:val="00EB7A07"/>
    <w:rsid w:val="00EC72CD"/>
    <w:rsid w:val="00EC7F49"/>
    <w:rsid w:val="00ED33F9"/>
    <w:rsid w:val="00ED6F54"/>
    <w:rsid w:val="00EF01C8"/>
    <w:rsid w:val="00EF3851"/>
    <w:rsid w:val="00EF7CD0"/>
    <w:rsid w:val="00F00B4F"/>
    <w:rsid w:val="00F06D8D"/>
    <w:rsid w:val="00F11B5C"/>
    <w:rsid w:val="00F15162"/>
    <w:rsid w:val="00F21AE9"/>
    <w:rsid w:val="00F22BE9"/>
    <w:rsid w:val="00F26E07"/>
    <w:rsid w:val="00F316BA"/>
    <w:rsid w:val="00F40FF1"/>
    <w:rsid w:val="00F426D0"/>
    <w:rsid w:val="00F4568F"/>
    <w:rsid w:val="00F475F3"/>
    <w:rsid w:val="00F531CC"/>
    <w:rsid w:val="00F56428"/>
    <w:rsid w:val="00F63C3C"/>
    <w:rsid w:val="00F71593"/>
    <w:rsid w:val="00F754AB"/>
    <w:rsid w:val="00FB4F80"/>
    <w:rsid w:val="00FC1F70"/>
    <w:rsid w:val="00FC5C74"/>
    <w:rsid w:val="00FD0111"/>
    <w:rsid w:val="00FD20D9"/>
    <w:rsid w:val="00FD47BB"/>
    <w:rsid w:val="00FE0759"/>
    <w:rsid w:val="00FE7E49"/>
    <w:rsid w:val="0E40BFD2"/>
    <w:rsid w:val="3F03D1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6D6FFD4"/>
  <w15:docId w15:val="{AB9503C2-DF49-42FA-8FC6-9156519A3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PMingLiU"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C99"/>
    <w:rPr>
      <w:rFonts w:asciiTheme="minorHAnsi" w:eastAsia="Times New Roman" w:hAnsiTheme="minorHAnsi"/>
      <w:szCs w:val="24"/>
    </w:rPr>
  </w:style>
  <w:style w:type="paragraph" w:styleId="Heading1">
    <w:name w:val="heading 1"/>
    <w:basedOn w:val="Normal"/>
    <w:next w:val="Normal"/>
    <w:link w:val="Heading1Char"/>
    <w:qFormat/>
    <w:rsid w:val="000D03A5"/>
    <w:pPr>
      <w:keepNext/>
      <w:pBdr>
        <w:top w:val="single" w:sz="48" w:space="1" w:color="0070C0"/>
        <w:bottom w:val="single" w:sz="48" w:space="1" w:color="0070C0"/>
      </w:pBdr>
      <w:spacing w:after="240"/>
      <w:outlineLvl w:val="0"/>
    </w:pPr>
    <w:rPr>
      <w:rFonts w:ascii="Arial" w:hAnsi="Arial" w:cs="Arial"/>
      <w:b/>
      <w:bCs/>
      <w:color w:val="005E9D"/>
      <w:sz w:val="36"/>
      <w:szCs w:val="32"/>
    </w:rPr>
  </w:style>
  <w:style w:type="paragraph" w:styleId="Heading2">
    <w:name w:val="heading 2"/>
    <w:basedOn w:val="Heading1"/>
    <w:next w:val="Normal"/>
    <w:link w:val="Heading2Char"/>
    <w:qFormat/>
    <w:rsid w:val="0032112C"/>
    <w:pPr>
      <w:numPr>
        <w:ilvl w:val="1"/>
        <w:numId w:val="26"/>
      </w:numPr>
      <w:pBdr>
        <w:top w:val="none" w:sz="0" w:space="0" w:color="auto"/>
        <w:bottom w:val="none" w:sz="0" w:space="0" w:color="auto"/>
      </w:pBdr>
      <w:outlineLvl w:val="1"/>
    </w:pPr>
    <w:rPr>
      <w:bCs w:val="0"/>
      <w:iCs/>
      <w:sz w:val="24"/>
      <w:szCs w:val="28"/>
    </w:rPr>
  </w:style>
  <w:style w:type="paragraph" w:styleId="Heading3">
    <w:name w:val="heading 3"/>
    <w:link w:val="Heading3Char"/>
    <w:qFormat/>
    <w:rsid w:val="005046A7"/>
    <w:pPr>
      <w:spacing w:before="120" w:after="240"/>
      <w:outlineLvl w:val="2"/>
    </w:pPr>
    <w:rPr>
      <w:rFonts w:asciiTheme="minorHAnsi" w:eastAsia="Times New Roman" w:hAnsiTheme="minorHAnsi" w:cs="Arial"/>
      <w:bCs/>
      <w:i/>
      <w:iCs/>
      <w:szCs w:val="26"/>
    </w:rPr>
  </w:style>
  <w:style w:type="paragraph" w:styleId="Heading4">
    <w:name w:val="heading 4"/>
    <w:link w:val="Heading4Char"/>
    <w:uiPriority w:val="9"/>
    <w:unhideWhenUsed/>
    <w:qFormat/>
    <w:rsid w:val="0068763F"/>
    <w:pPr>
      <w:keepNext/>
      <w:keepLines/>
      <w:spacing w:before="120" w:after="240"/>
      <w:outlineLvl w:val="3"/>
    </w:pPr>
    <w:rPr>
      <w:rFonts w:asciiTheme="minorHAnsi" w:eastAsiaTheme="majorEastAsia" w:hAnsiTheme="minorHAnsi" w:cstheme="majorBidi"/>
      <w:i/>
      <w:iCs/>
      <w:szCs w:val="24"/>
    </w:rPr>
  </w:style>
  <w:style w:type="paragraph" w:styleId="Heading5">
    <w:name w:val="heading 5"/>
    <w:basedOn w:val="Normal"/>
    <w:next w:val="Normal"/>
    <w:link w:val="Heading5Char"/>
    <w:uiPriority w:val="9"/>
    <w:unhideWhenUsed/>
    <w:qFormat/>
    <w:rsid w:val="006C5CF2"/>
    <w:pPr>
      <w:keepNext/>
      <w:outlineLvl w:val="4"/>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763F"/>
    <w:pPr>
      <w:numPr>
        <w:numId w:val="48"/>
      </w:numPr>
      <w:spacing w:after="240"/>
      <w:ind w:left="806"/>
    </w:pPr>
  </w:style>
  <w:style w:type="character" w:styleId="Hyperlink">
    <w:name w:val="Hyperlink"/>
    <w:basedOn w:val="DefaultParagraphFont"/>
    <w:uiPriority w:val="99"/>
    <w:unhideWhenUsed/>
    <w:rsid w:val="00C7011F"/>
    <w:rPr>
      <w:rFonts w:asciiTheme="minorHAnsi" w:hAnsiTheme="minorHAnsi"/>
      <w:color w:val="005E9D"/>
      <w:u w:val="single"/>
    </w:rPr>
  </w:style>
  <w:style w:type="paragraph" w:customStyle="1" w:styleId="Default">
    <w:name w:val="Default"/>
    <w:rsid w:val="00E109C8"/>
    <w:pPr>
      <w:autoSpaceDE w:val="0"/>
      <w:autoSpaceDN w:val="0"/>
      <w:adjustRightInd w:val="0"/>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2F67B5"/>
    <w:rPr>
      <w:rFonts w:ascii="Lucida Grande" w:hAnsi="Lucida Grande"/>
      <w:sz w:val="18"/>
      <w:szCs w:val="18"/>
    </w:rPr>
  </w:style>
  <w:style w:type="character" w:customStyle="1" w:styleId="BalloonTextChar">
    <w:name w:val="Balloon Text Char"/>
    <w:basedOn w:val="DefaultParagraphFont"/>
    <w:link w:val="BalloonText"/>
    <w:uiPriority w:val="99"/>
    <w:semiHidden/>
    <w:rsid w:val="002F67B5"/>
    <w:rPr>
      <w:rFonts w:ascii="Lucida Grande" w:hAnsi="Lucida Grande"/>
      <w:sz w:val="18"/>
      <w:szCs w:val="18"/>
    </w:rPr>
  </w:style>
  <w:style w:type="character" w:styleId="CommentReference">
    <w:name w:val="annotation reference"/>
    <w:basedOn w:val="DefaultParagraphFont"/>
    <w:unhideWhenUsed/>
    <w:rsid w:val="005D0320"/>
    <w:rPr>
      <w:sz w:val="18"/>
      <w:szCs w:val="18"/>
    </w:rPr>
  </w:style>
  <w:style w:type="paragraph" w:styleId="CommentText">
    <w:name w:val="annotation text"/>
    <w:basedOn w:val="Normal"/>
    <w:link w:val="CommentTextChar"/>
    <w:unhideWhenUsed/>
    <w:rsid w:val="005D0320"/>
    <w:rPr>
      <w:sz w:val="24"/>
    </w:rPr>
  </w:style>
  <w:style w:type="character" w:customStyle="1" w:styleId="CommentTextChar">
    <w:name w:val="Comment Text Char"/>
    <w:basedOn w:val="DefaultParagraphFont"/>
    <w:link w:val="CommentText"/>
    <w:rsid w:val="005D0320"/>
    <w:rPr>
      <w:sz w:val="24"/>
      <w:szCs w:val="24"/>
    </w:rPr>
  </w:style>
  <w:style w:type="paragraph" w:styleId="CommentSubject">
    <w:name w:val="annotation subject"/>
    <w:basedOn w:val="CommentText"/>
    <w:next w:val="CommentText"/>
    <w:link w:val="CommentSubjectChar"/>
    <w:uiPriority w:val="99"/>
    <w:semiHidden/>
    <w:unhideWhenUsed/>
    <w:rsid w:val="005D0320"/>
    <w:rPr>
      <w:b/>
      <w:bCs/>
      <w:sz w:val="20"/>
      <w:szCs w:val="20"/>
    </w:rPr>
  </w:style>
  <w:style w:type="character" w:customStyle="1" w:styleId="CommentSubjectChar">
    <w:name w:val="Comment Subject Char"/>
    <w:basedOn w:val="CommentTextChar"/>
    <w:link w:val="CommentSubject"/>
    <w:uiPriority w:val="99"/>
    <w:semiHidden/>
    <w:rsid w:val="005D0320"/>
    <w:rPr>
      <w:b/>
      <w:bCs/>
      <w:sz w:val="20"/>
      <w:szCs w:val="20"/>
    </w:rPr>
  </w:style>
  <w:style w:type="paragraph" w:customStyle="1" w:styleId="Heading1nonumbering">
    <w:name w:val="Heading 1_no numbering"/>
    <w:basedOn w:val="Heading1"/>
    <w:rsid w:val="007E5C99"/>
    <w:pPr>
      <w:numPr>
        <w:numId w:val="26"/>
      </w:numPr>
      <w:pBdr>
        <w:top w:val="none" w:sz="0" w:space="0" w:color="auto"/>
        <w:bottom w:val="single" w:sz="12" w:space="1" w:color="0070C0"/>
      </w:pBdr>
      <w:spacing w:before="320"/>
      <w:outlineLvl w:val="9"/>
    </w:pPr>
    <w:rPr>
      <w:sz w:val="28"/>
    </w:rPr>
  </w:style>
  <w:style w:type="paragraph" w:customStyle="1" w:styleId="HEAD">
    <w:name w:val="HEAD"/>
    <w:basedOn w:val="Heading1"/>
    <w:qFormat/>
    <w:rsid w:val="006C5CF2"/>
    <w:rPr>
      <w:rFonts w:eastAsia="Arial"/>
    </w:rPr>
  </w:style>
  <w:style w:type="character" w:customStyle="1" w:styleId="apple-converted-space">
    <w:name w:val="apple-converted-space"/>
    <w:basedOn w:val="DefaultParagraphFont"/>
    <w:rsid w:val="000E7B3B"/>
  </w:style>
  <w:style w:type="paragraph" w:customStyle="1" w:styleId="Heading2nonumbering">
    <w:name w:val="Heading 2_no numbering"/>
    <w:basedOn w:val="Heading2"/>
    <w:next w:val="Normal"/>
    <w:rsid w:val="000D03A5"/>
    <w:pPr>
      <w:numPr>
        <w:ilvl w:val="0"/>
        <w:numId w:val="0"/>
      </w:numPr>
      <w:pBdr>
        <w:bottom w:val="single" w:sz="12" w:space="1" w:color="0070C0"/>
      </w:pBdr>
      <w:spacing w:before="240"/>
      <w:outlineLvl w:val="9"/>
    </w:pPr>
    <w:rPr>
      <w:rFonts w:eastAsia="MS Mincho"/>
      <w:lang w:eastAsia="ja-JP"/>
    </w:rPr>
  </w:style>
  <w:style w:type="character" w:styleId="HTMLCite">
    <w:name w:val="HTML Cite"/>
    <w:basedOn w:val="DefaultParagraphFont"/>
    <w:uiPriority w:val="99"/>
    <w:semiHidden/>
    <w:unhideWhenUsed/>
    <w:rsid w:val="000E7B3B"/>
    <w:rPr>
      <w:i/>
      <w:iCs/>
    </w:rPr>
  </w:style>
  <w:style w:type="paragraph" w:customStyle="1" w:styleId="ListBulletsingle">
    <w:name w:val="List Bullet_single"/>
    <w:basedOn w:val="ListBullet"/>
    <w:qFormat/>
    <w:rsid w:val="0068763F"/>
    <w:pPr>
      <w:spacing w:after="40"/>
    </w:pPr>
  </w:style>
  <w:style w:type="paragraph" w:customStyle="1" w:styleId="ListBulletsinglelast">
    <w:name w:val="List Bullet_single_last"/>
    <w:basedOn w:val="ListBulletsingle"/>
    <w:qFormat/>
    <w:rsid w:val="0068763F"/>
    <w:pPr>
      <w:spacing w:after="240"/>
    </w:pPr>
  </w:style>
  <w:style w:type="paragraph" w:customStyle="1" w:styleId="Reference">
    <w:name w:val="Reference"/>
    <w:rsid w:val="0068763F"/>
    <w:pPr>
      <w:spacing w:after="240"/>
    </w:pPr>
    <w:rPr>
      <w:rFonts w:asciiTheme="minorHAnsi" w:eastAsia="Times New Roman" w:hAnsiTheme="minorHAnsi"/>
      <w:szCs w:val="24"/>
    </w:rPr>
  </w:style>
  <w:style w:type="paragraph" w:styleId="FootnoteText">
    <w:name w:val="footnote text"/>
    <w:basedOn w:val="Normal"/>
    <w:link w:val="FootnoteTextChar"/>
    <w:uiPriority w:val="99"/>
    <w:rsid w:val="006B1409"/>
    <w:pPr>
      <w:ind w:left="144" w:hanging="144"/>
      <w:jc w:val="both"/>
    </w:pPr>
    <w:rPr>
      <w:sz w:val="20"/>
      <w:szCs w:val="20"/>
    </w:rPr>
  </w:style>
  <w:style w:type="character" w:customStyle="1" w:styleId="FootnoteTextChar">
    <w:name w:val="Footnote Text Char"/>
    <w:basedOn w:val="DefaultParagraphFont"/>
    <w:link w:val="FootnoteText"/>
    <w:uiPriority w:val="99"/>
    <w:rsid w:val="006B1409"/>
    <w:rPr>
      <w:rFonts w:asciiTheme="minorHAnsi" w:eastAsia="Times New Roman" w:hAnsiTheme="minorHAnsi"/>
      <w:sz w:val="20"/>
      <w:szCs w:val="20"/>
    </w:rPr>
  </w:style>
  <w:style w:type="character" w:styleId="FootnoteReference">
    <w:name w:val="footnote reference"/>
    <w:basedOn w:val="DefaultParagraphFont"/>
    <w:uiPriority w:val="99"/>
    <w:rsid w:val="000D03A5"/>
    <w:rPr>
      <w:dstrike w:val="0"/>
      <w:vertAlign w:val="superscript"/>
    </w:rPr>
  </w:style>
  <w:style w:type="paragraph" w:styleId="Header">
    <w:name w:val="header"/>
    <w:basedOn w:val="Normal"/>
    <w:link w:val="HeaderChar"/>
    <w:unhideWhenUsed/>
    <w:rsid w:val="006B112A"/>
    <w:pPr>
      <w:tabs>
        <w:tab w:val="center" w:pos="4320"/>
        <w:tab w:val="right" w:pos="8640"/>
      </w:tabs>
    </w:pPr>
  </w:style>
  <w:style w:type="character" w:customStyle="1" w:styleId="HeaderChar">
    <w:name w:val="Header Char"/>
    <w:basedOn w:val="DefaultParagraphFont"/>
    <w:link w:val="Header"/>
    <w:rsid w:val="006B112A"/>
  </w:style>
  <w:style w:type="character" w:styleId="FollowedHyperlink">
    <w:name w:val="FollowedHyperlink"/>
    <w:basedOn w:val="DefaultParagraphFont"/>
    <w:uiPriority w:val="99"/>
    <w:semiHidden/>
    <w:unhideWhenUsed/>
    <w:rsid w:val="0048703B"/>
    <w:rPr>
      <w:color w:val="800080" w:themeColor="followedHyperlink"/>
      <w:u w:val="single"/>
    </w:rPr>
  </w:style>
  <w:style w:type="paragraph" w:styleId="Caption">
    <w:name w:val="caption"/>
    <w:basedOn w:val="Normal"/>
    <w:next w:val="Normal"/>
    <w:uiPriority w:val="35"/>
    <w:unhideWhenUsed/>
    <w:qFormat/>
    <w:rsid w:val="009103AC"/>
    <w:pPr>
      <w:spacing w:after="200"/>
    </w:pPr>
    <w:rPr>
      <w:b/>
      <w:bCs/>
      <w:color w:val="4F81BD" w:themeColor="accent1"/>
      <w:sz w:val="18"/>
      <w:szCs w:val="18"/>
    </w:rPr>
  </w:style>
  <w:style w:type="paragraph" w:styleId="Revision">
    <w:name w:val="Revision"/>
    <w:hidden/>
    <w:uiPriority w:val="99"/>
    <w:semiHidden/>
    <w:rsid w:val="008937EC"/>
  </w:style>
  <w:style w:type="paragraph" w:styleId="BodyText">
    <w:name w:val="Body Text"/>
    <w:link w:val="BodyTextChar"/>
    <w:rsid w:val="0068763F"/>
    <w:pPr>
      <w:spacing w:after="240"/>
    </w:pPr>
    <w:rPr>
      <w:rFonts w:asciiTheme="minorHAnsi" w:eastAsia="Times New Roman" w:hAnsiTheme="minorHAnsi"/>
      <w:szCs w:val="24"/>
    </w:rPr>
  </w:style>
  <w:style w:type="character" w:customStyle="1" w:styleId="BodyTextChar">
    <w:name w:val="Body Text Char"/>
    <w:basedOn w:val="DefaultParagraphFont"/>
    <w:link w:val="BodyText"/>
    <w:rsid w:val="0068763F"/>
    <w:rPr>
      <w:rFonts w:asciiTheme="minorHAnsi" w:eastAsia="Times New Roman" w:hAnsiTheme="minorHAnsi"/>
      <w:szCs w:val="24"/>
    </w:rPr>
  </w:style>
  <w:style w:type="paragraph" w:styleId="ListBullet">
    <w:name w:val="List Bullet"/>
    <w:rsid w:val="0068763F"/>
    <w:pPr>
      <w:numPr>
        <w:numId w:val="31"/>
      </w:numPr>
      <w:spacing w:after="240"/>
      <w:ind w:left="806"/>
    </w:pPr>
    <w:rPr>
      <w:rFonts w:asciiTheme="minorHAnsi" w:eastAsia="Times New Roman" w:hAnsiTheme="minorHAnsi"/>
      <w:szCs w:val="24"/>
    </w:rPr>
  </w:style>
  <w:style w:type="character" w:customStyle="1" w:styleId="Heading1Char">
    <w:name w:val="Heading 1 Char"/>
    <w:basedOn w:val="DefaultParagraphFont"/>
    <w:link w:val="Heading1"/>
    <w:rsid w:val="000D03A5"/>
    <w:rPr>
      <w:rFonts w:ascii="Arial" w:eastAsia="Times New Roman" w:hAnsi="Arial" w:cs="Arial"/>
      <w:b/>
      <w:bCs/>
      <w:color w:val="005E9D"/>
      <w:sz w:val="36"/>
      <w:szCs w:val="32"/>
    </w:rPr>
  </w:style>
  <w:style w:type="character" w:customStyle="1" w:styleId="Heading2Char">
    <w:name w:val="Heading 2 Char"/>
    <w:basedOn w:val="DefaultParagraphFont"/>
    <w:link w:val="Heading2"/>
    <w:rsid w:val="0032112C"/>
    <w:rPr>
      <w:rFonts w:ascii="Arial" w:eastAsia="Times New Roman" w:hAnsi="Arial" w:cs="Arial"/>
      <w:b/>
      <w:iCs/>
      <w:color w:val="005E9D"/>
      <w:sz w:val="24"/>
      <w:szCs w:val="28"/>
    </w:rPr>
  </w:style>
  <w:style w:type="character" w:customStyle="1" w:styleId="Heading3Char">
    <w:name w:val="Heading 3 Char"/>
    <w:basedOn w:val="DefaultParagraphFont"/>
    <w:link w:val="Heading3"/>
    <w:rsid w:val="005046A7"/>
    <w:rPr>
      <w:rFonts w:asciiTheme="minorHAnsi" w:eastAsia="Times New Roman" w:hAnsiTheme="minorHAnsi" w:cs="Arial"/>
      <w:bCs/>
      <w:i/>
      <w:iCs/>
      <w:szCs w:val="26"/>
    </w:rPr>
  </w:style>
  <w:style w:type="paragraph" w:customStyle="1" w:styleId="References">
    <w:name w:val="References"/>
    <w:basedOn w:val="BodyText"/>
    <w:qFormat/>
    <w:rsid w:val="005432E4"/>
    <w:pPr>
      <w:spacing w:after="40"/>
      <w:ind w:left="360" w:hanging="360"/>
    </w:pPr>
    <w:rPr>
      <w:noProof/>
    </w:rPr>
  </w:style>
  <w:style w:type="paragraph" w:styleId="Footer">
    <w:name w:val="footer"/>
    <w:basedOn w:val="Normal"/>
    <w:link w:val="FooterChar"/>
    <w:rsid w:val="000D03A5"/>
    <w:pPr>
      <w:tabs>
        <w:tab w:val="right" w:pos="9360"/>
      </w:tabs>
    </w:pPr>
    <w:rPr>
      <w:rFonts w:ascii="Arial" w:hAnsi="Arial"/>
      <w:i/>
      <w:color w:val="005E9D"/>
      <w:sz w:val="20"/>
    </w:rPr>
  </w:style>
  <w:style w:type="character" w:customStyle="1" w:styleId="FooterChar">
    <w:name w:val="Footer Char"/>
    <w:basedOn w:val="DefaultParagraphFont"/>
    <w:link w:val="Footer"/>
    <w:rsid w:val="000D03A5"/>
    <w:rPr>
      <w:rFonts w:ascii="Arial" w:eastAsia="Times New Roman" w:hAnsi="Arial"/>
      <w:i/>
      <w:color w:val="005E9D"/>
      <w:sz w:val="20"/>
      <w:szCs w:val="24"/>
    </w:rPr>
  </w:style>
  <w:style w:type="character" w:styleId="PageNumber">
    <w:name w:val="page number"/>
    <w:basedOn w:val="DefaultParagraphFont"/>
    <w:uiPriority w:val="99"/>
    <w:semiHidden/>
    <w:unhideWhenUsed/>
    <w:rsid w:val="00B663EF"/>
  </w:style>
  <w:style w:type="paragraph" w:customStyle="1" w:styleId="BodyTextnospace">
    <w:name w:val="Body Text (no space)"/>
    <w:qFormat/>
    <w:rsid w:val="0068763F"/>
    <w:pPr>
      <w:tabs>
        <w:tab w:val="left" w:pos="1656"/>
      </w:tabs>
      <w:spacing w:after="20"/>
      <w:ind w:left="1656" w:hanging="1656"/>
    </w:pPr>
    <w:rPr>
      <w:rFonts w:asciiTheme="minorHAnsi" w:eastAsia="Times New Roman" w:hAnsiTheme="minorHAnsi"/>
      <w:szCs w:val="24"/>
    </w:rPr>
  </w:style>
  <w:style w:type="paragraph" w:customStyle="1" w:styleId="BodyTextnospacelast">
    <w:name w:val="Body Text (no space_last)"/>
    <w:basedOn w:val="BodyTextnospace"/>
    <w:qFormat/>
    <w:rsid w:val="00E33FA5"/>
    <w:pPr>
      <w:spacing w:after="240"/>
    </w:pPr>
  </w:style>
  <w:style w:type="paragraph" w:customStyle="1" w:styleId="BodyTextitalics">
    <w:name w:val="Body Text_italics"/>
    <w:basedOn w:val="BodyText"/>
    <w:qFormat/>
    <w:rsid w:val="005046A7"/>
    <w:rPr>
      <w:i/>
    </w:rPr>
  </w:style>
  <w:style w:type="paragraph" w:customStyle="1" w:styleId="Figure">
    <w:name w:val="Figure"/>
    <w:qFormat/>
    <w:rsid w:val="0068763F"/>
    <w:pPr>
      <w:keepNext/>
      <w:spacing w:after="240"/>
    </w:pPr>
    <w:rPr>
      <w:rFonts w:asciiTheme="minorHAnsi" w:eastAsia="Times New Roman" w:hAnsiTheme="minorHAnsi"/>
      <w:bCs/>
      <w:i/>
    </w:rPr>
  </w:style>
  <w:style w:type="paragraph" w:customStyle="1" w:styleId="FigureTitle">
    <w:name w:val="Figure Title"/>
    <w:qFormat/>
    <w:rsid w:val="00BF5C5F"/>
    <w:pPr>
      <w:keepNext/>
      <w:spacing w:after="200" w:line="276" w:lineRule="auto"/>
      <w:jc w:val="center"/>
    </w:pPr>
    <w:rPr>
      <w:rFonts w:asciiTheme="minorHAnsi" w:eastAsia="Times New Roman" w:hAnsiTheme="minorHAnsi"/>
      <w:b/>
      <w:noProof/>
      <w:szCs w:val="18"/>
    </w:rPr>
  </w:style>
  <w:style w:type="paragraph" w:customStyle="1" w:styleId="FigureTablefootnotes">
    <w:name w:val="Figure/Table footnotes"/>
    <w:qFormat/>
    <w:rsid w:val="0068763F"/>
    <w:pPr>
      <w:spacing w:before="60" w:after="200"/>
    </w:pPr>
    <w:rPr>
      <w:rFonts w:asciiTheme="minorHAnsi" w:eastAsia="Times New Roman" w:hAnsiTheme="minorHAnsi"/>
      <w:i/>
      <w:szCs w:val="18"/>
    </w:rPr>
  </w:style>
  <w:style w:type="paragraph" w:customStyle="1" w:styleId="Bullet2">
    <w:name w:val="Bullet 2"/>
    <w:basedOn w:val="Normal"/>
    <w:link w:val="Bullet2CharChar"/>
    <w:rsid w:val="00247D12"/>
    <w:pPr>
      <w:numPr>
        <w:numId w:val="42"/>
      </w:numPr>
      <w:tabs>
        <w:tab w:val="clear" w:pos="1080"/>
        <w:tab w:val="num" w:pos="720"/>
      </w:tabs>
      <w:ind w:left="720"/>
    </w:pPr>
    <w:rPr>
      <w:bCs/>
    </w:rPr>
  </w:style>
  <w:style w:type="table" w:customStyle="1" w:styleId="TableStyle6">
    <w:name w:val="Table Style 6"/>
    <w:basedOn w:val="TableNormal"/>
    <w:rsid w:val="00247D12"/>
    <w:pPr>
      <w:keepNext/>
      <w:keepLines/>
    </w:pPr>
    <w:rPr>
      <w:rFonts w:ascii="Arial" w:eastAsia="Times New Roman" w:hAnsi="Arial"/>
      <w:szCs w:val="20"/>
    </w:rPr>
    <w:tblPr>
      <w:tblBorders>
        <w:top w:val="single" w:sz="8" w:space="0" w:color="005E9D"/>
        <w:left w:val="single" w:sz="8" w:space="0" w:color="005E9D"/>
        <w:bottom w:val="single" w:sz="8" w:space="0" w:color="005E9D"/>
        <w:right w:val="single" w:sz="8" w:space="0" w:color="005E9D"/>
        <w:insideH w:val="single" w:sz="8" w:space="0" w:color="005E9D"/>
        <w:insideV w:val="single" w:sz="8" w:space="0" w:color="005E9D"/>
      </w:tblBorders>
      <w:tblCellMar>
        <w:top w:w="43" w:type="dxa"/>
        <w:left w:w="115" w:type="dxa"/>
        <w:bottom w:w="43" w:type="dxa"/>
        <w:right w:w="115" w:type="dxa"/>
      </w:tblCellMar>
    </w:tblPr>
    <w:trPr>
      <w:cantSplit/>
    </w:trPr>
    <w:tcPr>
      <w:shd w:val="clear" w:color="auto" w:fill="DEE8EF"/>
    </w:tcPr>
    <w:tblStylePr w:type="firstRow">
      <w:pPr>
        <w:jc w:val="center"/>
      </w:pPr>
      <w:rPr>
        <w:rFonts w:ascii="Arial" w:hAnsi="Arial"/>
        <w:b/>
        <w:color w:val="FFFFFF"/>
        <w:sz w:val="22"/>
      </w:rPr>
      <w:tblPr/>
      <w:tcPr>
        <w:tcBorders>
          <w:top w:val="single" w:sz="8" w:space="0" w:color="005E9D"/>
          <w:left w:val="single" w:sz="8" w:space="0" w:color="005E9D"/>
          <w:bottom w:val="single" w:sz="8" w:space="0" w:color="005E9D"/>
          <w:right w:val="single" w:sz="8" w:space="0" w:color="005E9D"/>
          <w:insideH w:val="nil"/>
          <w:insideV w:val="single" w:sz="8" w:space="0" w:color="FFFFFF"/>
        </w:tcBorders>
        <w:shd w:val="clear" w:color="auto" w:fill="005E9D"/>
        <w:vAlign w:val="center"/>
      </w:tcPr>
    </w:tblStylePr>
    <w:tblStylePr w:type="nwCell">
      <w:pPr>
        <w:jc w:val="left"/>
      </w:pPr>
      <w:tblPr/>
      <w:tcPr>
        <w:vAlign w:val="center"/>
      </w:tcPr>
    </w:tblStylePr>
  </w:style>
  <w:style w:type="character" w:customStyle="1" w:styleId="Bullet2CharChar">
    <w:name w:val="Bullet 2 Char Char"/>
    <w:basedOn w:val="DefaultParagraphFont"/>
    <w:link w:val="Bullet2"/>
    <w:rsid w:val="00247D12"/>
    <w:rPr>
      <w:rFonts w:asciiTheme="minorHAnsi" w:eastAsia="Times New Roman" w:hAnsiTheme="minorHAnsi"/>
      <w:bCs/>
      <w:szCs w:val="24"/>
    </w:rPr>
  </w:style>
  <w:style w:type="character" w:customStyle="1" w:styleId="Heading4Char">
    <w:name w:val="Heading 4 Char"/>
    <w:basedOn w:val="DefaultParagraphFont"/>
    <w:link w:val="Heading4"/>
    <w:uiPriority w:val="9"/>
    <w:rsid w:val="0068763F"/>
    <w:rPr>
      <w:rFonts w:asciiTheme="minorHAnsi" w:eastAsiaTheme="majorEastAsia" w:hAnsiTheme="minorHAnsi" w:cstheme="majorBidi"/>
      <w:i/>
      <w:iCs/>
      <w:szCs w:val="24"/>
    </w:rPr>
  </w:style>
  <w:style w:type="character" w:customStyle="1" w:styleId="Heading5Char">
    <w:name w:val="Heading 5 Char"/>
    <w:basedOn w:val="DefaultParagraphFont"/>
    <w:link w:val="Heading5"/>
    <w:uiPriority w:val="9"/>
    <w:rsid w:val="006C5CF2"/>
    <w:rPr>
      <w:rFonts w:asciiTheme="minorHAnsi" w:eastAsia="Times New Roman" w:hAnsiTheme="minorHAnsi"/>
      <w:i/>
      <w:szCs w:val="24"/>
    </w:rPr>
  </w:style>
  <w:style w:type="paragraph" w:customStyle="1" w:styleId="BodyText1">
    <w:name w:val="Body Text1"/>
    <w:basedOn w:val="Normal"/>
    <w:rsid w:val="006A228B"/>
  </w:style>
  <w:style w:type="paragraph" w:styleId="EndnoteText">
    <w:name w:val="endnote text"/>
    <w:basedOn w:val="Normal"/>
    <w:link w:val="EndnoteTextChar"/>
    <w:rsid w:val="00DC1961"/>
    <w:pPr>
      <w:spacing w:after="60"/>
      <w:ind w:left="216" w:hanging="216"/>
    </w:pPr>
    <w:rPr>
      <w:sz w:val="20"/>
      <w:szCs w:val="20"/>
    </w:rPr>
  </w:style>
  <w:style w:type="character" w:customStyle="1" w:styleId="EndnoteTextChar">
    <w:name w:val="Endnote Text Char"/>
    <w:basedOn w:val="DefaultParagraphFont"/>
    <w:link w:val="EndnoteText"/>
    <w:rsid w:val="00DC1961"/>
    <w:rPr>
      <w:rFonts w:asciiTheme="minorHAnsi" w:eastAsia="Times New Roman" w:hAnsiTheme="minorHAnsi"/>
      <w:sz w:val="20"/>
      <w:szCs w:val="20"/>
    </w:rPr>
  </w:style>
  <w:style w:type="character" w:styleId="EndnoteReference">
    <w:name w:val="endnote reference"/>
    <w:basedOn w:val="DefaultParagraphFont"/>
    <w:rsid w:val="00DC1961"/>
    <w:rPr>
      <w:vertAlign w:val="superscript"/>
    </w:rPr>
  </w:style>
  <w:style w:type="character" w:styleId="UnresolvedMention">
    <w:name w:val="Unresolved Mention"/>
    <w:basedOn w:val="DefaultParagraphFont"/>
    <w:uiPriority w:val="99"/>
    <w:semiHidden/>
    <w:unhideWhenUsed/>
    <w:rsid w:val="000970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5440238">
      <w:bodyDiv w:val="1"/>
      <w:marLeft w:val="0"/>
      <w:marRight w:val="0"/>
      <w:marTop w:val="0"/>
      <w:marBottom w:val="0"/>
      <w:divBdr>
        <w:top w:val="none" w:sz="0" w:space="0" w:color="auto"/>
        <w:left w:val="none" w:sz="0" w:space="0" w:color="auto"/>
        <w:bottom w:val="none" w:sz="0" w:space="0" w:color="auto"/>
        <w:right w:val="none" w:sz="0" w:space="0" w:color="auto"/>
      </w:divBdr>
    </w:div>
    <w:div w:id="170069403">
      <w:bodyDiv w:val="1"/>
      <w:marLeft w:val="0"/>
      <w:marRight w:val="0"/>
      <w:marTop w:val="0"/>
      <w:marBottom w:val="0"/>
      <w:divBdr>
        <w:top w:val="none" w:sz="0" w:space="0" w:color="auto"/>
        <w:left w:val="none" w:sz="0" w:space="0" w:color="auto"/>
        <w:bottom w:val="none" w:sz="0" w:space="0" w:color="auto"/>
        <w:right w:val="none" w:sz="0" w:space="0" w:color="auto"/>
      </w:divBdr>
    </w:div>
    <w:div w:id="282734576">
      <w:bodyDiv w:val="1"/>
      <w:marLeft w:val="0"/>
      <w:marRight w:val="0"/>
      <w:marTop w:val="0"/>
      <w:marBottom w:val="0"/>
      <w:divBdr>
        <w:top w:val="none" w:sz="0" w:space="0" w:color="auto"/>
        <w:left w:val="none" w:sz="0" w:space="0" w:color="auto"/>
        <w:bottom w:val="none" w:sz="0" w:space="0" w:color="auto"/>
        <w:right w:val="none" w:sz="0" w:space="0" w:color="auto"/>
      </w:divBdr>
    </w:div>
    <w:div w:id="289240758">
      <w:bodyDiv w:val="1"/>
      <w:marLeft w:val="0"/>
      <w:marRight w:val="0"/>
      <w:marTop w:val="0"/>
      <w:marBottom w:val="0"/>
      <w:divBdr>
        <w:top w:val="none" w:sz="0" w:space="0" w:color="auto"/>
        <w:left w:val="none" w:sz="0" w:space="0" w:color="auto"/>
        <w:bottom w:val="none" w:sz="0" w:space="0" w:color="auto"/>
        <w:right w:val="none" w:sz="0" w:space="0" w:color="auto"/>
      </w:divBdr>
    </w:div>
    <w:div w:id="971134820">
      <w:bodyDiv w:val="1"/>
      <w:marLeft w:val="0"/>
      <w:marRight w:val="0"/>
      <w:marTop w:val="0"/>
      <w:marBottom w:val="0"/>
      <w:divBdr>
        <w:top w:val="none" w:sz="0" w:space="0" w:color="auto"/>
        <w:left w:val="none" w:sz="0" w:space="0" w:color="auto"/>
        <w:bottom w:val="none" w:sz="0" w:space="0" w:color="auto"/>
        <w:right w:val="none" w:sz="0" w:space="0" w:color="auto"/>
      </w:divBdr>
    </w:div>
    <w:div w:id="1296176553">
      <w:bodyDiv w:val="1"/>
      <w:marLeft w:val="0"/>
      <w:marRight w:val="0"/>
      <w:marTop w:val="0"/>
      <w:marBottom w:val="0"/>
      <w:divBdr>
        <w:top w:val="none" w:sz="0" w:space="0" w:color="auto"/>
        <w:left w:val="none" w:sz="0" w:space="0" w:color="auto"/>
        <w:bottom w:val="none" w:sz="0" w:space="0" w:color="auto"/>
        <w:right w:val="none" w:sz="0" w:space="0" w:color="auto"/>
      </w:divBdr>
    </w:div>
    <w:div w:id="16702546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onder.cdc.gov/mcd-icd10.html" TargetMode="External"/><Relationship Id="rId18" Type="http://schemas.openxmlformats.org/officeDocument/2006/relationships/hyperlink" Target="https://www.cdc.gov/nchs/data/misc/mvsact92aacc.pdf" TargetMode="External"/><Relationship Id="rId3" Type="http://schemas.openxmlformats.org/officeDocument/2006/relationships/customXml" Target="../customXml/item3.xml"/><Relationship Id="rId21" Type="http://schemas.openxmlformats.org/officeDocument/2006/relationships/hyperlink" Target="https://science2017.globalchange.gov" TargetMode="External"/><Relationship Id="rId7" Type="http://schemas.openxmlformats.org/officeDocument/2006/relationships/settings" Target="settings.xml"/><Relationship Id="rId12" Type="http://schemas.openxmlformats.org/officeDocument/2006/relationships/hyperlink" Target="https://ephtracking.cdc.gov/DataExplorer/" TargetMode="External"/><Relationship Id="rId1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hyperlink" Target="https://icd.who.int/browse10/2019/en" TargetMode="External"/><Relationship Id="rId20" Type="http://schemas.openxmlformats.org/officeDocument/2006/relationships/hyperlink" Target="https://health2016.globalchange.gov"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onder.cdc.gov/mortSQL.html"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cdc.gov/nchs/data/dvs/DEATH11-03final-ACC.pdf"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onder.cdc.gov/mortSQL.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onder.cdc.gov/wonder/help/cmf.html"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s0 xmlns="924ddb61-764c-4703-9da6-ddf852dc8a22" xsi:nil="true"/>
    <lcf76f155ced4ddcb4097134ff3c332f xmlns="924ddb61-764c-4703-9da6-ddf852dc8a22">
      <Terms xmlns="http://schemas.microsoft.com/office/infopath/2007/PartnerControls"/>
    </lcf76f155ced4ddcb4097134ff3c332f>
    <TaxCatchAll xmlns="11d857ff-f4c9-431c-b3f0-894cf5d81aa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5C2FA4749D13C4D8B63736A9D95688A" ma:contentTypeVersion="17" ma:contentTypeDescription="Create a new document." ma:contentTypeScope="" ma:versionID="578c655ecc84879846c98f19573eba7e">
  <xsd:schema xmlns:xsd="http://www.w3.org/2001/XMLSchema" xmlns:xs="http://www.w3.org/2001/XMLSchema" xmlns:p="http://schemas.microsoft.com/office/2006/metadata/properties" xmlns:ns2="11d857ff-f4c9-431c-b3f0-894cf5d81aa2" xmlns:ns3="924ddb61-764c-4703-9da6-ddf852dc8a22" targetNamespace="http://schemas.microsoft.com/office/2006/metadata/properties" ma:root="true" ma:fieldsID="e4057c1f2022873f23a3a8e83f192bb7" ns2:_="" ns3:_="">
    <xsd:import namespace="11d857ff-f4c9-431c-b3f0-894cf5d81aa2"/>
    <xsd:import namespace="924ddb61-764c-4703-9da6-ddf852dc8a2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Notes0"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lcf76f155ced4ddcb4097134ff3c332f" minOccurs="0"/>
                <xsd:element ref="ns2:TaxCatchAll" minOccurs="0"/>
                <xsd:element ref="ns3:MediaServiceDateTake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d857ff-f4c9-431c-b3f0-894cf5d81aa2"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1" nillable="true" ma:displayName="Taxonomy Catch All Column" ma:hidden="true" ma:list="{015fc1ea-0df6-4181-8ca9-e6627910bc6f}" ma:internalName="TaxCatchAll" ma:showField="CatchAllData" ma:web="11d857ff-f4c9-431c-b3f0-894cf5d81aa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24ddb61-764c-4703-9da6-ddf852dc8a22"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Notes0" ma:index="12" nillable="true" ma:displayName="Notes" ma:internalName="Notes0">
      <xsd:simpleType>
        <xsd:restriction base="dms:Note">
          <xsd:maxLength value="255"/>
        </xsd:restrictio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896de28-cb53-43b9-a38b-bef149b24309" ma:termSetId="09814cd3-568e-fe90-9814-8d621ff8fb84" ma:anchorId="fba54fb3-c3e1-fe81-a776-ca4b69148c4d" ma:open="true" ma:isKeyword="false">
      <xsd:complexType>
        <xsd:sequence>
          <xsd:element ref="pc:Terms" minOccurs="0" maxOccurs="1"/>
        </xsd:sequence>
      </xsd:complex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F9E07B-232F-4133-B8D6-F92A7C4F7F48}">
  <ds:schemaRefs>
    <ds:schemaRef ds:uri="http://schemas.microsoft.com/office/2006/metadata/properties"/>
    <ds:schemaRef ds:uri="http://schemas.microsoft.com/office/infopath/2007/PartnerControls"/>
    <ds:schemaRef ds:uri="924ddb61-764c-4703-9da6-ddf852dc8a22"/>
  </ds:schemaRefs>
</ds:datastoreItem>
</file>

<file path=customXml/itemProps2.xml><?xml version="1.0" encoding="utf-8"?>
<ds:datastoreItem xmlns:ds="http://schemas.openxmlformats.org/officeDocument/2006/customXml" ds:itemID="{AACB626A-EB83-488F-95C3-7CDCF10AB0E4}">
  <ds:schemaRefs>
    <ds:schemaRef ds:uri="http://schemas.microsoft.com/sharepoint/v3/contenttype/forms"/>
  </ds:schemaRefs>
</ds:datastoreItem>
</file>

<file path=customXml/itemProps3.xml><?xml version="1.0" encoding="utf-8"?>
<ds:datastoreItem xmlns:ds="http://schemas.openxmlformats.org/officeDocument/2006/customXml" ds:itemID="{0BDB4BA8-A621-4CA9-849E-9DAFE60C9BD3}">
  <ds:schemaRefs>
    <ds:schemaRef ds:uri="http://schemas.openxmlformats.org/officeDocument/2006/bibliography"/>
  </ds:schemaRefs>
</ds:datastoreItem>
</file>

<file path=customXml/itemProps4.xml><?xml version="1.0" encoding="utf-8"?>
<ds:datastoreItem xmlns:ds="http://schemas.openxmlformats.org/officeDocument/2006/customXml" ds:itemID="{56441953-2436-4D14-9855-C89275E979E8}"/>
</file>

<file path=docProps/app.xml><?xml version="1.0" encoding="utf-8"?>
<Properties xmlns="http://schemas.openxmlformats.org/officeDocument/2006/extended-properties" xmlns:vt="http://schemas.openxmlformats.org/officeDocument/2006/docPropsVTypes">
  <Template>Normal.dotm</Template>
  <TotalTime>4</TotalTime>
  <Pages>7</Pages>
  <Words>2567</Words>
  <Characters>14635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Technical Documentation: Heat-Related Deaths</vt:lpstr>
    </vt:vector>
  </TitlesOfParts>
  <Company>Eastern Research Group, Inc.</Company>
  <LinksUpToDate>false</LinksUpToDate>
  <CharactersWithSpaces>17168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Documentation: Cold-Related Deaths</dc:title>
  <dc:subject>This indicator presents data on deaths classified as "heat-related" in the United States.</dc:subject>
  <dc:creator>US EPA, OAR, Climate Change Division</dc:creator>
  <cp:keywords>climate change; global warming; science; technical; documentation; indicator; data; society; ecosystem; cold; mortality; death</cp:keywords>
  <dc:description/>
  <cp:lastModifiedBy>Sarah Downes</cp:lastModifiedBy>
  <cp:revision>46</cp:revision>
  <cp:lastPrinted>2017-01-20T20:20:00Z</cp:lastPrinted>
  <dcterms:created xsi:type="dcterms:W3CDTF">2017-07-17T23:06:00Z</dcterms:created>
  <dcterms:modified xsi:type="dcterms:W3CDTF">2021-04-02T14:03:00Z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0x01010055C2FA4749D13C4D8B63736A9D95688A</vt:lpwstr>
  </property>
</Properties>
</file>