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0F6E9" w14:textId="77777777" w:rsidR="00015D7C" w:rsidRPr="00AC0BC7" w:rsidRDefault="00015D7C" w:rsidP="006C5CF2">
      <w:pPr>
        <w:pStyle w:val="HEAD"/>
      </w:pPr>
      <w:bookmarkStart w:id="0" w:name="_Ref333403857"/>
      <w:bookmarkStart w:id="1" w:name="_Toc339538551"/>
      <w:bookmarkStart w:id="2" w:name="_Toc389036524"/>
      <w:r w:rsidRPr="00AC0BC7">
        <w:t>Heat-Related Deaths</w:t>
      </w:r>
      <w:bookmarkEnd w:id="0"/>
      <w:bookmarkEnd w:id="1"/>
      <w:bookmarkEnd w:id="2"/>
    </w:p>
    <w:p w14:paraId="6EFCFFDD" w14:textId="77777777" w:rsidR="00015D7C" w:rsidRPr="00AC0BC7" w:rsidRDefault="00015D7C" w:rsidP="006C5CF2">
      <w:pPr>
        <w:pStyle w:val="Heading1nonumbering"/>
      </w:pPr>
      <w:r w:rsidRPr="00AC0BC7">
        <w:t>Identification</w:t>
      </w:r>
    </w:p>
    <w:p w14:paraId="7AF0BC77" w14:textId="77777777" w:rsidR="00015D7C" w:rsidRDefault="00015D7C" w:rsidP="00522041">
      <w:pPr>
        <w:pStyle w:val="Heading2"/>
        <w:numPr>
          <w:ilvl w:val="1"/>
          <w:numId w:val="49"/>
        </w:numPr>
      </w:pPr>
      <w:r w:rsidRPr="00AC0BC7">
        <w:t>Indicator Description</w:t>
      </w:r>
    </w:p>
    <w:p w14:paraId="007B12C0" w14:textId="03010530" w:rsidR="00015D7C" w:rsidRDefault="00015D7C" w:rsidP="0032112C">
      <w:pPr>
        <w:pStyle w:val="BodyText"/>
      </w:pPr>
      <w:r>
        <w:t>Extreme heat events (i.e., heat waves)</w:t>
      </w:r>
      <w:r w:rsidRPr="009D4A13">
        <w:t xml:space="preserve"> have become more frequent in </w:t>
      </w:r>
      <w:r>
        <w:t>the United States</w:t>
      </w:r>
      <w:r w:rsidRPr="009D4A13">
        <w:t xml:space="preserve"> in recent decades (see the </w:t>
      </w:r>
      <w:r w:rsidRPr="00273AC7">
        <w:t>High and Low Temperatures</w:t>
      </w:r>
      <w:r w:rsidRPr="009D4A13">
        <w:t xml:space="preserve"> indicator), and </w:t>
      </w:r>
      <w:r>
        <w:t xml:space="preserve">studies project that the frequency and intensity of extreme heat events will continue to increase </w:t>
      </w:r>
      <w:r w:rsidR="006161D4">
        <w:t>because</w:t>
      </w:r>
      <w:r>
        <w:t xml:space="preserve"> of climate change </w:t>
      </w:r>
      <w:r w:rsidR="00227B89">
        <w:fldChar w:fldCharType="begin"/>
      </w:r>
      <w:r w:rsidR="00227B89">
        <w:instrText xml:space="preserve"> ADDIN ZOTERO_ITEM CSL_CITATION {"citationID":"WtO6UKuh","properties":{"formattedCitation":"(Marvel et al., 2023)","plainCitation":"(Marvel et al., 2023)","noteIndex":0},"citationItems":[{"id":27075,"uris":["http://zotero.org/groups/5470261/items/XWLRZRNP"],"itemData":{"id":27075,"type":"chapter","container-title":"Fifth National Climate Assessment","source":"DOI.org (Crossref)","title":"Chapter 2: Climate trends","title-short":"Chapter 2","URL":"https://doi.org/10.7930/NCA5.2023.CH2","author":[{"family":"Marvel","given":"K."},{"family":"Su","given":"W."},{"family":"Delgado","given":"R."},{"family":"Aarons","given":"S."},{"family":"Chatterjee","given":"A."},{"family":"Garcia","given":"M.E."},{"family":"Hausfather","given":"Z."},{"family":"Hayhoe","given":"K."},{"family":"Hence","given":"D.A."},{"family":"Jewett","given":"E.B."},{"family":"Robel","given":"A."},{"family":"Singh","given":"D."},{"family":"Tripati","given":"A."},{"family":"Vose","given":"R.S."}],"container-author":[{"literal":"USGCRP (U.S. Global Change Research Program)"}],"editor":[{"literal":"A. R. Crimmins"},{"literal":"C. W. Avery"},{"literal":"D. R. Easterling"},{"literal":"K. E. Kunkel"},{"literal":"B. C. Stewart"},{"literal":"T.K. Maycock"}],"accessed":{"date-parts":[["2024",4,23]]},"issued":{"date-parts":[["2023"]]}}}],"schema":"https://github.com/citation-style-language/schema/raw/master/csl-citation.json"} </w:instrText>
      </w:r>
      <w:r w:rsidR="00227B89">
        <w:fldChar w:fldCharType="separate"/>
      </w:r>
      <w:r w:rsidR="00227B89" w:rsidRPr="00227B89">
        <w:rPr>
          <w:rFonts w:ascii="Calibri" w:hAnsi="Calibri" w:cs="Calibri"/>
        </w:rPr>
        <w:t>(Marvel et al., 2023)</w:t>
      </w:r>
      <w:r w:rsidR="00227B89">
        <w:fldChar w:fldCharType="end"/>
      </w:r>
      <w:r>
        <w:t xml:space="preserve">. </w:t>
      </w:r>
      <w:r w:rsidRPr="00BA19EB">
        <w:t>When people are exposed to extreme heat, they can suffer from potentially deadly heat-related illnesses such as heat exhaustion and heat stroke.</w:t>
      </w:r>
      <w:r>
        <w:t xml:space="preserve"> </w:t>
      </w:r>
      <w:r w:rsidR="00D418E6" w:rsidRPr="00D418E6">
        <w:t>Additionally, the incidence of deaths due to cardiovascular disease (CVD) has been shown to increase with temperature</w:t>
      </w:r>
      <w:r w:rsidR="0058720A">
        <w:t>, particularly among</w:t>
      </w:r>
      <w:r w:rsidR="00D418E6" w:rsidRPr="00D418E6">
        <w:t xml:space="preserve"> </w:t>
      </w:r>
      <w:r w:rsidR="001F1434">
        <w:t>older adults</w:t>
      </w:r>
      <w:r w:rsidR="00D418E6" w:rsidRPr="00D418E6">
        <w:t xml:space="preserve"> and other vulnerable populations </w:t>
      </w:r>
      <w:r w:rsidR="006A228B">
        <w:t xml:space="preserve">such as non-Hispanic </w:t>
      </w:r>
      <w:r w:rsidR="0060106B">
        <w:t>B</w:t>
      </w:r>
      <w:r w:rsidR="006A228B">
        <w:t>lack</w:t>
      </w:r>
      <w:r w:rsidR="008F0A06">
        <w:t xml:space="preserve"> people</w:t>
      </w:r>
      <w:r w:rsidR="006A228B">
        <w:t xml:space="preserve"> </w:t>
      </w:r>
      <w:r w:rsidR="008F0A06">
        <w:fldChar w:fldCharType="begin"/>
      </w:r>
      <w:r w:rsidR="008F0A06">
        <w:instrText xml:space="preserve"> ADDIN ZOTERO_ITEM CSL_CITATION {"citationID":"rB515DMn","properties":{"formattedCitation":"(Berko et al., 2014; Zanobetti et al., 2012)","plainCitation":"(Berko et al., 2014; Zanobetti et al., 2012)","noteIndex":0},"citationItems":[{"id":27495,"uris":["http://zotero.org/groups/5470261/items/TQ9MWVCQ"],"itemData":{"id":27495,"type":"report","number":"National Health Statistics Reports, Number 76","publisher":"National Center for Health Statistics","title":"Deaths attributed to heat, cold, and other weather events in the United States, 2006–2010","URL":"www.cdc.gov/nchs/data/nhsr/nhsr076.pdf","author":[{"family":"Berko","given":"J."},{"family":"Ingram","given":"D.D."},{"family":"Saha","given":"S."},{"family":"Parker","given":"J.D."}],"issued":{"date-parts":[["2014"]]}}},{"id":27487,"uris":["http://zotero.org/groups/5470261/items/3PT9G4GU"],"itemData":{"id":27487,"type":"article-journal","container-title":"Proceedings of the National Academy of Sciences of the United States of America","DOI":"10.1073/pnas.1113070109","issue":"17","journalAbbreviation":"Proceedings of the National Academy of Sciences of the United States of America","page":"6608-13","source":"ResearchGate","title":"Summer temperature variability and long-term survival among elderly people with chronic disease","volume":"109","author":[{"family":"Zanobetti","given":"Antonella"},{"family":"O'Neill","given":"Marie S."},{"family":"Gronlund","given":"Carina J."},{"family":"Schwartz","given":"Joel D."}],"issued":{"date-parts":[["2012",4,9]]}}}],"schema":"https://github.com/citation-style-language/schema/raw/master/csl-citation.json"} </w:instrText>
      </w:r>
      <w:r w:rsidR="008F0A06">
        <w:fldChar w:fldCharType="separate"/>
      </w:r>
      <w:r w:rsidR="008F0A06" w:rsidRPr="008F0A06">
        <w:rPr>
          <w:rFonts w:ascii="Calibri" w:hAnsi="Calibri" w:cs="Calibri"/>
        </w:rPr>
        <w:t xml:space="preserve">(Berko et al., 2014; </w:t>
      </w:r>
      <w:proofErr w:type="spellStart"/>
      <w:r w:rsidR="008F0A06" w:rsidRPr="008F0A06">
        <w:rPr>
          <w:rFonts w:ascii="Calibri" w:hAnsi="Calibri" w:cs="Calibri"/>
        </w:rPr>
        <w:t>Zanobetti</w:t>
      </w:r>
      <w:proofErr w:type="spellEnd"/>
      <w:r w:rsidR="008F0A06" w:rsidRPr="008F0A06">
        <w:rPr>
          <w:rFonts w:ascii="Calibri" w:hAnsi="Calibri" w:cs="Calibri"/>
        </w:rPr>
        <w:t xml:space="preserve"> et al., 2012)</w:t>
      </w:r>
      <w:r w:rsidR="008F0A06">
        <w:fldChar w:fldCharType="end"/>
      </w:r>
      <w:r w:rsidR="00D418E6" w:rsidRPr="00D418E6">
        <w:t xml:space="preserve">. </w:t>
      </w:r>
      <w:r>
        <w:t xml:space="preserve">Thus, as extreme heat events increase, the risk of heat-related deaths and illness is also expected to increase </w:t>
      </w:r>
      <w:r w:rsidR="00FC4B66">
        <w:fldChar w:fldCharType="begin"/>
      </w:r>
      <w:r w:rsidR="00FC4B66">
        <w:instrText xml:space="preserve"> ADDIN ZOTERO_ITEM CSL_CITATION {"citationID":"4jB5cb87","properties":{"formattedCitation":"(Hayden et al., 2023)","plainCitation":"(Hayden et al., 2023)","noteIndex":0},"citationItems":[{"id":27555,"uris":["http://zotero.org/groups/5470261/items/P2ZWZW2H"],"itemData":{"id":27555,"type":"chapter","container-title":"Fifth National Climate Assessment","event-place":"Washington, D.C.","language":"en","note":"container-title: Fifth National Climate Assessment","publisher-place":"Washington, D.C.","source":"nca2023.globalchange.gov","title":"Chapter 15: Human health","URL":"https://doi.org/10.7930/NCA5.2023.CH15","author":[{"family":"Hayden","given":"Mary H."},{"family":"Schramm","given":"Paul J."},{"family":"Beard","given":"Charles B."},{"family":"Bell","given":"Jesse E."},{"family":"Bernstein","given":"A.S."},{"family":"Bieniek-Tobasco","given":"Ashley"},{"family":"Cooley","given":"Nikki"},{"family":"Diuk-Wasser","given":"Maria"},{"family":"Dorsey","given":"Michael K."},{"family":"Ebi","given":"Kristie"},{"family":"Ernst","given":"Kacey C."},{"family":"Gorris","given":"Morgan E."},{"family":"Howe","given":"Peter D."},{"family":"Khan","given":"Ali S."},{"family":"Lefthand-Begay","given":"Clarita"},{"family":"Maldonado","given":"Julie"},{"family":"Saha","given":"Shubhayu"},{"family":"Shafiei","given":"Fatemeh"},{"family":"Vaidyanathan","given":"Ambarish"},{"family":"Wilhelmi","given":"Olga V."}],"editor":[{"family":"Crimmins","given":"A.R."},{"family":"Avery","given":"C. W."},{"family":"Easterling","given":"D.R."},{"family":"Kunkel","given":"K.E."},{"family":"Stewart","given":"B. C."},{"family":"Maycock","given":"T. K."}],"container-author":[{"literal":"USGCRP (U.S. Global Change Research Program)"}],"accessed":{"date-parts":[["2023",11,29]]},"issued":{"date-parts":[["2023"]]}}}],"schema":"https://github.com/citation-style-language/schema/raw/master/csl-citation.json"} </w:instrText>
      </w:r>
      <w:r w:rsidR="00FC4B66">
        <w:fldChar w:fldCharType="separate"/>
      </w:r>
      <w:r w:rsidR="00FC4B66" w:rsidRPr="00FC4B66">
        <w:rPr>
          <w:rFonts w:ascii="Calibri" w:hAnsi="Calibri" w:cs="Calibri"/>
        </w:rPr>
        <w:t>(Hayden et al., 2023)</w:t>
      </w:r>
      <w:r w:rsidR="00FC4B66">
        <w:fldChar w:fldCharType="end"/>
      </w:r>
      <w:r>
        <w:t xml:space="preserve">. Tracking the rate of reported </w:t>
      </w:r>
      <w:r w:rsidR="00D418E6">
        <w:t xml:space="preserve">overall </w:t>
      </w:r>
      <w:r>
        <w:t>heat-related deaths</w:t>
      </w:r>
      <w:r w:rsidR="0058720A">
        <w:t xml:space="preserve"> and heat-related CVD deaths</w:t>
      </w:r>
      <w:r w:rsidR="00D418E6">
        <w:t xml:space="preserve"> </w:t>
      </w:r>
      <w:r>
        <w:t xml:space="preserve">over time provides a measure of how climate change may affect human well-being. </w:t>
      </w:r>
    </w:p>
    <w:p w14:paraId="4D1B8D54" w14:textId="77777777" w:rsidR="00015D7C" w:rsidRDefault="00015D7C" w:rsidP="0032112C">
      <w:pPr>
        <w:pStyle w:val="BodyText"/>
      </w:pPr>
      <w:r>
        <w:t>Components of this indicator include:</w:t>
      </w:r>
    </w:p>
    <w:p w14:paraId="4E8EEB62" w14:textId="5AA2DB64" w:rsidR="00015D7C" w:rsidRDefault="00015D7C" w:rsidP="0032112C">
      <w:pPr>
        <w:pStyle w:val="ListBullet"/>
      </w:pPr>
      <w:r>
        <w:t>The rate of U.S.</w:t>
      </w:r>
      <w:r w:rsidRPr="009D4A13">
        <w:t xml:space="preserve"> </w:t>
      </w:r>
      <w:r w:rsidR="00D418E6">
        <w:t xml:space="preserve">annual </w:t>
      </w:r>
      <w:r w:rsidRPr="009D4A13">
        <w:t xml:space="preserve">deaths </w:t>
      </w:r>
      <w:r>
        <w:t>between 1979 and 20</w:t>
      </w:r>
      <w:r w:rsidR="00354465">
        <w:t>22</w:t>
      </w:r>
      <w:r>
        <w:t xml:space="preserve"> for which heat was classified on death certificates as the underlying (direct) cause (Figure 1, orange line).</w:t>
      </w:r>
    </w:p>
    <w:p w14:paraId="5BE8F8A0" w14:textId="7F5D6C3A" w:rsidR="00015D7C" w:rsidRDefault="00015D7C" w:rsidP="0032112C">
      <w:pPr>
        <w:pStyle w:val="ListBullet"/>
      </w:pPr>
      <w:r>
        <w:t xml:space="preserve">The rate of U.S. </w:t>
      </w:r>
      <w:r w:rsidR="00C625CB">
        <w:t xml:space="preserve">summer </w:t>
      </w:r>
      <w:r>
        <w:t xml:space="preserve">deaths between 1999 </w:t>
      </w:r>
      <w:r w:rsidRPr="0032517D">
        <w:t>and 20</w:t>
      </w:r>
      <w:r w:rsidR="00354465" w:rsidRPr="0032517D">
        <w:t>21</w:t>
      </w:r>
      <w:r w:rsidRPr="0032517D">
        <w:t xml:space="preserve"> for</w:t>
      </w:r>
      <w:r>
        <w:t xml:space="preserve"> which heat was classified as either the underlying cause or a contributing factor (Figure 1, blue line).</w:t>
      </w:r>
    </w:p>
    <w:p w14:paraId="5A399C5D" w14:textId="293AD04D" w:rsidR="00D418E6" w:rsidRDefault="00D418E6" w:rsidP="0032112C">
      <w:pPr>
        <w:pStyle w:val="ListBullet"/>
      </w:pPr>
      <w:r>
        <w:t xml:space="preserve">The rate of U.S. </w:t>
      </w:r>
      <w:r w:rsidR="00C625CB">
        <w:t xml:space="preserve">summer </w:t>
      </w:r>
      <w:r>
        <w:t>deaths between 1999 and 20</w:t>
      </w:r>
      <w:r w:rsidR="00354465">
        <w:t>22</w:t>
      </w:r>
      <w:r>
        <w:t xml:space="preserve"> for which </w:t>
      </w:r>
      <w:r w:rsidR="00C625CB">
        <w:t>cardiovascular</w:t>
      </w:r>
      <w:r>
        <w:t xml:space="preserve"> </w:t>
      </w:r>
      <w:r w:rsidR="00C625CB">
        <w:t xml:space="preserve">disease was </w:t>
      </w:r>
      <w:r>
        <w:t>classified as the underlying cause and heat was listed as a contributing factor</w:t>
      </w:r>
      <w:r w:rsidR="009F0C97">
        <w:t xml:space="preserve"> (Figure 2)</w:t>
      </w:r>
      <w:r>
        <w:t xml:space="preserve">. Rates are shown for three groups: </w:t>
      </w:r>
      <w:r w:rsidR="00AC5EC9">
        <w:t xml:space="preserve">the </w:t>
      </w:r>
      <w:r>
        <w:t xml:space="preserve">general population, individuals </w:t>
      </w:r>
      <w:proofErr w:type="gramStart"/>
      <w:r>
        <w:t>age</w:t>
      </w:r>
      <w:proofErr w:type="gramEnd"/>
      <w:r>
        <w:t xml:space="preserve"> 65</w:t>
      </w:r>
      <w:r w:rsidR="0058720A">
        <w:t xml:space="preserve"> and older</w:t>
      </w:r>
      <w:r>
        <w:t xml:space="preserve">, and </w:t>
      </w:r>
      <w:r w:rsidR="0058720A">
        <w:t>non-</w:t>
      </w:r>
      <w:r w:rsidR="006A228B">
        <w:t xml:space="preserve">Hispanic </w:t>
      </w:r>
      <w:r w:rsidR="005E314F">
        <w:t>B</w:t>
      </w:r>
      <w:r w:rsidR="006A228B">
        <w:t>lack</w:t>
      </w:r>
      <w:r w:rsidR="0058720A">
        <w:t xml:space="preserve"> </w:t>
      </w:r>
      <w:r>
        <w:t>individuals.</w:t>
      </w:r>
    </w:p>
    <w:p w14:paraId="2006D2FB" w14:textId="77777777" w:rsidR="00015D7C" w:rsidRPr="00AC0BC7" w:rsidRDefault="00015D7C" w:rsidP="00015D7C">
      <w:pPr>
        <w:pStyle w:val="Heading2"/>
      </w:pPr>
      <w:r w:rsidRPr="00AC0BC7">
        <w:t>Revision History</w:t>
      </w:r>
    </w:p>
    <w:p w14:paraId="40D8B99B" w14:textId="2A18A299" w:rsidR="00015D7C" w:rsidRDefault="00015D7C" w:rsidP="0032112C">
      <w:pPr>
        <w:pStyle w:val="BodyTextnospace"/>
      </w:pPr>
      <w:r>
        <w:t xml:space="preserve">April 2010: </w:t>
      </w:r>
      <w:r>
        <w:tab/>
        <w:t xml:space="preserve">Indicator </w:t>
      </w:r>
      <w:r w:rsidR="00A846C7">
        <w:t>published</w:t>
      </w:r>
      <w:r>
        <w:t>.</w:t>
      </w:r>
    </w:p>
    <w:p w14:paraId="42C49569" w14:textId="48014898" w:rsidR="00015D7C" w:rsidRDefault="00A846C7">
      <w:pPr>
        <w:pStyle w:val="BodyTextnospace"/>
      </w:pPr>
      <w:r>
        <w:t>December</w:t>
      </w:r>
      <w:r w:rsidR="00015D7C">
        <w:t xml:space="preserve"> 2012: </w:t>
      </w:r>
      <w:r w:rsidR="00015D7C">
        <w:tab/>
        <w:t xml:space="preserve">Updated </w:t>
      </w:r>
      <w:r>
        <w:t xml:space="preserve">indicator </w:t>
      </w:r>
      <w:r w:rsidR="00015D7C">
        <w:t>with data through 2009</w:t>
      </w:r>
      <w:r>
        <w:t xml:space="preserve">. Added contributing factors analysis to complement the existing time series, </w:t>
      </w:r>
      <w:r w:rsidR="00015D7C">
        <w:t>converted the measure from counts to crude rates</w:t>
      </w:r>
      <w:r>
        <w:t>, and</w:t>
      </w:r>
      <w:r w:rsidR="00015D7C">
        <w:t xml:space="preserve"> added</w:t>
      </w:r>
      <w:r>
        <w:t xml:space="preserve"> an</w:t>
      </w:r>
      <w:r w:rsidR="00015D7C">
        <w:t xml:space="preserve"> example figure.</w:t>
      </w:r>
    </w:p>
    <w:p w14:paraId="0AA4ACA6" w14:textId="744AC8C1" w:rsidR="00015D7C" w:rsidRDefault="00015D7C">
      <w:pPr>
        <w:pStyle w:val="BodyTextnospace"/>
      </w:pPr>
      <w:r>
        <w:t>Ma</w:t>
      </w:r>
      <w:r w:rsidR="00D729BB">
        <w:t>y</w:t>
      </w:r>
      <w:r>
        <w:t xml:space="preserve"> 2014: </w:t>
      </w:r>
      <w:r>
        <w:tab/>
        <w:t xml:space="preserve">Updated </w:t>
      </w:r>
      <w:r w:rsidR="00A846C7">
        <w:t xml:space="preserve">indicator </w:t>
      </w:r>
      <w:r>
        <w:t>with data through 2010.</w:t>
      </w:r>
    </w:p>
    <w:p w14:paraId="6A800510" w14:textId="180FC402" w:rsidR="00015D7C" w:rsidRDefault="00015D7C" w:rsidP="0058720A">
      <w:pPr>
        <w:pStyle w:val="BodyTextnospace"/>
      </w:pPr>
      <w:r>
        <w:t>June 2015:</w:t>
      </w:r>
      <w:r>
        <w:tab/>
        <w:t>Updated indicator with data through 2013.</w:t>
      </w:r>
    </w:p>
    <w:p w14:paraId="47A529A5" w14:textId="5A2B4AC5" w:rsidR="00954D8E" w:rsidRPr="00B562D1" w:rsidRDefault="00D729BB" w:rsidP="004142A0">
      <w:pPr>
        <w:pStyle w:val="BodyTextnospace"/>
      </w:pPr>
      <w:r>
        <w:t>August</w:t>
      </w:r>
      <w:r w:rsidR="00954D8E">
        <w:t xml:space="preserve"> 2016: </w:t>
      </w:r>
      <w:r w:rsidR="00954D8E">
        <w:tab/>
        <w:t xml:space="preserve">Updated </w:t>
      </w:r>
      <w:r w:rsidR="00A846C7">
        <w:t xml:space="preserve">indicator </w:t>
      </w:r>
      <w:r w:rsidR="000478A1">
        <w:t>with data through</w:t>
      </w:r>
      <w:r w:rsidR="00954D8E">
        <w:t xml:space="preserve"> 2014</w:t>
      </w:r>
      <w:r w:rsidR="00A846C7">
        <w:t>.</w:t>
      </w:r>
      <w:r w:rsidR="00493EDD">
        <w:t xml:space="preserve"> </w:t>
      </w:r>
      <w:r w:rsidR="00A846C7">
        <w:t>A</w:t>
      </w:r>
      <w:r w:rsidR="00493EDD">
        <w:t>dded</w:t>
      </w:r>
      <w:r w:rsidR="00493EDD" w:rsidRPr="00493EDD">
        <w:t xml:space="preserve"> </w:t>
      </w:r>
      <w:r w:rsidR="00493EDD">
        <w:t>Figure 2 to show heat-related CVD death rates</w:t>
      </w:r>
      <w:r w:rsidR="00954D8E">
        <w:t>.</w:t>
      </w:r>
    </w:p>
    <w:p w14:paraId="484EEB76" w14:textId="0D87B39D" w:rsidR="00B562D1" w:rsidRPr="0032517D" w:rsidRDefault="008C4057" w:rsidP="000E43FD">
      <w:pPr>
        <w:pStyle w:val="BodyTextnospace"/>
      </w:pPr>
      <w:r>
        <w:t>April</w:t>
      </w:r>
      <w:r w:rsidR="00C61214" w:rsidRPr="00C61214">
        <w:t xml:space="preserve"> 20</w:t>
      </w:r>
      <w:r>
        <w:t>21</w:t>
      </w:r>
      <w:r w:rsidR="00C61214" w:rsidRPr="00C61214">
        <w:t xml:space="preserve">: </w:t>
      </w:r>
      <w:r w:rsidR="00C61214">
        <w:tab/>
      </w:r>
      <w:r>
        <w:t>Updated i</w:t>
      </w:r>
      <w:r w:rsidR="00DB3380">
        <w:t>ndicator</w:t>
      </w:r>
      <w:r w:rsidR="00C61214" w:rsidRPr="00C61214">
        <w:t xml:space="preserve"> with </w:t>
      </w:r>
      <w:r w:rsidR="00DB3380">
        <w:t xml:space="preserve">data </w:t>
      </w:r>
      <w:r w:rsidR="00DB3380" w:rsidRPr="0032517D">
        <w:t>through 201</w:t>
      </w:r>
      <w:r w:rsidR="005946A1" w:rsidRPr="0032517D">
        <w:t>8</w:t>
      </w:r>
      <w:r w:rsidR="00DB3380" w:rsidRPr="0032517D">
        <w:t xml:space="preserve">. </w:t>
      </w:r>
    </w:p>
    <w:p w14:paraId="22A2F71C" w14:textId="2F103218" w:rsidR="00211C50" w:rsidRDefault="0032517D" w:rsidP="0032112C">
      <w:pPr>
        <w:pStyle w:val="BodyTextnospacelast"/>
      </w:pPr>
      <w:r w:rsidRPr="0032517D">
        <w:t>June</w:t>
      </w:r>
      <w:r w:rsidR="00211C50" w:rsidRPr="0032517D">
        <w:t xml:space="preserve"> 2024:</w:t>
      </w:r>
      <w:r w:rsidR="00211C50" w:rsidRPr="0032517D">
        <w:tab/>
        <w:t>Updated indicator with data through 202</w:t>
      </w:r>
      <w:r w:rsidR="00441989" w:rsidRPr="0032517D">
        <w:t>1</w:t>
      </w:r>
      <w:r w:rsidR="00211C50" w:rsidRPr="0032517D">
        <w:t xml:space="preserve"> (Figure 1 </w:t>
      </w:r>
      <w:r>
        <w:t xml:space="preserve">“underlying and </w:t>
      </w:r>
      <w:r w:rsidR="00441989" w:rsidRPr="0032517D">
        <w:t>contributing causes</w:t>
      </w:r>
      <w:r>
        <w:t>”</w:t>
      </w:r>
      <w:r w:rsidR="00441989" w:rsidRPr="0032517D">
        <w:t xml:space="preserve">) </w:t>
      </w:r>
      <w:r w:rsidRPr="0032517D">
        <w:t>and</w:t>
      </w:r>
      <w:r w:rsidR="00441989" w:rsidRPr="0032517D">
        <w:t xml:space="preserve"> 2022</w:t>
      </w:r>
      <w:r w:rsidR="00441989">
        <w:t xml:space="preserve"> (all other components).</w:t>
      </w:r>
    </w:p>
    <w:p w14:paraId="14EA728B" w14:textId="77777777" w:rsidR="00015D7C" w:rsidRDefault="00015D7C" w:rsidP="00015D7C">
      <w:pPr>
        <w:pStyle w:val="Heading1nonumbering"/>
      </w:pPr>
      <w:r>
        <w:lastRenderedPageBreak/>
        <w:t>Data Sources</w:t>
      </w:r>
    </w:p>
    <w:p w14:paraId="0138FD84" w14:textId="77777777" w:rsidR="00015D7C" w:rsidRPr="00AC0BC7" w:rsidRDefault="00015D7C" w:rsidP="00015D7C">
      <w:pPr>
        <w:pStyle w:val="Heading2"/>
      </w:pPr>
      <w:r w:rsidRPr="00AC0BC7">
        <w:t>Data Sources</w:t>
      </w:r>
    </w:p>
    <w:p w14:paraId="02625B37" w14:textId="2A024688" w:rsidR="00015D7C" w:rsidRDefault="00015D7C" w:rsidP="0032112C">
      <w:pPr>
        <w:pStyle w:val="BodyText"/>
      </w:pPr>
      <w:r>
        <w:rPr>
          <w:szCs w:val="22"/>
        </w:rPr>
        <w:t xml:space="preserve">This indicator is based on data from the </w:t>
      </w:r>
      <w:r>
        <w:t xml:space="preserve">U.S. Centers for Disease Control and Prevention’s (CDC’s) </w:t>
      </w:r>
      <w:r w:rsidRPr="00487F13">
        <w:t>National Vital Statistics System</w:t>
      </w:r>
      <w:r>
        <w:t xml:space="preserve"> (NVSS),</w:t>
      </w:r>
      <w:r w:rsidRPr="003C5832">
        <w:t xml:space="preserve"> </w:t>
      </w:r>
      <w:r>
        <w:t>which compiles information from death certificates for nearly every death in the United States</w:t>
      </w:r>
      <w:r w:rsidRPr="00487F13">
        <w:t>.</w:t>
      </w:r>
      <w:r>
        <w:t xml:space="preserve"> </w:t>
      </w:r>
      <w:r w:rsidRPr="00410B32">
        <w:t xml:space="preserve">The NVSS </w:t>
      </w:r>
      <w:r>
        <w:t>is the most comprehensive source of mortality data for the population of the United States. CDC provided analysis of NVSS data.</w:t>
      </w:r>
      <w:r w:rsidR="00AC441C">
        <w:t xml:space="preserve"> </w:t>
      </w:r>
    </w:p>
    <w:p w14:paraId="7177C830" w14:textId="60993C76" w:rsidR="00015D7C" w:rsidRDefault="00015D7C" w:rsidP="0032112C">
      <w:pPr>
        <w:pStyle w:val="BodyText"/>
      </w:pPr>
      <w:r>
        <w:t>Mortality data for the illustrative example figure came from CDC’s National Center for Health Statistics (NCHS).</w:t>
      </w:r>
      <w:r w:rsidRPr="004F78A7">
        <w:t xml:space="preserve"> </w:t>
      </w:r>
      <w:r>
        <w:t xml:space="preserve">The estimate of deaths in excess of the average daily death rate is from the National Research Council’s report on climate stabilization targets </w:t>
      </w:r>
      <w:r w:rsidR="009D4A76">
        <w:fldChar w:fldCharType="begin"/>
      </w:r>
      <w:r w:rsidR="009D4A76">
        <w:instrText xml:space="preserve"> ADDIN ZOTERO_ITEM CSL_CITATION {"citationID":"iU7LaUqr","properties":{"formattedCitation":"(NRC, 2011)","plainCitation":"(NRC, 2011)","noteIndex":0},"citationItems":[{"id":27503,"uris":["http://zotero.org/groups/5470261/items/WE43XCYS"],"itemData":{"id":27503,"type":"book","event-place":"Washington, D.C.","publisher":"National Academies Press","publisher-place":"Washington, D.C.","title":"Climate stabilization targets: Emissions, concentrations, and impacts over decades to millennia","author":[{"literal":"NRC (National Research Council)"}],"issued":{"date-parts":[["2011"]]}},"label":"page","suppress-author":true,"prefix":"NRC, "}],"schema":"https://github.com/citation-style-language/schema/raw/master/csl-citation.json"} </w:instrText>
      </w:r>
      <w:r w:rsidR="009D4A76">
        <w:fldChar w:fldCharType="separate"/>
      </w:r>
      <w:r w:rsidR="009D4A76" w:rsidRPr="009D4A76">
        <w:rPr>
          <w:rFonts w:ascii="Calibri" w:hAnsi="Calibri" w:cs="Calibri"/>
        </w:rPr>
        <w:t>(NRC, 2011)</w:t>
      </w:r>
      <w:r w:rsidR="009D4A76">
        <w:fldChar w:fldCharType="end"/>
      </w:r>
      <w:r>
        <w:t xml:space="preserve">, which cites the peer-reviewed publication Kaiser et al. </w:t>
      </w:r>
      <w:r w:rsidR="00CE7479">
        <w:fldChar w:fldCharType="begin"/>
      </w:r>
      <w:r w:rsidR="00CE7479">
        <w:instrText xml:space="preserve"> ADDIN ZOTERO_ITEM CSL_CITATION {"citationID":"vnCmbWAe","properties":{"formattedCitation":"(2007)","plainCitation":"(2007)","noteIndex":0},"citationItems":[{"id":27509,"uris":["http://zotero.org/groups/5470261/items/H2BMYKXK"],"itemData":{"id":27509,"type":"article-journal","container-title":"American Journal of Public Health","DOI":"10.2105/AJPH.2006.100081","ISSN":"0090-0036","issue":"Suppl 1","journalAbbreviation":"Am J Public Health","note":"PMID: 17413056\nPMCID: PMC1854989","page":"S158-S162","source":"PubMed Central","title":"The effect of the 1995 heat wave in Chicago on all-cause and cause-specific mortality","URL":"https://www.ncbi.nlm.nih.gov/pmc/articles/PMC1854989/","volume":"97","author":[{"family":"Kaiser","given":"Reinhard"},{"family":"Le Tertre","given":"Alain"},{"family":"Schwartz","given":"Joel"},{"family":"Gotway","given":"Carol A."},{"family":"Daley","given":"W. Randolph"},{"family":"Rubin","given":"Carol H."}],"accessed":{"date-parts":[["2024",5,1]]},"issued":{"date-parts":[["2007",4]]}},"label":"page","suppress-author":true}],"schema":"https://github.com/citation-style-language/schema/raw/master/csl-citation.json"} </w:instrText>
      </w:r>
      <w:r w:rsidR="00CE7479">
        <w:fldChar w:fldCharType="separate"/>
      </w:r>
      <w:r w:rsidR="00CE7479" w:rsidRPr="00CE7479">
        <w:rPr>
          <w:rFonts w:ascii="Calibri" w:hAnsi="Calibri" w:cs="Calibri"/>
        </w:rPr>
        <w:t>(2007)</w:t>
      </w:r>
      <w:r w:rsidR="00CE7479">
        <w:fldChar w:fldCharType="end"/>
      </w:r>
      <w:r>
        <w:t>.</w:t>
      </w:r>
    </w:p>
    <w:p w14:paraId="2A4F1A13" w14:textId="77777777" w:rsidR="00015D7C" w:rsidRDefault="00015D7C" w:rsidP="0032112C">
      <w:pPr>
        <w:pStyle w:val="BodyText"/>
      </w:pPr>
      <w:r>
        <w:t>For reference, the illustrative example also shows daily maximum t</w:t>
      </w:r>
      <w:r w:rsidRPr="001F0CC1">
        <w:t>emperature data from the weather station at the Chicago O’Hare International Airport (</w:t>
      </w:r>
      <w:proofErr w:type="gramStart"/>
      <w:r w:rsidRPr="001F0CC1">
        <w:t>GHCND:USW</w:t>
      </w:r>
      <w:proofErr w:type="gramEnd"/>
      <w:r w:rsidRPr="001F0CC1">
        <w:t>00094846).</w:t>
      </w:r>
      <w:r w:rsidRPr="0093483D">
        <w:rPr>
          <w:rFonts w:ascii="Calibri" w:hAnsi="Calibri"/>
        </w:rPr>
        <w:t xml:space="preserve"> </w:t>
      </w:r>
    </w:p>
    <w:p w14:paraId="47460DD4" w14:textId="77777777" w:rsidR="00015D7C" w:rsidRPr="00AC0BC7" w:rsidRDefault="00015D7C" w:rsidP="0032112C">
      <w:pPr>
        <w:pStyle w:val="Heading2"/>
      </w:pPr>
      <w:r w:rsidRPr="00AC0BC7">
        <w:t>Data Availability</w:t>
      </w:r>
    </w:p>
    <w:p w14:paraId="658D46D8" w14:textId="0DB49A0F" w:rsidR="00015D7C" w:rsidRDefault="00015D7C" w:rsidP="005046A7">
      <w:pPr>
        <w:pStyle w:val="Heading3"/>
      </w:pPr>
      <w:r>
        <w:t>Underlying Causes</w:t>
      </w:r>
    </w:p>
    <w:p w14:paraId="76A051A4" w14:textId="1089EF2C" w:rsidR="00015D7C" w:rsidRDefault="00015D7C" w:rsidP="0032112C">
      <w:pPr>
        <w:pStyle w:val="BodyText"/>
      </w:pPr>
      <w:r>
        <w:t xml:space="preserve">The long-term </w:t>
      </w:r>
      <w:r w:rsidR="00026AE3">
        <w:t>time series</w:t>
      </w:r>
      <w:r>
        <w:t xml:space="preserve"> (1979–20</w:t>
      </w:r>
      <w:r w:rsidR="00441989">
        <w:t>22</w:t>
      </w:r>
      <w:r>
        <w:t>)</w:t>
      </w:r>
      <w:r w:rsidR="00BB1695">
        <w:t xml:space="preserve"> in Figure 1</w:t>
      </w:r>
      <w:r>
        <w:t xml:space="preserve"> is based on </w:t>
      </w:r>
      <w:r w:rsidR="0093590A">
        <w:t xml:space="preserve">data from </w:t>
      </w:r>
      <w:r>
        <w:t xml:space="preserve">CDC’s </w:t>
      </w:r>
      <w:r w:rsidRPr="00030E2A">
        <w:t>WONDER</w:t>
      </w:r>
      <w:r>
        <w:t xml:space="preserve"> online database at: </w:t>
      </w:r>
      <w:hyperlink r:id="rId11" w:history="1">
        <w:r w:rsidR="00012473">
          <w:rPr>
            <w:rStyle w:val="Hyperlink"/>
            <w:szCs w:val="18"/>
          </w:rPr>
          <w:t>https://wonder</w:t>
        </w:r>
        <w:r w:rsidR="00012473">
          <w:rPr>
            <w:rStyle w:val="Hyperlink"/>
            <w:szCs w:val="18"/>
          </w:rPr>
          <w:t>.</w:t>
        </w:r>
        <w:r w:rsidR="00012473">
          <w:rPr>
            <w:rStyle w:val="Hyperlink"/>
            <w:szCs w:val="18"/>
          </w:rPr>
          <w:t>cdc.gov</w:t>
        </w:r>
      </w:hyperlink>
      <w:r w:rsidRPr="00030E2A">
        <w:t>.</w:t>
      </w:r>
      <w:r>
        <w:t xml:space="preserve"> CDC WONDER provides free public access to mortality statistics, allowing users to query data for the nation as a whole or by state or region, demographic group (age, sex, race), or International Classification of Diseases (ICD) code. Users can obtain the data for this indicator by accessing CDC WONDER and querying the ICD codes listed in Section 5 for the entire U.S. population.</w:t>
      </w:r>
      <w:r w:rsidR="0093590A">
        <w:t xml:space="preserve"> Specifically, this component of the indicator uses data from</w:t>
      </w:r>
      <w:r w:rsidR="00B52D6B">
        <w:t xml:space="preserve"> the </w:t>
      </w:r>
      <w:r w:rsidR="00704D48">
        <w:t>“</w:t>
      </w:r>
      <w:r w:rsidR="00B52D6B">
        <w:t>Underlying Cause of Death</w:t>
      </w:r>
      <w:r w:rsidR="00704D48">
        <w:t>”</w:t>
      </w:r>
      <w:r w:rsidR="00B52D6B">
        <w:t xml:space="preserve"> files at:</w:t>
      </w:r>
      <w:r w:rsidR="0093590A">
        <w:t xml:space="preserve"> </w:t>
      </w:r>
      <w:hyperlink r:id="rId12" w:history="1">
        <w:r w:rsidR="00B52D6B" w:rsidRPr="00137EB4">
          <w:rPr>
            <w:rStyle w:val="Hyperlink"/>
          </w:rPr>
          <w:t>https://wonder.cdc.gov/Deaths-by</w:t>
        </w:r>
        <w:r w:rsidR="00B52D6B" w:rsidRPr="00137EB4">
          <w:rPr>
            <w:rStyle w:val="Hyperlink"/>
          </w:rPr>
          <w:t>-</w:t>
        </w:r>
        <w:r w:rsidR="00B52D6B" w:rsidRPr="00137EB4">
          <w:rPr>
            <w:rStyle w:val="Hyperlink"/>
          </w:rPr>
          <w:t>Underlying-Cause.html</w:t>
        </w:r>
      </w:hyperlink>
      <w:r w:rsidR="00B52D6B">
        <w:t>:</w:t>
      </w:r>
    </w:p>
    <w:p w14:paraId="434D70E9" w14:textId="5EEE0A3A" w:rsidR="00B52D6B" w:rsidRDefault="004F704E" w:rsidP="004F704E">
      <w:pPr>
        <w:pStyle w:val="BodyText"/>
        <w:numPr>
          <w:ilvl w:val="0"/>
          <w:numId w:val="51"/>
        </w:numPr>
        <w:contextualSpacing/>
      </w:pPr>
      <w:r>
        <w:t xml:space="preserve">Compressed </w:t>
      </w:r>
      <w:r w:rsidR="00704D48">
        <w:t>m</w:t>
      </w:r>
      <w:r>
        <w:t>ortality for 1979–1998</w:t>
      </w:r>
    </w:p>
    <w:p w14:paraId="226D21EE" w14:textId="27EA4CCB" w:rsidR="004F704E" w:rsidRDefault="002666B8" w:rsidP="000E43FD">
      <w:pPr>
        <w:pStyle w:val="BodyText"/>
        <w:numPr>
          <w:ilvl w:val="0"/>
          <w:numId w:val="51"/>
        </w:numPr>
        <w:contextualSpacing/>
      </w:pPr>
      <w:r>
        <w:t xml:space="preserve">Underlying </w:t>
      </w:r>
      <w:r w:rsidR="00704D48">
        <w:t>c</w:t>
      </w:r>
      <w:r>
        <w:t xml:space="preserve">ause of </w:t>
      </w:r>
      <w:r w:rsidR="00704D48">
        <w:t>d</w:t>
      </w:r>
      <w:r>
        <w:t xml:space="preserve">eath by </w:t>
      </w:r>
      <w:r w:rsidR="00704D48">
        <w:t>b</w:t>
      </w:r>
      <w:r>
        <w:t>ridged-</w:t>
      </w:r>
      <w:r w:rsidR="00704D48">
        <w:t>r</w:t>
      </w:r>
      <w:r>
        <w:t xml:space="preserve">ace </w:t>
      </w:r>
      <w:r w:rsidR="00704D48">
        <w:t>c</w:t>
      </w:r>
      <w:r>
        <w:t>ategories for 1999–</w:t>
      </w:r>
      <w:proofErr w:type="gramStart"/>
      <w:r>
        <w:t>2017</w:t>
      </w:r>
      <w:proofErr w:type="gramEnd"/>
    </w:p>
    <w:p w14:paraId="7A058D15" w14:textId="4005369A" w:rsidR="004F704E" w:rsidRDefault="002666B8" w:rsidP="00B52D6B">
      <w:pPr>
        <w:pStyle w:val="BodyText"/>
        <w:numPr>
          <w:ilvl w:val="0"/>
          <w:numId w:val="51"/>
        </w:numPr>
      </w:pPr>
      <w:r>
        <w:t xml:space="preserve">Underlying </w:t>
      </w:r>
      <w:r w:rsidR="00704D48">
        <w:t>c</w:t>
      </w:r>
      <w:r>
        <w:t xml:space="preserve">ause of </w:t>
      </w:r>
      <w:r w:rsidR="00704D48">
        <w:t>d</w:t>
      </w:r>
      <w:r>
        <w:t xml:space="preserve">eath by </w:t>
      </w:r>
      <w:r w:rsidR="00704D48">
        <w:t>s</w:t>
      </w:r>
      <w:r>
        <w:t>ingle-</w:t>
      </w:r>
      <w:r w:rsidR="00704D48">
        <w:t>r</w:t>
      </w:r>
      <w:r>
        <w:t xml:space="preserve">ace </w:t>
      </w:r>
      <w:r w:rsidR="00704D48">
        <w:t>c</w:t>
      </w:r>
      <w:r>
        <w:t>ategories for 2018–2022</w:t>
      </w:r>
    </w:p>
    <w:p w14:paraId="2F74D1E3" w14:textId="61CCD2B6" w:rsidR="002666B8" w:rsidRPr="00CB2A68" w:rsidRDefault="002666B8" w:rsidP="002666B8">
      <w:pPr>
        <w:pStyle w:val="BodyText"/>
      </w:pPr>
      <w:r>
        <w:t>These three sources reflect the evolution of CDC’s reporting and classification systems</w:t>
      </w:r>
      <w:r w:rsidR="009D37B8">
        <w:t xml:space="preserve">. The underlying sources are available for overlapping years; in </w:t>
      </w:r>
      <w:r w:rsidR="00934F75">
        <w:t>each such year</w:t>
      </w:r>
      <w:r w:rsidR="009D37B8">
        <w:t>, EPA chose the newer version.</w:t>
      </w:r>
    </w:p>
    <w:p w14:paraId="7758EC8B" w14:textId="3943E74E" w:rsidR="00015D7C" w:rsidRDefault="00015D7C" w:rsidP="005046A7">
      <w:pPr>
        <w:pStyle w:val="Heading3"/>
      </w:pPr>
      <w:r>
        <w:t>Underlying and Contributing Causes</w:t>
      </w:r>
    </w:p>
    <w:p w14:paraId="684513CF" w14:textId="5C3CB1DC" w:rsidR="00015D7C" w:rsidRDefault="00015D7C" w:rsidP="00D705A4">
      <w:pPr>
        <w:pStyle w:val="BodyText"/>
      </w:pPr>
      <w:r>
        <w:t>The 1999–20</w:t>
      </w:r>
      <w:r w:rsidR="00934F75">
        <w:t>21</w:t>
      </w:r>
      <w:r>
        <w:t xml:space="preserve"> </w:t>
      </w:r>
      <w:r w:rsidR="00026AE3">
        <w:t>time series</w:t>
      </w:r>
      <w:r w:rsidR="00BB1695">
        <w:t xml:space="preserve"> in Figure 1</w:t>
      </w:r>
      <w:r>
        <w:t xml:space="preserve"> is based on an analysis developed by the National Environmental Public Health Tracking (EPHT) Program, which CDC coordinates. Monthly totals by state are available online at: </w:t>
      </w:r>
      <w:hyperlink r:id="rId13" w:history="1">
        <w:r w:rsidR="0040624C">
          <w:rPr>
            <w:rStyle w:val="Hyperlink"/>
            <w:szCs w:val="18"/>
          </w:rPr>
          <w:t>https://ep</w:t>
        </w:r>
        <w:r w:rsidR="0040624C">
          <w:rPr>
            <w:rStyle w:val="Hyperlink"/>
            <w:szCs w:val="18"/>
          </w:rPr>
          <w:t>h</w:t>
        </w:r>
        <w:r w:rsidR="0040624C">
          <w:rPr>
            <w:rStyle w:val="Hyperlink"/>
            <w:szCs w:val="18"/>
          </w:rPr>
          <w:t>tracking.cdc.gov</w:t>
        </w:r>
      </w:hyperlink>
      <w:r w:rsidR="0096179A">
        <w:t xml:space="preserve">, but these data cannot be used to tabulate national totals because numbers are withheld in states with a low number of cases. CDC </w:t>
      </w:r>
      <w:r w:rsidR="0084104F">
        <w:t xml:space="preserve">has </w:t>
      </w:r>
      <w:r w:rsidR="0096179A">
        <w:t>also provide</w:t>
      </w:r>
      <w:r w:rsidR="0084104F">
        <w:t>d</w:t>
      </w:r>
      <w:r w:rsidR="0096179A">
        <w:t xml:space="preserve"> multi-year summary statistics</w:t>
      </w:r>
      <w:r w:rsidR="0084104F">
        <w:t xml:space="preserve"> </w:t>
      </w:r>
      <w:r w:rsidR="00A52A83">
        <w:t>on certain occasions, such as the 2004–2018 article at</w:t>
      </w:r>
      <w:r w:rsidR="008D3DC8">
        <w:t>:</w:t>
      </w:r>
      <w:r w:rsidR="0096179A">
        <w:t xml:space="preserve"> </w:t>
      </w:r>
      <w:hyperlink r:id="rId14" w:history="1">
        <w:r w:rsidR="0096179A">
          <w:rPr>
            <w:rStyle w:val="Hyperlink"/>
          </w:rPr>
          <w:t>www.cdc.gov/mmwr/volumes/69/w</w:t>
        </w:r>
        <w:r w:rsidR="0096179A">
          <w:rPr>
            <w:rStyle w:val="Hyperlink"/>
          </w:rPr>
          <w:t>r</w:t>
        </w:r>
        <w:r w:rsidR="0096179A">
          <w:rPr>
            <w:rStyle w:val="Hyperlink"/>
          </w:rPr>
          <w:t>/mm6924a1.htm</w:t>
        </w:r>
      </w:hyperlink>
      <w:r w:rsidR="0096179A">
        <w:t>.</w:t>
      </w:r>
      <w:r>
        <w:t xml:space="preserve"> CDC staff from the </w:t>
      </w:r>
      <w:r w:rsidRPr="0032517D">
        <w:t>National Center for Environmental Health (NCEH) EPHT branch provided</w:t>
      </w:r>
      <w:r w:rsidR="0096179A" w:rsidRPr="0032517D">
        <w:t xml:space="preserve"> annual</w:t>
      </w:r>
      <w:r w:rsidRPr="0032517D">
        <w:t xml:space="preserve"> national totals to EPA</w:t>
      </w:r>
      <w:r w:rsidR="00115573" w:rsidRPr="0032517D">
        <w:t xml:space="preserve"> in </w:t>
      </w:r>
      <w:r w:rsidR="0032517D" w:rsidRPr="000E43FD">
        <w:t>June</w:t>
      </w:r>
      <w:r w:rsidR="00115573" w:rsidRPr="0032517D">
        <w:t xml:space="preserve"> 2024</w:t>
      </w:r>
      <w:r w:rsidRPr="0032517D">
        <w:t>.</w:t>
      </w:r>
      <w:r>
        <w:t xml:space="preserve"> </w:t>
      </w:r>
    </w:p>
    <w:p w14:paraId="4AED7240" w14:textId="7F5855F4" w:rsidR="00BB1695" w:rsidRDefault="00BB1695" w:rsidP="00BB1695">
      <w:pPr>
        <w:pStyle w:val="BodyText"/>
      </w:pPr>
      <w:r>
        <w:t xml:space="preserve">Users can query underlying and contributing causes of death through CDC WONDER’s </w:t>
      </w:r>
      <w:r w:rsidR="003071FF">
        <w:t>“</w:t>
      </w:r>
      <w:r>
        <w:t>Multiple Cause of Death</w:t>
      </w:r>
      <w:r w:rsidR="003071FF">
        <w:t>”</w:t>
      </w:r>
      <w:r>
        <w:t xml:space="preserve"> file (</w:t>
      </w:r>
      <w:hyperlink r:id="rId15" w:history="1">
        <w:r w:rsidR="004725C1">
          <w:rPr>
            <w:rStyle w:val="Hyperlink"/>
            <w:szCs w:val="18"/>
          </w:rPr>
          <w:t>https://wonder.cdc.gov/m</w:t>
        </w:r>
        <w:r w:rsidR="004725C1">
          <w:rPr>
            <w:rStyle w:val="Hyperlink"/>
            <w:szCs w:val="18"/>
          </w:rPr>
          <w:t>c</w:t>
        </w:r>
        <w:r w:rsidR="004725C1">
          <w:rPr>
            <w:rStyle w:val="Hyperlink"/>
            <w:szCs w:val="18"/>
          </w:rPr>
          <w:t>d-icd10.html</w:t>
        </w:r>
      </w:hyperlink>
      <w:r w:rsidR="00135581" w:rsidRPr="000E43FD">
        <w:rPr>
          <w:rStyle w:val="Hyperlink"/>
          <w:color w:val="auto"/>
          <w:szCs w:val="18"/>
          <w:u w:val="none"/>
        </w:rPr>
        <w:t xml:space="preserve"> and</w:t>
      </w:r>
      <w:r w:rsidR="001138EE">
        <w:rPr>
          <w:rStyle w:val="Hyperlink"/>
          <w:color w:val="auto"/>
          <w:szCs w:val="18"/>
          <w:u w:val="none"/>
        </w:rPr>
        <w:t>:</w:t>
      </w:r>
      <w:r w:rsidR="00135581" w:rsidRPr="000E43FD">
        <w:rPr>
          <w:rStyle w:val="Hyperlink"/>
          <w:color w:val="auto"/>
          <w:szCs w:val="18"/>
          <w:u w:val="none"/>
        </w:rPr>
        <w:t xml:space="preserve"> </w:t>
      </w:r>
      <w:hyperlink r:id="rId16" w:history="1">
        <w:r w:rsidR="00135581" w:rsidRPr="00137EB4">
          <w:rPr>
            <w:rStyle w:val="Hyperlink"/>
            <w:szCs w:val="18"/>
          </w:rPr>
          <w:t>https</w:t>
        </w:r>
        <w:r w:rsidR="00135581" w:rsidRPr="00137EB4">
          <w:rPr>
            <w:rStyle w:val="Hyperlink"/>
            <w:szCs w:val="18"/>
          </w:rPr>
          <w:t>:</w:t>
        </w:r>
        <w:r w:rsidR="00135581" w:rsidRPr="00137EB4">
          <w:rPr>
            <w:rStyle w:val="Hyperlink"/>
            <w:szCs w:val="18"/>
          </w:rPr>
          <w:t>//wonder.cdc.gov/mcd-icd10-</w:t>
        </w:r>
        <w:r w:rsidR="00135581" w:rsidRPr="00137EB4">
          <w:rPr>
            <w:rStyle w:val="Hyperlink"/>
            <w:szCs w:val="18"/>
          </w:rPr>
          <w:lastRenderedPageBreak/>
          <w:t>expanded.html</w:t>
        </w:r>
      </w:hyperlink>
      <w:r>
        <w:t>), but note that EPHT performed additional steps for Figure 1 that cannot be recreated through the publicly available data portal (see Section 6).</w:t>
      </w:r>
    </w:p>
    <w:p w14:paraId="47ED9F30" w14:textId="355D648E" w:rsidR="00BB1695" w:rsidRDefault="00BB1695" w:rsidP="00BB1695">
      <w:pPr>
        <w:pStyle w:val="Heading3"/>
      </w:pPr>
      <w:r>
        <w:t>Underlying and Contributing Causes: Cardiovascular Disease</w:t>
      </w:r>
    </w:p>
    <w:p w14:paraId="64905D0C" w14:textId="2EFBE212" w:rsidR="00DF583C" w:rsidRDefault="00BB1695" w:rsidP="004142A0">
      <w:pPr>
        <w:pStyle w:val="BodyText"/>
      </w:pPr>
      <w:r>
        <w:t>T</w:t>
      </w:r>
      <w:r w:rsidR="00DF583C" w:rsidRPr="005A04A3">
        <w:t xml:space="preserve">he </w:t>
      </w:r>
      <w:r w:rsidR="0058720A">
        <w:t>1999–20</w:t>
      </w:r>
      <w:r w:rsidR="00135581">
        <w:t>22</w:t>
      </w:r>
      <w:r w:rsidR="0058720A">
        <w:t xml:space="preserve"> </w:t>
      </w:r>
      <w:r w:rsidR="00DF583C" w:rsidRPr="005A04A3">
        <w:t>trend line</w:t>
      </w:r>
      <w:r w:rsidR="00DF583C">
        <w:t>s for heat-related CVD deaths</w:t>
      </w:r>
      <w:r>
        <w:t xml:space="preserve"> in Figure 2</w:t>
      </w:r>
      <w:r w:rsidR="00DF583C">
        <w:t xml:space="preserve"> are</w:t>
      </w:r>
      <w:r w:rsidR="00DF583C" w:rsidRPr="005A04A3">
        <w:t xml:space="preserve"> based on </w:t>
      </w:r>
      <w:r w:rsidR="00DF583C">
        <w:t>underlying causes (diseases of the circulatory system) and contributing cause</w:t>
      </w:r>
      <w:r w:rsidR="0010131A">
        <w:t>s</w:t>
      </w:r>
      <w:r w:rsidR="00DF583C">
        <w:t xml:space="preserve"> (heat) data from </w:t>
      </w:r>
      <w:r w:rsidR="00DF583C" w:rsidRPr="005A04A3">
        <w:t>CD</w:t>
      </w:r>
      <w:r w:rsidR="00DF583C">
        <w:t xml:space="preserve">C’s </w:t>
      </w:r>
      <w:r w:rsidR="005129A0">
        <w:t>“</w:t>
      </w:r>
      <w:r w:rsidR="00DF583C">
        <w:t>Multiple Cause of Death</w:t>
      </w:r>
      <w:r w:rsidR="005129A0">
        <w:t>”</w:t>
      </w:r>
      <w:r w:rsidR="00DF583C">
        <w:t xml:space="preserve"> file</w:t>
      </w:r>
      <w:r w:rsidR="00DF583C" w:rsidRPr="005A04A3">
        <w:t>, which can be accessed through the CDC WONDER online database</w:t>
      </w:r>
      <w:r w:rsidR="00B2418B">
        <w:t xml:space="preserve">. Data for 1999–2017 came from the </w:t>
      </w:r>
      <w:r w:rsidR="008A2546">
        <w:t>Bridged-Race Categories data set</w:t>
      </w:r>
      <w:r w:rsidR="00DF583C" w:rsidRPr="005A04A3">
        <w:t xml:space="preserve"> at: </w:t>
      </w:r>
      <w:hyperlink r:id="rId17" w:history="1">
        <w:r w:rsidR="004725C1">
          <w:rPr>
            <w:rStyle w:val="Hyperlink"/>
            <w:szCs w:val="18"/>
          </w:rPr>
          <w:t>https://wonde</w:t>
        </w:r>
        <w:r w:rsidR="004725C1">
          <w:rPr>
            <w:rStyle w:val="Hyperlink"/>
            <w:szCs w:val="18"/>
          </w:rPr>
          <w:t>r</w:t>
        </w:r>
        <w:r w:rsidR="004725C1">
          <w:rPr>
            <w:rStyle w:val="Hyperlink"/>
            <w:szCs w:val="18"/>
          </w:rPr>
          <w:t>.cdc.gov/mcd-icd10.html</w:t>
        </w:r>
      </w:hyperlink>
      <w:r w:rsidR="00DF583C" w:rsidRPr="005A04A3">
        <w:t>.</w:t>
      </w:r>
      <w:r w:rsidR="008A2546">
        <w:t xml:space="preserve"> Data for 2018–2022 came from the newer Single-Race </w:t>
      </w:r>
      <w:r w:rsidR="000D1973">
        <w:t xml:space="preserve">Categories data set at: </w:t>
      </w:r>
      <w:hyperlink r:id="rId18" w:history="1">
        <w:r w:rsidR="000D1973" w:rsidRPr="00137EB4">
          <w:rPr>
            <w:rStyle w:val="Hyperlink"/>
          </w:rPr>
          <w:t>https://</w:t>
        </w:r>
        <w:r w:rsidR="000D1973" w:rsidRPr="00137EB4">
          <w:rPr>
            <w:rStyle w:val="Hyperlink"/>
          </w:rPr>
          <w:t>w</w:t>
        </w:r>
        <w:r w:rsidR="000D1973" w:rsidRPr="00137EB4">
          <w:rPr>
            <w:rStyle w:val="Hyperlink"/>
          </w:rPr>
          <w:t>onder.cdc.gov/mcd-icd10-expanded.html</w:t>
        </w:r>
      </w:hyperlink>
      <w:r w:rsidR="000D1973" w:rsidRPr="005A04A3">
        <w:t>.</w:t>
      </w:r>
    </w:p>
    <w:p w14:paraId="0CD32054" w14:textId="77777777" w:rsidR="00015D7C" w:rsidRPr="00F731B5" w:rsidRDefault="00015D7C" w:rsidP="004142A0">
      <w:pPr>
        <w:pStyle w:val="Heading3"/>
        <w:keepNext/>
      </w:pPr>
      <w:r>
        <w:t>Death Certificates</w:t>
      </w:r>
    </w:p>
    <w:p w14:paraId="02BC7C8C" w14:textId="77777777" w:rsidR="00015D7C" w:rsidRDefault="00015D7C" w:rsidP="0032112C">
      <w:pPr>
        <w:pStyle w:val="BodyText"/>
      </w:pPr>
      <w:r>
        <w:t>I</w:t>
      </w:r>
      <w:r w:rsidRPr="00030E2A">
        <w:t>ndividual</w:t>
      </w:r>
      <w:r>
        <w:t>-</w:t>
      </w:r>
      <w:r w:rsidRPr="00030E2A">
        <w:t>level data</w:t>
      </w:r>
      <w:r>
        <w:t xml:space="preserve"> (i.e., individual death certificates)</w:t>
      </w:r>
      <w:r w:rsidRPr="00030E2A">
        <w:t xml:space="preserve"> are not </w:t>
      </w:r>
      <w:r>
        <w:t xml:space="preserve">publicly </w:t>
      </w:r>
      <w:r w:rsidRPr="00030E2A">
        <w:t>available due to confidentiality issues.</w:t>
      </w:r>
    </w:p>
    <w:p w14:paraId="4748EBB4" w14:textId="77777777" w:rsidR="00015D7C" w:rsidRPr="005C2459" w:rsidRDefault="00015D7C" w:rsidP="005046A7">
      <w:pPr>
        <w:pStyle w:val="Heading3"/>
      </w:pPr>
      <w:r>
        <w:t>Chicago Heat Wave Example</w:t>
      </w:r>
    </w:p>
    <w:p w14:paraId="021AF014" w14:textId="5A8704C4" w:rsidR="00015D7C" w:rsidRPr="0093483D" w:rsidRDefault="00015D7C" w:rsidP="0032112C">
      <w:pPr>
        <w:pStyle w:val="BodyText"/>
        <w:rPr>
          <w:szCs w:val="18"/>
        </w:rPr>
      </w:pPr>
      <w:r w:rsidRPr="0093483D">
        <w:t>Data for the example figure</w:t>
      </w:r>
      <w:r w:rsidRPr="0093483D">
        <w:rPr>
          <w:szCs w:val="18"/>
        </w:rPr>
        <w:t xml:space="preserve"> </w:t>
      </w:r>
      <w:r w:rsidRPr="0093483D">
        <w:t xml:space="preserve">are based on CDC’s </w:t>
      </w:r>
      <w:r w:rsidR="009A77BF">
        <w:t>“</w:t>
      </w:r>
      <w:r w:rsidRPr="0093483D">
        <w:t>C</w:t>
      </w:r>
      <w:r w:rsidRPr="0093483D">
        <w:rPr>
          <w:szCs w:val="18"/>
        </w:rPr>
        <w:t>ompressed Mortality</w:t>
      </w:r>
      <w:r w:rsidR="009A77BF">
        <w:rPr>
          <w:szCs w:val="18"/>
        </w:rPr>
        <w:t>”</w:t>
      </w:r>
      <w:r w:rsidRPr="0093483D">
        <w:rPr>
          <w:szCs w:val="18"/>
        </w:rPr>
        <w:t xml:space="preserve"> </w:t>
      </w:r>
      <w:r w:rsidR="009A77BF">
        <w:rPr>
          <w:szCs w:val="18"/>
        </w:rPr>
        <w:t>f</w:t>
      </w:r>
      <w:r w:rsidRPr="0093483D">
        <w:rPr>
          <w:szCs w:val="18"/>
        </w:rPr>
        <w:t xml:space="preserve">ile, which can be accessed through the CDC WONDER online database at: </w:t>
      </w:r>
      <w:hyperlink r:id="rId19" w:history="1">
        <w:r w:rsidR="00BF6289">
          <w:rPr>
            <w:rStyle w:val="Hyperlink"/>
            <w:szCs w:val="18"/>
          </w:rPr>
          <w:t>https:/</w:t>
        </w:r>
        <w:r w:rsidR="00BF6289">
          <w:rPr>
            <w:rStyle w:val="Hyperlink"/>
            <w:szCs w:val="18"/>
          </w:rPr>
          <w:t>/</w:t>
        </w:r>
        <w:r w:rsidR="00BF6289">
          <w:rPr>
            <w:rStyle w:val="Hyperlink"/>
            <w:szCs w:val="18"/>
          </w:rPr>
          <w:t>wonder.cdc.gov</w:t>
        </w:r>
      </w:hyperlink>
      <w:r w:rsidRPr="0093483D">
        <w:rPr>
          <w:rFonts w:ascii="Calibri" w:hAnsi="Calibri"/>
          <w:color w:val="1F497D"/>
        </w:rPr>
        <w:t xml:space="preserve">. </w:t>
      </w:r>
      <w:r w:rsidRPr="0093483D">
        <w:t xml:space="preserve">The analysis was obtained from Kaiser et al. </w:t>
      </w:r>
      <w:r w:rsidR="006F403B">
        <w:fldChar w:fldCharType="begin"/>
      </w:r>
      <w:r w:rsidR="006F403B">
        <w:instrText xml:space="preserve"> ADDIN ZOTERO_ITEM CSL_CITATION {"citationID":"C3MOthfm","properties":{"formattedCitation":"(2007)","plainCitation":"(2007)","noteIndex":0},"citationItems":[{"id":27509,"uris":["http://zotero.org/groups/5470261/items/H2BMYKXK"],"itemData":{"id":27509,"type":"article-journal","container-title":"American Journal of Public Health","DOI":"10.2105/AJPH.2006.100081","ISSN":"0090-0036","issue":"Suppl 1","journalAbbreviation":"Am J Public Health","note":"PMID: 17413056\nPMCID: PMC1854989","page":"S158-S162","source":"PubMed Central","title":"The effect of the 1995 heat wave in Chicago on all-cause and cause-specific mortality","URL":"https://www.ncbi.nlm.nih.gov/pmc/articles/PMC1854989/","volume":"97","author":[{"family":"Kaiser","given":"Reinhard"},{"family":"Le Tertre","given":"Alain"},{"family":"Schwartz","given":"Joel"},{"family":"Gotway","given":"Carol A."},{"family":"Daley","given":"W. Randolph"},{"family":"Rubin","given":"Carol H."}],"accessed":{"date-parts":[["2024",5,1]]},"issued":{"date-parts":[["2007",4]]}},"label":"page","suppress-author":true}],"schema":"https://github.com/citation-style-language/schema/raw/master/csl-citation.json"} </w:instrText>
      </w:r>
      <w:r w:rsidR="006F403B">
        <w:fldChar w:fldCharType="separate"/>
      </w:r>
      <w:r w:rsidR="006F403B" w:rsidRPr="006F403B">
        <w:rPr>
          <w:rFonts w:ascii="Calibri" w:hAnsi="Calibri" w:cs="Calibri"/>
        </w:rPr>
        <w:t>(2007)</w:t>
      </w:r>
      <w:r w:rsidR="006F403B">
        <w:fldChar w:fldCharType="end"/>
      </w:r>
      <w:r w:rsidRPr="00A01269">
        <w:t>.</w:t>
      </w:r>
      <w:r>
        <w:t xml:space="preserve"> </w:t>
      </w:r>
      <w:r w:rsidRPr="00650E63">
        <w:rPr>
          <w:rFonts w:ascii="Calibri" w:hAnsi="Calibri"/>
        </w:rPr>
        <w:t xml:space="preserve">Daily maximum temperature data for 1995 from </w:t>
      </w:r>
      <w:r w:rsidRPr="00A01269">
        <w:t>the Chicago</w:t>
      </w:r>
      <w:r w:rsidRPr="001F0CC1">
        <w:t xml:space="preserve"> O’Hare International Airport weather station are available from</w:t>
      </w:r>
      <w:r>
        <w:t xml:space="preserve"> the National Oceanic and Atmospheric Administration’s National Centers for Environmental Information at</w:t>
      </w:r>
      <w:r w:rsidRPr="001F0CC1">
        <w:t>:</w:t>
      </w:r>
      <w:r w:rsidRPr="0093483D">
        <w:t xml:space="preserve"> </w:t>
      </w:r>
      <w:hyperlink r:id="rId20" w:history="1">
        <w:r w:rsidR="00E32765">
          <w:rPr>
            <w:rStyle w:val="Hyperlink"/>
          </w:rPr>
          <w:t>www.ncei.n</w:t>
        </w:r>
        <w:r w:rsidR="00E32765">
          <w:rPr>
            <w:rStyle w:val="Hyperlink"/>
          </w:rPr>
          <w:t>o</w:t>
        </w:r>
        <w:r w:rsidR="00E32765">
          <w:rPr>
            <w:rStyle w:val="Hyperlink"/>
          </w:rPr>
          <w:t>aa.gov/cdo-web</w:t>
        </w:r>
      </w:hyperlink>
      <w:r w:rsidRPr="001F0CC1">
        <w:t>.</w:t>
      </w:r>
      <w:r w:rsidRPr="0093483D">
        <w:rPr>
          <w:szCs w:val="18"/>
        </w:rPr>
        <w:t xml:space="preserve"> </w:t>
      </w:r>
    </w:p>
    <w:p w14:paraId="5EEA2155" w14:textId="77777777" w:rsidR="00015D7C" w:rsidRDefault="00015D7C" w:rsidP="0032112C">
      <w:pPr>
        <w:pStyle w:val="Heading1nonumbering"/>
      </w:pPr>
      <w:r w:rsidRPr="0093483D">
        <w:t>Methodology</w:t>
      </w:r>
    </w:p>
    <w:p w14:paraId="570DB236" w14:textId="77777777" w:rsidR="00015D7C" w:rsidRPr="00AC0BC7" w:rsidRDefault="00015D7C" w:rsidP="0032112C">
      <w:pPr>
        <w:pStyle w:val="Heading2"/>
      </w:pPr>
      <w:r w:rsidRPr="00AC0BC7">
        <w:t>Data Collection</w:t>
      </w:r>
    </w:p>
    <w:p w14:paraId="437AB6E1" w14:textId="5652BAC5" w:rsidR="00015D7C" w:rsidRDefault="00015D7C" w:rsidP="0032112C">
      <w:pPr>
        <w:pStyle w:val="BodyText"/>
      </w:pPr>
      <w:r>
        <w:t>This indicator is based on causes of death as reported on death certificates. A death certificate typically provides space to designate an immediate cause of death along with up to 20 contributing causes, one of which will be identified as the underlying cause of death. The World Health Organization defines the underlying cause of death as “the disease or injury which initiated the train of events leading directly to death, or the circumstances of the accident or violence which produced the fatal injury.”</w:t>
      </w:r>
    </w:p>
    <w:p w14:paraId="55C6B9D7" w14:textId="77777777" w:rsidR="00015D7C" w:rsidRDefault="00015D7C" w:rsidP="0032112C">
      <w:pPr>
        <w:pStyle w:val="BodyText"/>
      </w:pPr>
      <w:r>
        <w:t xml:space="preserve">Causes of death are certified by a </w:t>
      </w:r>
      <w:r w:rsidRPr="00B13E8A">
        <w:rPr>
          <w:szCs w:val="18"/>
        </w:rPr>
        <w:t>physicia</w:t>
      </w:r>
      <w:r>
        <w:rPr>
          <w:szCs w:val="18"/>
        </w:rPr>
        <w:t>n, medical examiner, or coroner, and are</w:t>
      </w:r>
      <w:r>
        <w:t xml:space="preserve"> classified according to a standard set of codes called the ICD. Deaths for 1979 through 1998 are classified using the Ninth Revision of ICD (ICD-9). Deaths for 1999 and beyond are classified using the Tenth Revision (ICD-10).</w:t>
      </w:r>
    </w:p>
    <w:p w14:paraId="458F5719" w14:textId="77777777" w:rsidR="00015D7C" w:rsidRDefault="00015D7C" w:rsidP="0032112C">
      <w:pPr>
        <w:pStyle w:val="BodyText"/>
      </w:pPr>
      <w:r>
        <w:t xml:space="preserve">Although causes of death rely to some degree on the judgment of the physician, medical examiner, or coroner, the “measurements” for this indicator are expected to be generally reliable based on the medical knowledge required of the “measurer” and the use of a standard classification scheme based on widely accepted scientific definitions. </w:t>
      </w:r>
      <w:r w:rsidRPr="004A25DB">
        <w:t>When more than one cause or condition is entered, the underlying cause is determined by the sequence of conditions on the certificate, provisions of the ICD, and associated selection rules and modifications.</w:t>
      </w:r>
    </w:p>
    <w:p w14:paraId="40C17414" w14:textId="77777777" w:rsidR="00015D7C" w:rsidRPr="000D0358" w:rsidRDefault="00015D7C" w:rsidP="0032112C">
      <w:pPr>
        <w:pStyle w:val="BodyText"/>
        <w:rPr>
          <w:szCs w:val="22"/>
        </w:rPr>
      </w:pPr>
      <w:r>
        <w:t xml:space="preserve">Mortality data are collected for the entire population and, therefore, are not subject to sampling design error. For virtually every death that occurs in the United States, a physician, medical examiner, or </w:t>
      </w:r>
      <w:r>
        <w:lastRenderedPageBreak/>
        <w:t>coroner certifies the causes of death on an official death certificate. State registries collect these death certificates and report causes of death to</w:t>
      </w:r>
      <w:r w:rsidRPr="00487F13">
        <w:rPr>
          <w:szCs w:val="18"/>
        </w:rPr>
        <w:t xml:space="preserve"> the </w:t>
      </w:r>
      <w:r>
        <w:rPr>
          <w:szCs w:val="18"/>
        </w:rPr>
        <w:t>NVSS</w:t>
      </w:r>
      <w:r w:rsidRPr="00487F13">
        <w:rPr>
          <w:szCs w:val="18"/>
        </w:rPr>
        <w:t>.</w:t>
      </w:r>
      <w:r>
        <w:rPr>
          <w:szCs w:val="18"/>
        </w:rPr>
        <w:t xml:space="preserve"> NVSS’s</w:t>
      </w:r>
      <w:r w:rsidRPr="00B13E8A">
        <w:rPr>
          <w:szCs w:val="18"/>
        </w:rPr>
        <w:t xml:space="preserve"> shared relationships, standards, and procedures form the mechanism by which </w:t>
      </w:r>
      <w:r>
        <w:rPr>
          <w:szCs w:val="18"/>
        </w:rPr>
        <w:t xml:space="preserve">the </w:t>
      </w:r>
      <w:r>
        <w:t xml:space="preserve">CDC </w:t>
      </w:r>
      <w:r>
        <w:rPr>
          <w:szCs w:val="18"/>
        </w:rPr>
        <w:t>collects and disseminates the n</w:t>
      </w:r>
      <w:r w:rsidRPr="00B13E8A">
        <w:rPr>
          <w:szCs w:val="18"/>
        </w:rPr>
        <w:t>ation</w:t>
      </w:r>
      <w:r>
        <w:rPr>
          <w:szCs w:val="18"/>
        </w:rPr>
        <w:t>’</w:t>
      </w:r>
      <w:r w:rsidRPr="00B13E8A">
        <w:rPr>
          <w:szCs w:val="18"/>
        </w:rPr>
        <w:t>s official vital statistics.</w:t>
      </w:r>
    </w:p>
    <w:p w14:paraId="00E142DD" w14:textId="1A2B79C1" w:rsidR="00015D7C" w:rsidRDefault="00015D7C" w:rsidP="0032112C">
      <w:pPr>
        <w:pStyle w:val="BodyText"/>
      </w:pPr>
      <w:r w:rsidRPr="00B13E8A">
        <w:t xml:space="preserve">Standard forms for the collection of data and model procedures for the uniform registration of </w:t>
      </w:r>
      <w:r>
        <w:t>death</w:t>
      </w:r>
      <w:r w:rsidRPr="00B13E8A">
        <w:t xml:space="preserve"> events </w:t>
      </w:r>
      <w:r>
        <w:t>have been developed and recommended for s</w:t>
      </w:r>
      <w:r w:rsidRPr="00B13E8A">
        <w:t>tate use through</w:t>
      </w:r>
      <w:r>
        <w:t xml:space="preserve"> cooperative activities of the s</w:t>
      </w:r>
      <w:r w:rsidRPr="00B13E8A">
        <w:t xml:space="preserve">tates and </w:t>
      </w:r>
      <w:r>
        <w:t xml:space="preserve">CDC’s </w:t>
      </w:r>
      <w:r w:rsidRPr="00B13E8A">
        <w:t>NCHS.</w:t>
      </w:r>
      <w:r>
        <w:t xml:space="preserve"> All states collect</w:t>
      </w:r>
      <w:r w:rsidRPr="00B13E8A">
        <w:t xml:space="preserve"> a minimum data set specified by NCHS</w:t>
      </w:r>
      <w:r>
        <w:t>, including underlying causes of death</w:t>
      </w:r>
      <w:r w:rsidR="00BB1695">
        <w:t xml:space="preserve"> and basic demographic data (e.g., age</w:t>
      </w:r>
      <w:r w:rsidR="009F0C97">
        <w:t>,</w:t>
      </w:r>
      <w:r w:rsidR="00BB1695">
        <w:t xml:space="preserve"> race</w:t>
      </w:r>
      <w:r w:rsidR="009F0C97">
        <w:t>, and ethnicity</w:t>
      </w:r>
      <w:r w:rsidR="00BB1695">
        <w:t>)</w:t>
      </w:r>
      <w:r>
        <w:t xml:space="preserve">. CDC has published procedures for collecting vital statistics data </w:t>
      </w:r>
      <w:r w:rsidR="008F0A06">
        <w:fldChar w:fldCharType="begin"/>
      </w:r>
      <w:r w:rsidR="00AE1E5A">
        <w:instrText xml:space="preserve"> ADDIN ZOTERO_ITEM CSL_CITATION {"citationID":"rIdkMrnu","properties":{"formattedCitation":"(CDC, 1995)","plainCitation":"(CDC, 1995)","noteIndex":0},"citationItems":[{"id":27515,"uris":["http://zotero.org/groups/5470261/items/92CJEW8T"],"itemData":{"id":27515,"type":"report","number":"DHHS publication no. 95-1115","title":"Model State Vital Statistics Act and Regulations (revised April 1995)","URL":"www.cdc.gov/nchs/data/misc/mvsact92aacc.pdf","author":[{"literal":"CDC (U.S. Centers for Disease Control and Prevention)"}],"issued":{"date-parts":[["1995"]]}},"label":"page","suppress-author":true,"prefix":"CDC, "}],"schema":"https://github.com/citation-style-language/schema/raw/master/csl-citation.json"} </w:instrText>
      </w:r>
      <w:r w:rsidR="008F0A06">
        <w:fldChar w:fldCharType="separate"/>
      </w:r>
      <w:r w:rsidR="00AE1E5A" w:rsidRPr="00AE1E5A">
        <w:rPr>
          <w:rFonts w:ascii="Calibri" w:hAnsi="Calibri" w:cs="Calibri"/>
        </w:rPr>
        <w:t>(CDC, 1995)</w:t>
      </w:r>
      <w:r w:rsidR="008F0A06">
        <w:fldChar w:fldCharType="end"/>
      </w:r>
      <w:r>
        <w:t>.</w:t>
      </w:r>
    </w:p>
    <w:p w14:paraId="044F0ACF" w14:textId="77777777" w:rsidR="00015D7C" w:rsidRDefault="00015D7C" w:rsidP="0032112C">
      <w:pPr>
        <w:pStyle w:val="BodyText"/>
      </w:pPr>
      <w:r>
        <w:t>This indicator excludes d</w:t>
      </w:r>
      <w:r w:rsidRPr="00CB2A68">
        <w:t>eaths to foreign residents</w:t>
      </w:r>
      <w:r>
        <w:t xml:space="preserve"> and d</w:t>
      </w:r>
      <w:r w:rsidRPr="00CB2A68">
        <w:t>eaths to</w:t>
      </w:r>
      <w:r>
        <w:t xml:space="preserve"> U.S. residents who died abroad</w:t>
      </w:r>
      <w:r w:rsidRPr="00CB2A68">
        <w:t>.</w:t>
      </w:r>
    </w:p>
    <w:p w14:paraId="2BDD3899" w14:textId="5D976A1E" w:rsidR="00015D7C" w:rsidRDefault="00015D7C" w:rsidP="0032112C">
      <w:pPr>
        <w:pStyle w:val="BodyText"/>
      </w:pPr>
      <w:r>
        <w:t>General</w:t>
      </w:r>
      <w:r w:rsidRPr="0058392D">
        <w:t xml:space="preserve"> </w:t>
      </w:r>
      <w:r>
        <w:t>information regarding data collection</w:t>
      </w:r>
      <w:r w:rsidRPr="0058392D">
        <w:t xml:space="preserve"> </w:t>
      </w:r>
      <w:r>
        <w:t xml:space="preserve">procedures </w:t>
      </w:r>
      <w:r w:rsidRPr="0058392D">
        <w:t xml:space="preserve">can be found in the Model State Vital Statistics Act and Regulations </w:t>
      </w:r>
      <w:r w:rsidR="002B76BD">
        <w:fldChar w:fldCharType="begin"/>
      </w:r>
      <w:r w:rsidR="00AE1E5A">
        <w:instrText xml:space="preserve"> ADDIN ZOTERO_ITEM CSL_CITATION {"citationID":"vR0hR4bV","properties":{"formattedCitation":"(CDC, 1995)","plainCitation":"(CDC, 1995)","noteIndex":0},"citationItems":[{"id":27515,"uris":["http://zotero.org/groups/5470261/items/92CJEW8T"],"itemData":{"id":27515,"type":"report","number":"DHHS publication no. 95-1115","title":"Model State Vital Statistics Act and Regulations (revised April 1995)","URL":"www.cdc.gov/nchs/data/misc/mvsact92aacc.pdf","author":[{"literal":"CDC (U.S. Centers for Disease Control and Prevention)"}],"issued":{"date-parts":[["1995"]]}},"label":"page","suppress-author":true,"prefix":"CDC, "}],"schema":"https://github.com/citation-style-language/schema/raw/master/csl-citation.json"} </w:instrText>
      </w:r>
      <w:r w:rsidR="002B76BD">
        <w:fldChar w:fldCharType="separate"/>
      </w:r>
      <w:r w:rsidR="00AE1E5A" w:rsidRPr="00AE1E5A">
        <w:rPr>
          <w:rFonts w:ascii="Calibri" w:hAnsi="Calibri" w:cs="Calibri"/>
        </w:rPr>
        <w:t>(CDC, 1995)</w:t>
      </w:r>
      <w:r w:rsidR="002B76BD">
        <w:fldChar w:fldCharType="end"/>
      </w:r>
      <w:r>
        <w:t>. For additional d</w:t>
      </w:r>
      <w:r w:rsidRPr="00030E2A">
        <w:t>ocumentation</w:t>
      </w:r>
      <w:r>
        <w:t xml:space="preserve"> on the CDC WONDER database (EPA’s data source for part of this indicator) and its underlying sources, see:</w:t>
      </w:r>
      <w:r w:rsidRPr="00030E2A">
        <w:t xml:space="preserve"> </w:t>
      </w:r>
      <w:hyperlink r:id="rId21" w:history="1">
        <w:r w:rsidR="000A74DF" w:rsidRPr="00137EB4">
          <w:rPr>
            <w:rStyle w:val="Hyperlink"/>
          </w:rPr>
          <w:t>https://wonder.cdc.gov/wonder/help/main.html</w:t>
        </w:r>
      </w:hyperlink>
      <w:r>
        <w:t>.</w:t>
      </w:r>
      <w:r w:rsidR="000A74DF">
        <w:t xml:space="preserve"> </w:t>
      </w:r>
    </w:p>
    <w:p w14:paraId="4C991E7E" w14:textId="214C541E" w:rsidR="00015D7C" w:rsidRDefault="00015D7C" w:rsidP="0032112C">
      <w:pPr>
        <w:pStyle w:val="BodyText"/>
      </w:pPr>
      <w:r>
        <w:t>CDC has posted a</w:t>
      </w:r>
      <w:r w:rsidRPr="00030E2A">
        <w:t xml:space="preserve"> recommended </w:t>
      </w:r>
      <w:r>
        <w:t xml:space="preserve">standard </w:t>
      </w:r>
      <w:r w:rsidRPr="00030E2A">
        <w:t xml:space="preserve">certificate of death </w:t>
      </w:r>
      <w:r>
        <w:t xml:space="preserve">online </w:t>
      </w:r>
      <w:r w:rsidRPr="00030E2A">
        <w:t>at</w:t>
      </w:r>
      <w:r>
        <w:t>:</w:t>
      </w:r>
      <w:r w:rsidRPr="00030E2A">
        <w:t xml:space="preserve"> </w:t>
      </w:r>
      <w:hyperlink r:id="rId22" w:history="1">
        <w:r w:rsidRPr="00447171">
          <w:rPr>
            <w:rStyle w:val="Hyperlink"/>
            <w:szCs w:val="18"/>
          </w:rPr>
          <w:t>www.cdc.gov/nchs/data/dvs/DEATH11-03final-ACC.pdf</w:t>
        </w:r>
      </w:hyperlink>
      <w:r>
        <w:t xml:space="preserve">. For a complete list and description of the ICD codes used to classify causes of death, see: </w:t>
      </w:r>
      <w:hyperlink r:id="rId23" w:history="1">
        <w:r w:rsidR="00B61660" w:rsidRPr="006610A1">
          <w:rPr>
            <w:rStyle w:val="Hyperlink"/>
            <w:szCs w:val="18"/>
          </w:rPr>
          <w:t>https://icd.who.int/browse10/2019/en</w:t>
        </w:r>
      </w:hyperlink>
      <w:r>
        <w:t>.</w:t>
      </w:r>
    </w:p>
    <w:p w14:paraId="3AC94CDB" w14:textId="77777777" w:rsidR="00015D7C" w:rsidRPr="005C2459" w:rsidRDefault="00015D7C" w:rsidP="005046A7">
      <w:pPr>
        <w:pStyle w:val="Heading3"/>
      </w:pPr>
      <w:r>
        <w:t>Chicago Heat Wave Example</w:t>
      </w:r>
    </w:p>
    <w:p w14:paraId="3C7CF75F" w14:textId="77777777" w:rsidR="00015D7C" w:rsidRDefault="00015D7C" w:rsidP="0032112C">
      <w:pPr>
        <w:pStyle w:val="BodyText"/>
      </w:pPr>
      <w:r w:rsidRPr="002868C0">
        <w:t xml:space="preserve">The mortality </w:t>
      </w:r>
      <w:r>
        <w:t>data set</w:t>
      </w:r>
      <w:r w:rsidRPr="002868C0">
        <w:t xml:space="preserve"> shown in the example figure includes the entire Standard Metropolitan Statistical Area for Chicago, a region </w:t>
      </w:r>
      <w:r>
        <w:t>that</w:t>
      </w:r>
      <w:r w:rsidRPr="002868C0">
        <w:t xml:space="preserve"> contains </w:t>
      </w:r>
      <w:r>
        <w:t xml:space="preserve">Cook County plus </w:t>
      </w:r>
      <w:proofErr w:type="gramStart"/>
      <w:r w:rsidRPr="002868C0">
        <w:t>a number of</w:t>
      </w:r>
      <w:proofErr w:type="gramEnd"/>
      <w:r w:rsidRPr="002868C0">
        <w:t xml:space="preserve"> counties in Illinois and Indiana, from June 1 to August 31, 1995. </w:t>
      </w:r>
    </w:p>
    <w:p w14:paraId="030D171A" w14:textId="686F23CA" w:rsidR="00015D7C" w:rsidRDefault="00015D7C" w:rsidP="0032112C">
      <w:pPr>
        <w:pStyle w:val="BodyText"/>
      </w:pPr>
      <w:r>
        <w:t xml:space="preserve">In the text box above the example figure, values reflect data from Cook County only. </w:t>
      </w:r>
      <w:r w:rsidRPr="002868C0">
        <w:t>The number of deaths classified as “heat-related” on Cook County death certificates between July 11 and July 27, 1995</w:t>
      </w:r>
      <w:r>
        <w:t>,</w:t>
      </w:r>
      <w:r w:rsidRPr="002868C0">
        <w:t xml:space="preserve"> was reported to CDC by the Cook County Medical Examiner's Office. More information is available </w:t>
      </w:r>
      <w:r>
        <w:t>i</w:t>
      </w:r>
      <w:r w:rsidRPr="002868C0">
        <w:t>n CDC</w:t>
      </w:r>
      <w:r>
        <w:t>’s</w:t>
      </w:r>
      <w:r w:rsidRPr="002868C0">
        <w:t xml:space="preserve"> </w:t>
      </w:r>
      <w:r w:rsidRPr="000E43FD">
        <w:rPr>
          <w:i/>
        </w:rPr>
        <w:t>Morbidity and Mortality Weekly Report</w:t>
      </w:r>
      <w:r w:rsidR="00CB472D">
        <w:t xml:space="preserve"> </w:t>
      </w:r>
      <w:r w:rsidRPr="002868C0">
        <w:t>(</w:t>
      </w:r>
      <w:hyperlink r:id="rId24" w:history="1">
        <w:r w:rsidRPr="00115D49">
          <w:rPr>
            <w:rStyle w:val="Hyperlink"/>
            <w:rFonts w:ascii="Calibri" w:hAnsi="Calibri"/>
          </w:rPr>
          <w:t>www.cdc.gov/MMWR/preview/mmwrhtml/00038443.htm</w:t>
        </w:r>
      </w:hyperlink>
      <w:r w:rsidRPr="002868C0">
        <w:t>). Deaths in excess of the average daily death rate for Cook County w</w:t>
      </w:r>
      <w:r>
        <w:t>ere</w:t>
      </w:r>
      <w:r w:rsidRPr="002868C0">
        <w:t xml:space="preserve"> determined from death certificates obtained from the Illinois Department of Public Health</w:t>
      </w:r>
      <w:r>
        <w:t xml:space="preserve"> </w:t>
      </w:r>
      <w:r w:rsidR="006F403B">
        <w:fldChar w:fldCharType="begin"/>
      </w:r>
      <w:r w:rsidR="006F403B">
        <w:instrText xml:space="preserve"> ADDIN ZOTERO_ITEM CSL_CITATION {"citationID":"dagZwICu","properties":{"formattedCitation":"(Kaiser et al., 2007)","plainCitation":"(Kaiser et al., 2007)","noteIndex":0},"citationItems":[{"id":27509,"uris":["http://zotero.org/groups/5470261/items/H2BMYKXK"],"itemData":{"id":27509,"type":"article-journal","container-title":"American Journal of Public Health","DOI":"10.2105/AJPH.2006.100081","ISSN":"0090-0036","issue":"Suppl 1","journalAbbreviation":"Am J Public Health","note":"PMID: 17413056\nPMCID: PMC1854989","page":"S158-S162","source":"PubMed Central","title":"The effect of the 1995 heat wave in Chicago on all-cause and cause-specific mortality","URL":"https://www.ncbi.nlm.nih.gov/pmc/articles/PMC1854989/","volume":"97","author":[{"family":"Kaiser","given":"Reinhard"},{"family":"Le Tertre","given":"Alain"},{"family":"Schwartz","given":"Joel"},{"family":"Gotway","given":"Carol A."},{"family":"Daley","given":"W. Randolph"},{"family":"Rubin","given":"Carol H."}],"accessed":{"date-parts":[["2024",5,1]]},"issued":{"date-parts":[["2007",4]]}}}],"schema":"https://github.com/citation-style-language/schema/raw/master/csl-citation.json"} </w:instrText>
      </w:r>
      <w:r w:rsidR="006F403B">
        <w:fldChar w:fldCharType="separate"/>
      </w:r>
      <w:r w:rsidR="006F403B" w:rsidRPr="006F403B">
        <w:rPr>
          <w:rFonts w:ascii="Calibri" w:hAnsi="Calibri" w:cs="Calibri"/>
        </w:rPr>
        <w:t>(Kaiser et al., 2007)</w:t>
      </w:r>
      <w:r w:rsidR="006F403B">
        <w:fldChar w:fldCharType="end"/>
      </w:r>
      <w:r w:rsidRPr="001F0CC1">
        <w:t>.</w:t>
      </w:r>
    </w:p>
    <w:p w14:paraId="2195F90E" w14:textId="77777777" w:rsidR="00015D7C" w:rsidRPr="00AC0BC7" w:rsidRDefault="00015D7C" w:rsidP="0032112C">
      <w:pPr>
        <w:pStyle w:val="Heading2"/>
      </w:pPr>
      <w:r w:rsidRPr="00AC0BC7">
        <w:t>Indicator Derivation</w:t>
      </w:r>
    </w:p>
    <w:p w14:paraId="1180495B" w14:textId="0183ADF4" w:rsidR="00015D7C" w:rsidRDefault="00015D7C" w:rsidP="0032112C">
      <w:pPr>
        <w:pStyle w:val="BodyText"/>
      </w:pPr>
      <w:r>
        <w:t>This indicator reports annual rate</w:t>
      </w:r>
      <w:r w:rsidR="00BB1695">
        <w:t>s</w:t>
      </w:r>
      <w:r>
        <w:t xml:space="preserve"> of deaths per million population that have been classified with ICD codes related to exposure to natural sources of heat. The NVSS collects data on virtually all deaths that occur in the United States, meaning the data collection mechanism already covers the entire target population. Thus, it was not necessary to extrapolate the results on a spatial or population basis. No attempt has been made to reconstruct trends prior to the onset of comprehensive data collection, and no attempt has been made to project data forward into the future.</w:t>
      </w:r>
    </w:p>
    <w:p w14:paraId="4AFA5B91" w14:textId="77777777" w:rsidR="00015D7C" w:rsidRPr="00F731B5" w:rsidRDefault="00015D7C" w:rsidP="005046A7">
      <w:pPr>
        <w:pStyle w:val="Heading3"/>
      </w:pPr>
      <w:r>
        <w:t>Underlying Causes</w:t>
      </w:r>
    </w:p>
    <w:p w14:paraId="2FC24F1A" w14:textId="77777777" w:rsidR="00015D7C" w:rsidRPr="00CB2A68" w:rsidRDefault="00015D7C" w:rsidP="0032112C">
      <w:pPr>
        <w:pStyle w:val="BodyText"/>
        <w:rPr>
          <w:szCs w:val="18"/>
        </w:rPr>
      </w:pPr>
      <w:r>
        <w:t>The long-term trend line in Figure 1 reports the rate of deaths per year for which the underlying cause had one of the following ICD codes:</w:t>
      </w:r>
    </w:p>
    <w:p w14:paraId="4EF1D425" w14:textId="77777777" w:rsidR="00015D7C" w:rsidRDefault="00015D7C" w:rsidP="0032112C">
      <w:pPr>
        <w:pStyle w:val="ListBullet"/>
      </w:pPr>
      <w:r w:rsidRPr="00CB2A68">
        <w:lastRenderedPageBreak/>
        <w:t>ICD-9 code E900</w:t>
      </w:r>
      <w:r>
        <w:t>:</w:t>
      </w:r>
      <w:r w:rsidRPr="00CB2A68">
        <w:t xml:space="preserve"> “excessive heat—hyperthermia”</w:t>
      </w:r>
      <w:r>
        <w:t>—specifically subpart</w:t>
      </w:r>
      <w:r w:rsidRPr="00CB2A68">
        <w:t xml:space="preserve"> E900.0</w:t>
      </w:r>
      <w:r>
        <w:t>:</w:t>
      </w:r>
      <w:r w:rsidRPr="00CB2A68">
        <w:t xml:space="preserve"> “due to weather conditions</w:t>
      </w:r>
      <w:r>
        <w:t>.</w:t>
      </w:r>
      <w:r w:rsidRPr="00CB2A68">
        <w:t>”</w:t>
      </w:r>
    </w:p>
    <w:p w14:paraId="2E64695B" w14:textId="77777777" w:rsidR="00015D7C" w:rsidRDefault="00015D7C" w:rsidP="0032112C">
      <w:pPr>
        <w:pStyle w:val="ListBullet"/>
      </w:pPr>
      <w:r>
        <w:t>ICD-10 code</w:t>
      </w:r>
      <w:r w:rsidRPr="00CB2A68">
        <w:t xml:space="preserve"> X30</w:t>
      </w:r>
      <w:r>
        <w:t>:</w:t>
      </w:r>
      <w:r w:rsidRPr="00CB2A68">
        <w:t xml:space="preserve"> “exposure to excessive natural heat—hyperthermia.”</w:t>
      </w:r>
    </w:p>
    <w:p w14:paraId="4763C84C" w14:textId="77777777" w:rsidR="00015D7C" w:rsidRDefault="00015D7C" w:rsidP="0032112C">
      <w:pPr>
        <w:pStyle w:val="BodyText"/>
      </w:pPr>
      <w:r>
        <w:t>This component of the indicator is reported for the entire year. EPA developed this analysis based on the publicly available data compiled by CDC WONDER. EPA chose to use crude death rates rather than death counts because rates account for changes in total population over time. Population figures are obtained from CDC WONDER.</w:t>
      </w:r>
    </w:p>
    <w:p w14:paraId="7A4B11D8" w14:textId="77777777" w:rsidR="00015D7C" w:rsidRPr="00DA25F6" w:rsidRDefault="00015D7C" w:rsidP="00F97FFD">
      <w:pPr>
        <w:pStyle w:val="Heading3"/>
        <w:keepNext/>
      </w:pPr>
      <w:r>
        <w:t>Underlying and Contributing Causes</w:t>
      </w:r>
    </w:p>
    <w:p w14:paraId="56A89081" w14:textId="77777777" w:rsidR="00015D7C" w:rsidRDefault="00015D7C" w:rsidP="0032112C">
      <w:pPr>
        <w:pStyle w:val="BodyText"/>
      </w:pPr>
      <w:bookmarkStart w:id="3" w:name="_Hlk168235262"/>
      <w:r>
        <w:t>The “underlying and contributing causes” trend line in Figure 1 reports the rate of deaths for which either the underlying cause or the contributing causes had one or more of the following ICD codes:</w:t>
      </w:r>
    </w:p>
    <w:p w14:paraId="2CB10A65" w14:textId="77777777" w:rsidR="00015D7C" w:rsidRDefault="00015D7C" w:rsidP="0032112C">
      <w:pPr>
        <w:pStyle w:val="ListBullet"/>
      </w:pPr>
      <w:r>
        <w:t>ICD-10 code</w:t>
      </w:r>
      <w:r w:rsidRPr="00CB2A68">
        <w:t xml:space="preserve"> X30</w:t>
      </w:r>
      <w:r>
        <w:t>:</w:t>
      </w:r>
      <w:r w:rsidRPr="00CB2A68">
        <w:t xml:space="preserve"> “exposure to excessive natural heat—hyperthermia.”</w:t>
      </w:r>
    </w:p>
    <w:p w14:paraId="1EE89983" w14:textId="77777777" w:rsidR="00015D7C" w:rsidRDefault="00015D7C" w:rsidP="0032112C">
      <w:pPr>
        <w:pStyle w:val="ListBullet"/>
      </w:pPr>
      <w:r>
        <w:t>ICD-10 codes T67.0 through T67.9: “effects of heat and light.” Note that the T67 series is used only for contributing causes—never for the underlying cause.</w:t>
      </w:r>
    </w:p>
    <w:bookmarkEnd w:id="3"/>
    <w:p w14:paraId="6A8DB6FA" w14:textId="77777777" w:rsidR="00015D7C" w:rsidRDefault="00015D7C" w:rsidP="0032112C">
      <w:pPr>
        <w:pStyle w:val="BodyText"/>
      </w:pPr>
      <w:r>
        <w:t>To reduce the chances of including deaths that were incorrectly classified, EPHT did not count the following deaths:</w:t>
      </w:r>
    </w:p>
    <w:p w14:paraId="0CEE1603" w14:textId="77777777" w:rsidR="00015D7C" w:rsidRDefault="00015D7C" w:rsidP="0032112C">
      <w:pPr>
        <w:pStyle w:val="ListBullet"/>
      </w:pPr>
      <w:r>
        <w:t>Deaths occurring during colder months (October through April). Thus, the analysis is limited to May–September.</w:t>
      </w:r>
    </w:p>
    <w:p w14:paraId="24CF162E" w14:textId="65EC61B1" w:rsidR="00015D7C" w:rsidRDefault="00015D7C" w:rsidP="0032112C">
      <w:pPr>
        <w:pStyle w:val="ListBullet"/>
      </w:pPr>
      <w:r>
        <w:t>Any deaths for which the ICD-10</w:t>
      </w:r>
      <w:r w:rsidRPr="00816766">
        <w:t xml:space="preserve"> code W92, </w:t>
      </w:r>
      <w:r>
        <w:t>“</w:t>
      </w:r>
      <w:r w:rsidRPr="00816766">
        <w:t xml:space="preserve">exposure to </w:t>
      </w:r>
      <w:r>
        <w:t xml:space="preserve">excessive heat of </w:t>
      </w:r>
      <w:r w:rsidRPr="00816766">
        <w:t xml:space="preserve">man-made </w:t>
      </w:r>
      <w:r>
        <w:t>origin</w:t>
      </w:r>
      <w:r w:rsidRPr="00816766">
        <w:t>,</w:t>
      </w:r>
      <w:r>
        <w:t>”</w:t>
      </w:r>
      <w:r w:rsidRPr="00816766">
        <w:t xml:space="preserve"> appears in any cause field.</w:t>
      </w:r>
      <w:r>
        <w:t xml:space="preserve"> This step removes certain occupation-related deaths.</w:t>
      </w:r>
    </w:p>
    <w:p w14:paraId="12D6E4B8" w14:textId="1031E022" w:rsidR="00015D7C" w:rsidRDefault="00015D7C" w:rsidP="0032112C">
      <w:pPr>
        <w:pStyle w:val="BodyText"/>
      </w:pPr>
      <w:r>
        <w:t>Foreign residents were excluded. EPHT obtained death counts directly from NVSS, rather than using the processed data available through CDC WONDER. EPHT has not yet applied its methods to data prior to 1999. For a more detailed description of EPHT’s analytical methods, see the indicator documentation at:</w:t>
      </w:r>
      <w:r w:rsidR="0032517D">
        <w:t xml:space="preserve"> </w:t>
      </w:r>
      <w:hyperlink r:id="rId25" w:history="1">
        <w:r w:rsidR="006766C7" w:rsidRPr="006766C7">
          <w:rPr>
            <w:rStyle w:val="Hyperlink"/>
          </w:rPr>
          <w:t>https://ephtracking.cdc.gov/indicatorPages</w:t>
        </w:r>
      </w:hyperlink>
      <w:r>
        <w:t>. Crude death rates were calculated in the same manner as with the underlying causes time series.</w:t>
      </w:r>
    </w:p>
    <w:p w14:paraId="09DC18D6" w14:textId="77DFE597" w:rsidR="00BB1695" w:rsidRPr="00DA25F6" w:rsidRDefault="00BB1695" w:rsidP="00BB1695">
      <w:pPr>
        <w:pStyle w:val="Heading3"/>
      </w:pPr>
      <w:r>
        <w:t>Underlying and Contributing Causes: Cardiovascular Disease</w:t>
      </w:r>
    </w:p>
    <w:p w14:paraId="3978CF02" w14:textId="1F7342BB" w:rsidR="0010131A" w:rsidRDefault="0010131A" w:rsidP="004142A0">
      <w:pPr>
        <w:pStyle w:val="BodyText"/>
      </w:pPr>
      <w:r>
        <w:t xml:space="preserve">The </w:t>
      </w:r>
      <w:r w:rsidR="00C625CB">
        <w:t>lines</w:t>
      </w:r>
      <w:r>
        <w:t xml:space="preserve"> in Figure 2 report </w:t>
      </w:r>
      <w:r w:rsidR="00FC5C74">
        <w:t xml:space="preserve">crude </w:t>
      </w:r>
      <w:r>
        <w:t>rate</w:t>
      </w:r>
      <w:r w:rsidR="00FC5C74">
        <w:t>s</w:t>
      </w:r>
      <w:r>
        <w:t xml:space="preserve"> of deaths for which diseases of the circulatory system were listed as the underlying cause of death and heat was listed as a contributing factor. The underlying causes of death </w:t>
      </w:r>
      <w:r w:rsidR="00437EA1">
        <w:t xml:space="preserve">for Figure 2 </w:t>
      </w:r>
      <w:r>
        <w:t>include the following ICD codes:</w:t>
      </w:r>
    </w:p>
    <w:p w14:paraId="528C601A" w14:textId="4FB58B2B" w:rsidR="0010131A" w:rsidRPr="005D0320" w:rsidRDefault="0010131A" w:rsidP="004142A0">
      <w:pPr>
        <w:pStyle w:val="ListBullet"/>
        <w:rPr>
          <w:rFonts w:eastAsia="Tahoma"/>
        </w:rPr>
      </w:pPr>
      <w:r w:rsidRPr="005D0320">
        <w:rPr>
          <w:rFonts w:eastAsia="Tahoma"/>
        </w:rPr>
        <w:t>ICD-10 codes I00</w:t>
      </w:r>
      <w:r w:rsidR="00FC5C74">
        <w:t xml:space="preserve"> through </w:t>
      </w:r>
      <w:r w:rsidRPr="005D0320">
        <w:rPr>
          <w:rFonts w:eastAsia="Tahoma"/>
        </w:rPr>
        <w:t>I0</w:t>
      </w:r>
      <w:r w:rsidR="00437EA1">
        <w:rPr>
          <w:rFonts w:eastAsia="Tahoma"/>
        </w:rPr>
        <w:t xml:space="preserve">2: </w:t>
      </w:r>
      <w:r w:rsidR="00BB1695">
        <w:rPr>
          <w:rFonts w:eastAsia="Tahoma"/>
        </w:rPr>
        <w:t>“</w:t>
      </w:r>
      <w:r w:rsidR="00437EA1">
        <w:rPr>
          <w:rFonts w:eastAsia="Tahoma"/>
        </w:rPr>
        <w:t>acute rheumatic f</w:t>
      </w:r>
      <w:r w:rsidRPr="005D0320">
        <w:rPr>
          <w:rFonts w:eastAsia="Tahoma"/>
        </w:rPr>
        <w:t>ever</w:t>
      </w:r>
      <w:r w:rsidR="00FC5C74">
        <w:rPr>
          <w:rFonts w:eastAsia="Tahoma"/>
        </w:rPr>
        <w:t>.</w:t>
      </w:r>
      <w:r w:rsidR="00BB1695">
        <w:rPr>
          <w:rFonts w:eastAsia="Tahoma"/>
        </w:rPr>
        <w:t>”</w:t>
      </w:r>
      <w:r w:rsidRPr="005D0320">
        <w:rPr>
          <w:rFonts w:eastAsia="Tahoma"/>
        </w:rPr>
        <w:t xml:space="preserve"> </w:t>
      </w:r>
    </w:p>
    <w:p w14:paraId="6E4F9B50" w14:textId="3FE8FFB5" w:rsidR="0010131A" w:rsidRPr="005D0320" w:rsidRDefault="00437EA1" w:rsidP="004142A0">
      <w:pPr>
        <w:pStyle w:val="ListBullet"/>
        <w:rPr>
          <w:rFonts w:eastAsia="Tahoma"/>
        </w:rPr>
      </w:pPr>
      <w:r>
        <w:rPr>
          <w:rFonts w:eastAsia="Tahoma"/>
        </w:rPr>
        <w:t>ICD-10 codes</w:t>
      </w:r>
      <w:r w:rsidR="0010131A" w:rsidRPr="005D0320">
        <w:rPr>
          <w:rFonts w:eastAsia="Tahoma"/>
        </w:rPr>
        <w:t xml:space="preserve"> I05</w:t>
      </w:r>
      <w:r w:rsidR="00FC5C74">
        <w:t xml:space="preserve"> through </w:t>
      </w:r>
      <w:r w:rsidR="0010131A" w:rsidRPr="005D0320">
        <w:rPr>
          <w:rFonts w:eastAsia="Tahoma"/>
        </w:rPr>
        <w:t xml:space="preserve">I09: </w:t>
      </w:r>
      <w:r w:rsidR="00BB1695">
        <w:rPr>
          <w:rFonts w:eastAsia="Tahoma"/>
        </w:rPr>
        <w:t>“</w:t>
      </w:r>
      <w:r>
        <w:rPr>
          <w:rFonts w:eastAsia="Tahoma"/>
        </w:rPr>
        <w:t>chronic r</w:t>
      </w:r>
      <w:r w:rsidR="0010131A" w:rsidRPr="005D0320">
        <w:rPr>
          <w:rFonts w:eastAsia="Tahoma"/>
        </w:rPr>
        <w:t xml:space="preserve">heumatic </w:t>
      </w:r>
      <w:r>
        <w:rPr>
          <w:rFonts w:eastAsia="Tahoma"/>
        </w:rPr>
        <w:t>heart diseases</w:t>
      </w:r>
      <w:r w:rsidR="00FC5C74">
        <w:rPr>
          <w:rFonts w:eastAsia="Tahoma"/>
        </w:rPr>
        <w:t>.</w:t>
      </w:r>
      <w:r w:rsidR="00BB1695">
        <w:rPr>
          <w:rFonts w:eastAsia="Tahoma"/>
        </w:rPr>
        <w:t>”</w:t>
      </w:r>
    </w:p>
    <w:p w14:paraId="7F062C0B" w14:textId="65311674" w:rsidR="0010131A" w:rsidRPr="005D0320" w:rsidRDefault="0010131A" w:rsidP="004142A0">
      <w:pPr>
        <w:pStyle w:val="ListBullet"/>
        <w:rPr>
          <w:rFonts w:eastAsia="Tahoma"/>
        </w:rPr>
      </w:pPr>
      <w:r w:rsidRPr="005D0320">
        <w:rPr>
          <w:rFonts w:eastAsia="Tahoma"/>
        </w:rPr>
        <w:t>ICD-10 codes</w:t>
      </w:r>
      <w:r w:rsidR="00437EA1">
        <w:rPr>
          <w:rFonts w:eastAsia="Tahoma"/>
        </w:rPr>
        <w:t xml:space="preserve"> I10</w:t>
      </w:r>
      <w:r w:rsidR="00FC5C74">
        <w:t xml:space="preserve"> through </w:t>
      </w:r>
      <w:r w:rsidR="00437EA1">
        <w:rPr>
          <w:rFonts w:eastAsia="Tahoma"/>
        </w:rPr>
        <w:t xml:space="preserve">I15: </w:t>
      </w:r>
      <w:r w:rsidR="00BB1695">
        <w:rPr>
          <w:rFonts w:eastAsia="Tahoma"/>
        </w:rPr>
        <w:t>“</w:t>
      </w:r>
      <w:r w:rsidR="00437EA1">
        <w:rPr>
          <w:rFonts w:eastAsia="Tahoma"/>
        </w:rPr>
        <w:t>h</w:t>
      </w:r>
      <w:r w:rsidRPr="005D0320">
        <w:rPr>
          <w:rFonts w:eastAsia="Tahoma"/>
        </w:rPr>
        <w:t>ypertensive diseases</w:t>
      </w:r>
      <w:r w:rsidR="00FC5C74">
        <w:rPr>
          <w:rFonts w:eastAsia="Tahoma"/>
        </w:rPr>
        <w:t>.</w:t>
      </w:r>
      <w:r w:rsidR="00BB1695">
        <w:rPr>
          <w:rFonts w:eastAsia="Tahoma"/>
        </w:rPr>
        <w:t>”</w:t>
      </w:r>
    </w:p>
    <w:p w14:paraId="2AD49610" w14:textId="36471C15" w:rsidR="0010131A" w:rsidRPr="005D0320" w:rsidRDefault="0010131A" w:rsidP="004142A0">
      <w:pPr>
        <w:pStyle w:val="ListBullet"/>
        <w:rPr>
          <w:rFonts w:eastAsia="Tahoma"/>
        </w:rPr>
      </w:pPr>
      <w:r w:rsidRPr="005D0320">
        <w:rPr>
          <w:rFonts w:eastAsia="Tahoma"/>
        </w:rPr>
        <w:t>ICD-10 codes</w:t>
      </w:r>
      <w:r w:rsidR="00437EA1">
        <w:rPr>
          <w:rFonts w:eastAsia="Tahoma"/>
        </w:rPr>
        <w:t xml:space="preserve"> I20</w:t>
      </w:r>
      <w:r w:rsidR="00FC5C74">
        <w:t xml:space="preserve"> through </w:t>
      </w:r>
      <w:r w:rsidR="00437EA1">
        <w:rPr>
          <w:rFonts w:eastAsia="Tahoma"/>
        </w:rPr>
        <w:t xml:space="preserve">I25: </w:t>
      </w:r>
      <w:r w:rsidR="00BB1695">
        <w:rPr>
          <w:rFonts w:eastAsia="Tahoma"/>
        </w:rPr>
        <w:t>“</w:t>
      </w:r>
      <w:proofErr w:type="spellStart"/>
      <w:r w:rsidR="00437EA1">
        <w:rPr>
          <w:rFonts w:eastAsia="Tahoma"/>
        </w:rPr>
        <w:t>i</w:t>
      </w:r>
      <w:r w:rsidRPr="005D0320">
        <w:rPr>
          <w:rFonts w:eastAsia="Tahoma"/>
        </w:rPr>
        <w:t>sch</w:t>
      </w:r>
      <w:r w:rsidR="00437EA1">
        <w:rPr>
          <w:rFonts w:eastAsia="Tahoma"/>
        </w:rPr>
        <w:t>aemic</w:t>
      </w:r>
      <w:proofErr w:type="spellEnd"/>
      <w:r w:rsidR="00437EA1">
        <w:rPr>
          <w:rFonts w:eastAsia="Tahoma"/>
        </w:rPr>
        <w:t xml:space="preserve"> heart d</w:t>
      </w:r>
      <w:r w:rsidRPr="005D0320">
        <w:rPr>
          <w:rFonts w:eastAsia="Tahoma"/>
        </w:rPr>
        <w:t>isease</w:t>
      </w:r>
      <w:r w:rsidR="00FC5C74">
        <w:rPr>
          <w:rFonts w:eastAsia="Tahoma"/>
        </w:rPr>
        <w:t>.</w:t>
      </w:r>
      <w:r w:rsidR="00BB1695">
        <w:rPr>
          <w:rFonts w:eastAsia="Tahoma"/>
        </w:rPr>
        <w:t>”</w:t>
      </w:r>
    </w:p>
    <w:p w14:paraId="388DA53A" w14:textId="6D8F3BA9" w:rsidR="0010131A" w:rsidRPr="005D0320" w:rsidRDefault="0010131A" w:rsidP="004142A0">
      <w:pPr>
        <w:pStyle w:val="ListBullet"/>
        <w:rPr>
          <w:rFonts w:eastAsia="Tahoma"/>
        </w:rPr>
      </w:pPr>
      <w:r w:rsidRPr="005D0320">
        <w:rPr>
          <w:rFonts w:eastAsia="Tahoma"/>
        </w:rPr>
        <w:lastRenderedPageBreak/>
        <w:t>ICD-10 codes</w:t>
      </w:r>
      <w:r w:rsidR="00437EA1">
        <w:rPr>
          <w:rFonts w:eastAsia="Tahoma"/>
        </w:rPr>
        <w:t xml:space="preserve"> I26</w:t>
      </w:r>
      <w:r w:rsidR="00FC5C74">
        <w:t xml:space="preserve"> through </w:t>
      </w:r>
      <w:r w:rsidR="00437EA1">
        <w:rPr>
          <w:rFonts w:eastAsia="Tahoma"/>
        </w:rPr>
        <w:t xml:space="preserve">I28: </w:t>
      </w:r>
      <w:r w:rsidR="00BB1695">
        <w:rPr>
          <w:rFonts w:eastAsia="Tahoma"/>
        </w:rPr>
        <w:t>“</w:t>
      </w:r>
      <w:r w:rsidR="00437EA1">
        <w:rPr>
          <w:rFonts w:eastAsia="Tahoma"/>
        </w:rPr>
        <w:t>pulmonary heart d</w:t>
      </w:r>
      <w:r w:rsidRPr="005D0320">
        <w:rPr>
          <w:rFonts w:eastAsia="Tahoma"/>
        </w:rPr>
        <w:t>isease</w:t>
      </w:r>
      <w:r w:rsidR="00437EA1">
        <w:rPr>
          <w:rFonts w:eastAsia="Tahoma"/>
        </w:rPr>
        <w:t xml:space="preserve"> and diseases of pulmonary circulation</w:t>
      </w:r>
      <w:r w:rsidR="00FC5C74">
        <w:rPr>
          <w:rFonts w:eastAsia="Tahoma"/>
        </w:rPr>
        <w:t>.</w:t>
      </w:r>
      <w:r w:rsidR="00BB1695">
        <w:rPr>
          <w:rFonts w:eastAsia="Tahoma"/>
        </w:rPr>
        <w:t>”</w:t>
      </w:r>
    </w:p>
    <w:p w14:paraId="2D086B80" w14:textId="468B6AB7" w:rsidR="0010131A" w:rsidRPr="005D0320" w:rsidRDefault="00437EA1" w:rsidP="004142A0">
      <w:pPr>
        <w:pStyle w:val="ListBullet"/>
        <w:rPr>
          <w:rFonts w:eastAsia="Tahoma"/>
        </w:rPr>
      </w:pPr>
      <w:r>
        <w:rPr>
          <w:rFonts w:eastAsia="Tahoma"/>
        </w:rPr>
        <w:t>ICD-10 codes I30</w:t>
      </w:r>
      <w:r w:rsidR="00FC5C74">
        <w:t xml:space="preserve"> through </w:t>
      </w:r>
      <w:r>
        <w:rPr>
          <w:rFonts w:eastAsia="Tahoma"/>
        </w:rPr>
        <w:t xml:space="preserve">I51: </w:t>
      </w:r>
      <w:r w:rsidR="00BB1695">
        <w:rPr>
          <w:rFonts w:eastAsia="Tahoma"/>
        </w:rPr>
        <w:t>“</w:t>
      </w:r>
      <w:r>
        <w:rPr>
          <w:rFonts w:eastAsia="Tahoma"/>
        </w:rPr>
        <w:t>o</w:t>
      </w:r>
      <w:r w:rsidR="0010131A" w:rsidRPr="005D0320">
        <w:rPr>
          <w:rFonts w:eastAsia="Tahoma"/>
        </w:rPr>
        <w:t>ther forms of heart disease</w:t>
      </w:r>
      <w:r w:rsidR="00FC5C74">
        <w:rPr>
          <w:rFonts w:eastAsia="Tahoma"/>
        </w:rPr>
        <w:t>.</w:t>
      </w:r>
      <w:r w:rsidR="00BB1695">
        <w:rPr>
          <w:rFonts w:eastAsia="Tahoma"/>
        </w:rPr>
        <w:t>”</w:t>
      </w:r>
    </w:p>
    <w:p w14:paraId="3710E7A4" w14:textId="3664849A" w:rsidR="0010131A" w:rsidRPr="005D0320" w:rsidRDefault="0010131A" w:rsidP="004142A0">
      <w:pPr>
        <w:pStyle w:val="ListBullet"/>
        <w:rPr>
          <w:rFonts w:eastAsia="Tahoma"/>
        </w:rPr>
      </w:pPr>
      <w:r w:rsidRPr="005D0320">
        <w:rPr>
          <w:rFonts w:eastAsia="Tahoma"/>
        </w:rPr>
        <w:t>ICD-10 codes I60</w:t>
      </w:r>
      <w:r w:rsidR="00FC5C74">
        <w:t xml:space="preserve"> through </w:t>
      </w:r>
      <w:r w:rsidR="00437EA1">
        <w:rPr>
          <w:rFonts w:eastAsia="Tahoma"/>
        </w:rPr>
        <w:t xml:space="preserve">I69: </w:t>
      </w:r>
      <w:r w:rsidR="00BB1695">
        <w:rPr>
          <w:rFonts w:eastAsia="Tahoma"/>
        </w:rPr>
        <w:t>“</w:t>
      </w:r>
      <w:r w:rsidR="00437EA1">
        <w:rPr>
          <w:rFonts w:eastAsia="Tahoma"/>
        </w:rPr>
        <w:t>cerebrovascular d</w:t>
      </w:r>
      <w:r w:rsidRPr="005D0320">
        <w:rPr>
          <w:rFonts w:eastAsia="Tahoma"/>
        </w:rPr>
        <w:t>isease</w:t>
      </w:r>
      <w:r w:rsidR="00FC5C74">
        <w:rPr>
          <w:rFonts w:eastAsia="Tahoma"/>
        </w:rPr>
        <w:t>.</w:t>
      </w:r>
      <w:r w:rsidR="00BB1695">
        <w:rPr>
          <w:rFonts w:eastAsia="Tahoma"/>
        </w:rPr>
        <w:t>”</w:t>
      </w:r>
    </w:p>
    <w:p w14:paraId="1E9345C3" w14:textId="1A10353C" w:rsidR="0010131A" w:rsidRPr="005D0320" w:rsidRDefault="00437EA1" w:rsidP="004142A0">
      <w:pPr>
        <w:pStyle w:val="ListBullet"/>
        <w:rPr>
          <w:rFonts w:eastAsia="Tahoma"/>
        </w:rPr>
      </w:pPr>
      <w:r>
        <w:rPr>
          <w:rFonts w:eastAsia="Tahoma"/>
        </w:rPr>
        <w:t>ICD-10 codes I70</w:t>
      </w:r>
      <w:r w:rsidR="00FC5C74">
        <w:t xml:space="preserve"> through </w:t>
      </w:r>
      <w:r>
        <w:rPr>
          <w:rFonts w:eastAsia="Tahoma"/>
        </w:rPr>
        <w:t xml:space="preserve">I78: </w:t>
      </w:r>
      <w:r w:rsidR="00BB1695">
        <w:rPr>
          <w:rFonts w:eastAsia="Tahoma"/>
        </w:rPr>
        <w:t>“</w:t>
      </w:r>
      <w:r>
        <w:rPr>
          <w:rFonts w:eastAsia="Tahoma"/>
        </w:rPr>
        <w:t>d</w:t>
      </w:r>
      <w:r w:rsidR="0010131A" w:rsidRPr="005D0320">
        <w:rPr>
          <w:rFonts w:eastAsia="Tahoma"/>
        </w:rPr>
        <w:t>iseases of arteries, arterioles and capillaries</w:t>
      </w:r>
      <w:r w:rsidR="00FC5C74">
        <w:rPr>
          <w:rFonts w:eastAsia="Tahoma"/>
        </w:rPr>
        <w:t>.</w:t>
      </w:r>
      <w:r w:rsidR="00BB1695">
        <w:rPr>
          <w:rFonts w:eastAsia="Tahoma"/>
        </w:rPr>
        <w:t>”</w:t>
      </w:r>
    </w:p>
    <w:p w14:paraId="12E812C0" w14:textId="79CCD5AD" w:rsidR="0010131A" w:rsidRPr="005D0320" w:rsidRDefault="00437EA1" w:rsidP="004142A0">
      <w:pPr>
        <w:pStyle w:val="ListBullet"/>
        <w:rPr>
          <w:rFonts w:eastAsia="Tahoma"/>
        </w:rPr>
      </w:pPr>
      <w:r>
        <w:rPr>
          <w:rFonts w:eastAsia="Tahoma"/>
        </w:rPr>
        <w:t>ICD-10 codes I80</w:t>
      </w:r>
      <w:r w:rsidR="00FC5C74">
        <w:t xml:space="preserve"> through </w:t>
      </w:r>
      <w:r>
        <w:rPr>
          <w:rFonts w:eastAsia="Tahoma"/>
        </w:rPr>
        <w:t xml:space="preserve">I89: </w:t>
      </w:r>
      <w:r w:rsidR="00BB1695">
        <w:rPr>
          <w:rFonts w:eastAsia="Tahoma"/>
        </w:rPr>
        <w:t>“</w:t>
      </w:r>
      <w:r>
        <w:rPr>
          <w:rFonts w:eastAsia="Tahoma"/>
        </w:rPr>
        <w:t>d</w:t>
      </w:r>
      <w:r w:rsidR="0010131A" w:rsidRPr="005D0320">
        <w:rPr>
          <w:rFonts w:eastAsia="Tahoma"/>
        </w:rPr>
        <w:t>iseases of veins, lymphatic vessels and lymph nodes</w:t>
      </w:r>
      <w:r w:rsidR="00FC5C74">
        <w:rPr>
          <w:rFonts w:eastAsia="Tahoma"/>
        </w:rPr>
        <w:t>.</w:t>
      </w:r>
      <w:r w:rsidR="00BB1695">
        <w:rPr>
          <w:rFonts w:eastAsia="Tahoma"/>
        </w:rPr>
        <w:t>”</w:t>
      </w:r>
    </w:p>
    <w:p w14:paraId="2F53D9FB" w14:textId="05C2B70E" w:rsidR="0010131A" w:rsidRDefault="0010131A" w:rsidP="004142A0">
      <w:pPr>
        <w:pStyle w:val="ListBullet"/>
      </w:pPr>
      <w:r w:rsidRPr="005D0320">
        <w:rPr>
          <w:rFonts w:eastAsia="Tahoma"/>
        </w:rPr>
        <w:t>ICD-10 codes I95</w:t>
      </w:r>
      <w:r w:rsidR="00FC5C74">
        <w:t xml:space="preserve"> through </w:t>
      </w:r>
      <w:r w:rsidRPr="005D0320">
        <w:rPr>
          <w:rFonts w:eastAsia="Tahoma"/>
        </w:rPr>
        <w:t xml:space="preserve">I99: </w:t>
      </w:r>
      <w:r w:rsidR="00BB1695">
        <w:rPr>
          <w:rFonts w:eastAsia="Tahoma"/>
        </w:rPr>
        <w:t>“</w:t>
      </w:r>
      <w:r w:rsidR="00437EA1">
        <w:rPr>
          <w:rFonts w:eastAsia="Tahoma"/>
        </w:rPr>
        <w:t>o</w:t>
      </w:r>
      <w:r w:rsidRPr="005D0320">
        <w:rPr>
          <w:rFonts w:eastAsia="Tahoma"/>
        </w:rPr>
        <w:t>ther and unspecified disorders of the circulatory</w:t>
      </w:r>
      <w:r w:rsidR="00437EA1">
        <w:rPr>
          <w:rFonts w:eastAsia="Tahoma"/>
        </w:rPr>
        <w:t xml:space="preserve"> system</w:t>
      </w:r>
      <w:r w:rsidR="00FC5C74">
        <w:rPr>
          <w:rFonts w:eastAsia="Tahoma"/>
        </w:rPr>
        <w:t>.</w:t>
      </w:r>
      <w:r w:rsidR="00437EA1">
        <w:rPr>
          <w:rFonts w:eastAsia="Tahoma"/>
        </w:rPr>
        <w:t>”</w:t>
      </w:r>
    </w:p>
    <w:p w14:paraId="41C2DC6C" w14:textId="19F558DF" w:rsidR="00437EA1" w:rsidRPr="00437EA1" w:rsidRDefault="00BB1695">
      <w:pPr>
        <w:pStyle w:val="BodyText"/>
      </w:pPr>
      <w:r>
        <w:t>T</w:t>
      </w:r>
      <w:r w:rsidR="004D61D6">
        <w:t xml:space="preserve">o associate </w:t>
      </w:r>
      <w:r w:rsidR="00437EA1">
        <w:t xml:space="preserve">diseases of the circulatory system </w:t>
      </w:r>
      <w:r w:rsidR="004D61D6">
        <w:t xml:space="preserve">(underlying cause) </w:t>
      </w:r>
      <w:r w:rsidR="00437EA1">
        <w:t>with heat</w:t>
      </w:r>
      <w:r w:rsidR="004D61D6">
        <w:t>,</w:t>
      </w:r>
      <w:r w:rsidR="00437EA1">
        <w:t xml:space="preserve"> the</w:t>
      </w:r>
      <w:r w:rsidR="00437EA1" w:rsidRPr="00437EA1">
        <w:t xml:space="preserve"> following ICD codes</w:t>
      </w:r>
      <w:r w:rsidR="004D61D6">
        <w:t xml:space="preserve"> were evaluated as a contributing cause for each death</w:t>
      </w:r>
      <w:r w:rsidR="00437EA1" w:rsidRPr="00437EA1">
        <w:t>:</w:t>
      </w:r>
    </w:p>
    <w:p w14:paraId="6B8EFAFE" w14:textId="77777777" w:rsidR="00437EA1" w:rsidRDefault="00437EA1" w:rsidP="00437EA1">
      <w:pPr>
        <w:pStyle w:val="ListBullet"/>
      </w:pPr>
      <w:r>
        <w:t>ICD-10 code</w:t>
      </w:r>
      <w:r w:rsidRPr="00CB2A68">
        <w:t xml:space="preserve"> X30</w:t>
      </w:r>
      <w:r>
        <w:t>:</w:t>
      </w:r>
      <w:r w:rsidRPr="00CB2A68">
        <w:t xml:space="preserve"> “exposure to excessive natural heat—hyperthermia.”</w:t>
      </w:r>
    </w:p>
    <w:p w14:paraId="673FC15B" w14:textId="33AFE900" w:rsidR="00437EA1" w:rsidRDefault="00437EA1" w:rsidP="00437EA1">
      <w:pPr>
        <w:pStyle w:val="ListBullet"/>
      </w:pPr>
      <w:r>
        <w:t xml:space="preserve">ICD-10 codes T67.0 through T67.9: “effects of heat and light.” </w:t>
      </w:r>
    </w:p>
    <w:p w14:paraId="5AA0DC4A" w14:textId="14A5DACA" w:rsidR="00437EA1" w:rsidRDefault="004D61D6" w:rsidP="005046A7">
      <w:pPr>
        <w:pStyle w:val="Heading3"/>
        <w:rPr>
          <w:i w:val="0"/>
        </w:rPr>
      </w:pPr>
      <w:r>
        <w:rPr>
          <w:i w:val="0"/>
        </w:rPr>
        <w:t xml:space="preserve">Figure 2 presents </w:t>
      </w:r>
      <w:r w:rsidR="00FC5C74">
        <w:rPr>
          <w:i w:val="0"/>
        </w:rPr>
        <w:t>data</w:t>
      </w:r>
      <w:r>
        <w:rPr>
          <w:i w:val="0"/>
        </w:rPr>
        <w:t xml:space="preserve"> for th</w:t>
      </w:r>
      <w:r w:rsidR="00FC5C74">
        <w:rPr>
          <w:i w:val="0"/>
        </w:rPr>
        <w:t>ree</w:t>
      </w:r>
      <w:r>
        <w:rPr>
          <w:i w:val="0"/>
        </w:rPr>
        <w:t xml:space="preserve"> </w:t>
      </w:r>
      <w:r w:rsidR="00C625CB">
        <w:rPr>
          <w:i w:val="0"/>
        </w:rPr>
        <w:t xml:space="preserve">demographic </w:t>
      </w:r>
      <w:r>
        <w:rPr>
          <w:i w:val="0"/>
        </w:rPr>
        <w:t xml:space="preserve">groups: the general population, individuals </w:t>
      </w:r>
      <w:r w:rsidR="00FC5C74">
        <w:rPr>
          <w:i w:val="0"/>
        </w:rPr>
        <w:t>age 65+</w:t>
      </w:r>
      <w:r>
        <w:rPr>
          <w:i w:val="0"/>
        </w:rPr>
        <w:t>, and non-</w:t>
      </w:r>
      <w:r w:rsidR="00496693">
        <w:rPr>
          <w:i w:val="0"/>
        </w:rPr>
        <w:t xml:space="preserve">Hispanic </w:t>
      </w:r>
      <w:r w:rsidR="005E314F">
        <w:rPr>
          <w:i w:val="0"/>
        </w:rPr>
        <w:t>B</w:t>
      </w:r>
      <w:r w:rsidR="00496693">
        <w:rPr>
          <w:i w:val="0"/>
        </w:rPr>
        <w:t>lack</w:t>
      </w:r>
      <w:r w:rsidR="008F0A06">
        <w:rPr>
          <w:i w:val="0"/>
        </w:rPr>
        <w:t xml:space="preserve"> people</w:t>
      </w:r>
      <w:r>
        <w:rPr>
          <w:i w:val="0"/>
        </w:rPr>
        <w:t xml:space="preserve">. Specific query parameters </w:t>
      </w:r>
      <w:r w:rsidR="00FC5C74">
        <w:rPr>
          <w:i w:val="0"/>
        </w:rPr>
        <w:t>were as follows</w:t>
      </w:r>
      <w:r>
        <w:rPr>
          <w:i w:val="0"/>
        </w:rPr>
        <w:t>:</w:t>
      </w:r>
    </w:p>
    <w:p w14:paraId="17BCC914" w14:textId="1AB7F960" w:rsidR="004D61D6" w:rsidRDefault="004D61D6" w:rsidP="004142A0">
      <w:pPr>
        <w:pStyle w:val="ListBullet"/>
      </w:pPr>
      <w:r>
        <w:t>General population: all races and all age groups</w:t>
      </w:r>
      <w:r w:rsidR="00FC5C74">
        <w:t>.</w:t>
      </w:r>
    </w:p>
    <w:p w14:paraId="425FFDBC" w14:textId="49473F31" w:rsidR="004D61D6" w:rsidRDefault="004D61D6" w:rsidP="004142A0">
      <w:pPr>
        <w:pStyle w:val="ListBullet"/>
      </w:pPr>
      <w:r>
        <w:t xml:space="preserve">Age 65+: all races and </w:t>
      </w:r>
      <w:r w:rsidR="00FC5C74">
        <w:t xml:space="preserve">the following </w:t>
      </w:r>
      <w:r>
        <w:t>age groups</w:t>
      </w:r>
      <w:r w:rsidR="00FC5C74">
        <w:t>:</w:t>
      </w:r>
      <w:r>
        <w:t xml:space="preserve"> </w:t>
      </w:r>
      <w:r w:rsidRPr="004D61D6">
        <w:t>65</w:t>
      </w:r>
      <w:r w:rsidR="004375BF">
        <w:t>–</w:t>
      </w:r>
      <w:r w:rsidRPr="004D61D6">
        <w:t>74 years, 75</w:t>
      </w:r>
      <w:r w:rsidR="004375BF">
        <w:t>–</w:t>
      </w:r>
      <w:r w:rsidRPr="004D61D6">
        <w:t xml:space="preserve">84 years, </w:t>
      </w:r>
      <w:r>
        <w:t xml:space="preserve">and </w:t>
      </w:r>
      <w:r w:rsidRPr="004D61D6">
        <w:t>85+ years</w:t>
      </w:r>
      <w:r w:rsidR="00FC5C74">
        <w:t>.</w:t>
      </w:r>
    </w:p>
    <w:p w14:paraId="327BC03F" w14:textId="50F4558E" w:rsidR="004D61D6" w:rsidRPr="004D61D6" w:rsidRDefault="004D61D6" w:rsidP="00496693">
      <w:pPr>
        <w:pStyle w:val="ListBullet"/>
      </w:pPr>
      <w:r>
        <w:t>Non-</w:t>
      </w:r>
      <w:r w:rsidR="00496693">
        <w:t xml:space="preserve">Hispanic </w:t>
      </w:r>
      <w:r w:rsidR="00E63624">
        <w:t>B</w:t>
      </w:r>
      <w:r w:rsidR="00496693">
        <w:t>lack</w:t>
      </w:r>
      <w:r w:rsidR="008F0A06">
        <w:t xml:space="preserve"> people</w:t>
      </w:r>
      <w:r>
        <w:t>:</w:t>
      </w:r>
      <w:r w:rsidRPr="004D61D6">
        <w:t xml:space="preserve"> </w:t>
      </w:r>
      <w:r>
        <w:t>all age groups</w:t>
      </w:r>
      <w:r w:rsidR="00D711E9">
        <w:t xml:space="preserve">, </w:t>
      </w:r>
      <w:r w:rsidR="00496693">
        <w:t>Black or African American</w:t>
      </w:r>
      <w:r w:rsidR="00D711E9">
        <w:t xml:space="preserve"> race</w:t>
      </w:r>
      <w:r w:rsidR="00496693">
        <w:t xml:space="preserve">, and </w:t>
      </w:r>
      <w:r w:rsidR="004375BF">
        <w:t>n</w:t>
      </w:r>
      <w:r w:rsidR="00496693">
        <w:t xml:space="preserve">ot </w:t>
      </w:r>
      <w:r w:rsidR="004375BF">
        <w:t>of</w:t>
      </w:r>
      <w:r w:rsidR="00496693">
        <w:t xml:space="preserve"> Hispanic or Latino</w:t>
      </w:r>
      <w:r w:rsidR="00D711E9">
        <w:t xml:space="preserve"> origin</w:t>
      </w:r>
      <w:r w:rsidR="00FC5C74">
        <w:t>.</w:t>
      </w:r>
    </w:p>
    <w:p w14:paraId="3DC5F38B" w14:textId="57524221" w:rsidR="00FC5C74" w:rsidRDefault="00D711E9" w:rsidP="004142A0">
      <w:pPr>
        <w:pStyle w:val="BodyText"/>
      </w:pPr>
      <w:r>
        <w:t xml:space="preserve">EPA </w:t>
      </w:r>
      <w:r w:rsidR="009F0C97">
        <w:t>queri</w:t>
      </w:r>
      <w:r>
        <w:t xml:space="preserve">ed </w:t>
      </w:r>
      <w:r w:rsidR="00272436">
        <w:t>all data for Figure 2 directly from</w:t>
      </w:r>
      <w:r w:rsidR="00C74568">
        <w:t xml:space="preserve"> CDC WONDER at:</w:t>
      </w:r>
      <w:r w:rsidR="00953F47">
        <w:t xml:space="preserve"> </w:t>
      </w:r>
      <w:hyperlink r:id="rId26" w:history="1">
        <w:r w:rsidR="00F37382">
          <w:rPr>
            <w:rStyle w:val="Hyperlink"/>
          </w:rPr>
          <w:t>https://wonder.cdc.gov/mcd-icd10.html</w:t>
        </w:r>
      </w:hyperlink>
      <w:r w:rsidR="00240EBB" w:rsidRPr="000E43FD">
        <w:rPr>
          <w:rStyle w:val="Hyperlink"/>
          <w:color w:val="auto"/>
          <w:u w:val="none"/>
        </w:rPr>
        <w:t xml:space="preserve"> and</w:t>
      </w:r>
      <w:r w:rsidR="00C201DB" w:rsidRPr="000E43FD">
        <w:rPr>
          <w:rStyle w:val="Hyperlink"/>
          <w:color w:val="auto"/>
          <w:u w:val="none"/>
        </w:rPr>
        <w:t>:</w:t>
      </w:r>
      <w:r w:rsidR="00240EBB" w:rsidRPr="000E43FD">
        <w:rPr>
          <w:rStyle w:val="Hyperlink"/>
          <w:color w:val="auto"/>
          <w:u w:val="none"/>
        </w:rPr>
        <w:t xml:space="preserve"> </w:t>
      </w:r>
      <w:hyperlink r:id="rId27" w:history="1">
        <w:r w:rsidR="00C201DB" w:rsidRPr="00C201DB">
          <w:rPr>
            <w:rStyle w:val="Hyperlink"/>
          </w:rPr>
          <w:t>https://wonder.cdc.gov/mcd-icd10-expanded.html</w:t>
        </w:r>
      </w:hyperlink>
      <w:r w:rsidR="00FC5C74">
        <w:t>. To reduce the chances of including deaths that were incorrectly classified, EPA removed deaths occurring during colder months (October through April). Thus, the analysis is limited to May–September.</w:t>
      </w:r>
    </w:p>
    <w:p w14:paraId="7F25F93A" w14:textId="77777777" w:rsidR="00015D7C" w:rsidRDefault="00015D7C" w:rsidP="005046A7">
      <w:pPr>
        <w:pStyle w:val="Heading3"/>
      </w:pPr>
      <w:r>
        <w:t>Chicago Heat Wave Example</w:t>
      </w:r>
    </w:p>
    <w:p w14:paraId="4D884CE6" w14:textId="0566DD11" w:rsidR="00015D7C" w:rsidRDefault="00015D7C" w:rsidP="0032112C">
      <w:pPr>
        <w:pStyle w:val="BodyText"/>
      </w:pPr>
      <w:r>
        <w:t xml:space="preserve">The authors of Kaiser et al. </w:t>
      </w:r>
      <w:r w:rsidR="000F6712">
        <w:fldChar w:fldCharType="begin"/>
      </w:r>
      <w:r w:rsidR="000F6712">
        <w:instrText xml:space="preserve"> ADDIN ZOTERO_ITEM CSL_CITATION {"citationID":"S581IMEq","properties":{"formattedCitation":"(2007)","plainCitation":"(2007)","noteIndex":0},"citationItems":[{"id":27509,"uris":["http://zotero.org/groups/5470261/items/H2BMYKXK"],"itemData":{"id":27509,"type":"article-journal","container-title":"American Journal of Public Health","DOI":"10.2105/AJPH.2006.100081","ISSN":"0090-0036","issue":"Suppl 1","journalAbbreviation":"Am J Public Health","note":"PMID: 17413056\nPMCID: PMC1854989","page":"S158-S162","source":"PubMed Central","title":"The effect of the 1995 heat wave in Chicago on all-cause and cause-specific mortality","URL":"https://www.ncbi.nlm.nih.gov/pmc/articles/PMC1854989/","volume":"97","author":[{"family":"Kaiser","given":"Reinhard"},{"family":"Le Tertre","given":"Alain"},{"family":"Schwartz","given":"Joel"},{"family":"Gotway","given":"Carol A."},{"family":"Daley","given":"W. Randolph"},{"family":"Rubin","given":"Carol H."}],"accessed":{"date-parts":[["2024",5,1]]},"issued":{"date-parts":[["2007",4]]}},"label":"page","suppress-author":true}],"schema":"https://github.com/citation-style-language/schema/raw/master/csl-citation.json"} </w:instrText>
      </w:r>
      <w:r w:rsidR="000F6712">
        <w:fldChar w:fldCharType="separate"/>
      </w:r>
      <w:r w:rsidR="000F6712" w:rsidRPr="000F6712">
        <w:rPr>
          <w:rFonts w:ascii="Calibri" w:hAnsi="Calibri" w:cs="Calibri"/>
        </w:rPr>
        <w:t>(2007)</w:t>
      </w:r>
      <w:r w:rsidR="000F6712">
        <w:fldChar w:fldCharType="end"/>
      </w:r>
      <w:r>
        <w:t xml:space="preserve"> determined that the Chicago area had 692 deaths in excess of the background death rate between June 21 and August 10, 1995. This analysis excluded deaths from accidental causes but included 183 deaths from “mortality displacement,” which refers to a decrease in the deaths of individuals who would have died during this period in any case but whose deaths were accelerated by a few days due to the heat wave. This implies that the actual number of excess deaths during the period of the heat wave itself (July 11–27) was higher than 692 but was compensated for by reduced daily death rates in the week after July 27. Thus</w:t>
      </w:r>
      <w:r w:rsidR="5ED77FFE">
        <w:t>,</w:t>
      </w:r>
      <w:r>
        <w:t xml:space="preserve"> the value for excess deaths in Cook County for the period of July 11–27 is reported as approximately 700 in the text box above the example figure.</w:t>
      </w:r>
    </w:p>
    <w:p w14:paraId="2EB94272" w14:textId="679E24B7" w:rsidR="00DE3C89" w:rsidRPr="000E43FD" w:rsidRDefault="00DE3C89" w:rsidP="000E43FD">
      <w:pPr>
        <w:pStyle w:val="BodyText"/>
        <w:keepNext/>
        <w:rPr>
          <w:i/>
          <w:iCs/>
        </w:rPr>
      </w:pPr>
      <w:r>
        <w:rPr>
          <w:i/>
          <w:iCs/>
        </w:rPr>
        <w:lastRenderedPageBreak/>
        <w:t>Indicator Development</w:t>
      </w:r>
    </w:p>
    <w:p w14:paraId="66897C38" w14:textId="52D23B4E" w:rsidR="00896740" w:rsidRDefault="00423AA4" w:rsidP="0032112C">
      <w:pPr>
        <w:pStyle w:val="BodyText"/>
      </w:pPr>
      <w:r>
        <w:t xml:space="preserve">During the 2024 update to this indicator, </w:t>
      </w:r>
      <w:r w:rsidR="00E74EBA">
        <w:t xml:space="preserve">EPA addressed a shift in CDC’s </w:t>
      </w:r>
      <w:r w:rsidR="00FE70F4">
        <w:t xml:space="preserve">mortality reporting from a “bridged-race” classification </w:t>
      </w:r>
      <w:r w:rsidR="00DA3AD0">
        <w:t xml:space="preserve">system to a “single-race” classification. This shift was the result of a </w:t>
      </w:r>
      <w:r w:rsidR="00B80883">
        <w:t xml:space="preserve">change in the categories used </w:t>
      </w:r>
      <w:r w:rsidR="00D47031">
        <w:t xml:space="preserve">to identify an individual’s race. </w:t>
      </w:r>
      <w:r w:rsidR="00F10C8F">
        <w:t xml:space="preserve">These changes were the result of a 1997 </w:t>
      </w:r>
      <w:r w:rsidR="003C070D">
        <w:t>federal standard</w:t>
      </w:r>
      <w:r w:rsidR="00490207">
        <w:t xml:space="preserve"> for reporting across federal agencies; it</w:t>
      </w:r>
      <w:r w:rsidR="003C070D">
        <w:t xml:space="preserve"> split the “Asian or Pacific Islander” category into two</w:t>
      </w:r>
      <w:r w:rsidR="008F443C">
        <w:t xml:space="preserve"> categories</w:t>
      </w:r>
      <w:r w:rsidR="003C070D">
        <w:t xml:space="preserve"> and allowed individuals to select more than one race from the list.</w:t>
      </w:r>
      <w:r w:rsidR="00B80883">
        <w:t xml:space="preserve"> </w:t>
      </w:r>
      <w:r w:rsidR="00C54A11">
        <w:t xml:space="preserve">All jurisdictions that collect or report data for CDC had adopted the new standard by 2018, so </w:t>
      </w:r>
      <w:r w:rsidR="004D6BA6">
        <w:t xml:space="preserve">CDC has reported </w:t>
      </w:r>
      <w:r w:rsidR="00E97E8A">
        <w:t xml:space="preserve">mortality </w:t>
      </w:r>
      <w:r w:rsidR="004D6BA6">
        <w:t>data based on the new categories starting with the 2018 data year. This is called the “</w:t>
      </w:r>
      <w:proofErr w:type="gramStart"/>
      <w:r w:rsidR="006D2C4D">
        <w:t>s</w:t>
      </w:r>
      <w:r w:rsidR="004D6BA6">
        <w:t>ingle-</w:t>
      </w:r>
      <w:r w:rsidR="006D2C4D">
        <w:t>r</w:t>
      </w:r>
      <w:r w:rsidR="004D6BA6">
        <w:t>ace</w:t>
      </w:r>
      <w:proofErr w:type="gramEnd"/>
      <w:r w:rsidR="004D6BA6">
        <w:t>” data set</w:t>
      </w:r>
      <w:r w:rsidR="00170531">
        <w:t>, and it has five racial groups plus “more than one race.”</w:t>
      </w:r>
      <w:r w:rsidR="00E97E8A">
        <w:t xml:space="preserve"> Prior to that, CDC used a “</w:t>
      </w:r>
      <w:proofErr w:type="gramStart"/>
      <w:r w:rsidR="006D2C4D">
        <w:t>b</w:t>
      </w:r>
      <w:r w:rsidR="00E97E8A">
        <w:t>ridged-</w:t>
      </w:r>
      <w:r w:rsidR="006D2C4D">
        <w:t>r</w:t>
      </w:r>
      <w:r w:rsidR="00E97E8A">
        <w:t>ace</w:t>
      </w:r>
      <w:proofErr w:type="gramEnd"/>
      <w:r w:rsidR="00E97E8A">
        <w:t xml:space="preserve">” data set that </w:t>
      </w:r>
      <w:r w:rsidR="00170531">
        <w:t xml:space="preserve">has four racial groups </w:t>
      </w:r>
      <w:r w:rsidR="00783022">
        <w:t>following the pre-1997 standard. For the “</w:t>
      </w:r>
      <w:r w:rsidR="006D2C4D">
        <w:t>b</w:t>
      </w:r>
      <w:r w:rsidR="00783022">
        <w:t>ridged-</w:t>
      </w:r>
      <w:r w:rsidR="006D2C4D">
        <w:t>r</w:t>
      </w:r>
      <w:r w:rsidR="00783022">
        <w:t xml:space="preserve">ace” data set, </w:t>
      </w:r>
      <w:r w:rsidR="00D74209">
        <w:t xml:space="preserve">CDC had to place </w:t>
      </w:r>
      <w:r w:rsidR="00783022">
        <w:t xml:space="preserve">multi-racial decedents </w:t>
      </w:r>
      <w:r w:rsidR="00CF46A5">
        <w:t>into a single-race category</w:t>
      </w:r>
      <w:r w:rsidR="00933AE3">
        <w:t>.</w:t>
      </w:r>
      <w:r w:rsidR="00F44BFF">
        <w:t xml:space="preserve"> </w:t>
      </w:r>
      <w:r w:rsidR="000F71F6">
        <w:t xml:space="preserve">Heron </w:t>
      </w:r>
      <w:r w:rsidR="002E3110">
        <w:fldChar w:fldCharType="begin"/>
      </w:r>
      <w:r w:rsidR="002E3110">
        <w:instrText xml:space="preserve"> ADDIN ZOTERO_ITEM CSL_CITATION {"citationID":"XHSoP8xf","properties":{"formattedCitation":"(2021)","plainCitation":"(2021)","noteIndex":0},"citationItems":[{"id":27882,"uris":["http://zotero.org/groups/5470261/items/GUAS6VC4"],"itemData":{"id":27882,"type":"article-journal","abstract":"This report presents findings on the effects of fully implementing the Office of Management and Budget’s 1997 standards for collecting, tabulating, and reporting race and ethnicity in the National Vital Statistics System mortality data across all vital statistics reporting areas.","container-title":"National Vital Statistics Reports","issue":"3","note":"DOI: 10.15620/cdc:103476\nDOI: 10.15620/cdc:103476","source":"DOI.org (Crossref)","title":"Comparability of race-specific mortality data based on 1977 versus 1997 reporting standards","title-short":"NVSR 70-3","URL":"https://stacks.cdc.gov/view/cdc/103476","volume":"70","author":[{"family":"Heron","given":"Melonie"}],"accessed":{"date-parts":[["2024",6,3]]},"issued":{"date-parts":[["2021",4,19]]}},"label":"page","suppress-author":true}],"schema":"https://github.com/citation-style-language/schema/raw/master/csl-citation.json"} </w:instrText>
      </w:r>
      <w:r w:rsidR="002E3110">
        <w:fldChar w:fldCharType="separate"/>
      </w:r>
      <w:r w:rsidR="002E3110" w:rsidRPr="002E3110">
        <w:rPr>
          <w:rFonts w:ascii="Calibri" w:hAnsi="Calibri" w:cs="Calibri"/>
        </w:rPr>
        <w:t>(2021)</w:t>
      </w:r>
      <w:r w:rsidR="002E3110">
        <w:fldChar w:fldCharType="end"/>
      </w:r>
      <w:r w:rsidR="000F71F6">
        <w:t xml:space="preserve"> describes </w:t>
      </w:r>
      <w:r w:rsidR="00933AE3">
        <w:t xml:space="preserve">these changes in more detail and provides an analysis of their effect on </w:t>
      </w:r>
      <w:r w:rsidR="001720C1">
        <w:t xml:space="preserve">mortality statistics. CDC has made both data sets available for the years 2018–2020, which </w:t>
      </w:r>
      <w:r w:rsidR="00066D59">
        <w:t>makes it possible to compare the two data sets for three overlapping years.</w:t>
      </w:r>
      <w:r w:rsidR="001366EF">
        <w:t xml:space="preserve"> </w:t>
      </w:r>
    </w:p>
    <w:p w14:paraId="3B080A3A" w14:textId="2B5AFD79" w:rsidR="00CF02C2" w:rsidRDefault="008A54AB" w:rsidP="0032112C">
      <w:pPr>
        <w:pStyle w:val="BodyText"/>
      </w:pPr>
      <w:r>
        <w:t xml:space="preserve">EPA’s indicator uses the </w:t>
      </w:r>
      <w:r w:rsidR="000F71F6">
        <w:t xml:space="preserve">newer “Single-Race” data set </w:t>
      </w:r>
      <w:r w:rsidR="00604651">
        <w:t>starting in 2018, the first year of its availability</w:t>
      </w:r>
      <w:r w:rsidR="00B72E15">
        <w:t>.</w:t>
      </w:r>
      <w:r w:rsidR="001366EF">
        <w:t xml:space="preserve"> EPA reviewed the data to determine what effect, if any, the classification change would have on this indicator. </w:t>
      </w:r>
      <w:r w:rsidR="00623DE0">
        <w:t xml:space="preserve">It affects only one component of the indicator: the time series in Figure 2 for </w:t>
      </w:r>
      <w:r w:rsidR="00D81847">
        <w:t>n</w:t>
      </w:r>
      <w:r w:rsidR="00623DE0">
        <w:t>on-Hispanic Black</w:t>
      </w:r>
      <w:r w:rsidR="008F0A06">
        <w:t xml:space="preserve"> people</w:t>
      </w:r>
      <w:r w:rsidR="00623DE0">
        <w:t xml:space="preserve">. The death count in each of the three overlapping years is the same </w:t>
      </w:r>
      <w:r w:rsidR="00FE16C4">
        <w:t xml:space="preserve">in both data sets, which </w:t>
      </w:r>
      <w:r w:rsidR="007D1951">
        <w:t>indicates</w:t>
      </w:r>
      <w:r w:rsidR="00FE16C4">
        <w:t xml:space="preserve"> that these same decedents were assigned to the “Black” race category in both data sets.</w:t>
      </w:r>
      <w:r w:rsidR="007D1951">
        <w:t xml:space="preserve"> However, the total national </w:t>
      </w:r>
      <w:r w:rsidR="00D81847">
        <w:t>n</w:t>
      </w:r>
      <w:r w:rsidR="007D1951">
        <w:t xml:space="preserve">on-Hispanic Black population used as a denominator for calculating </w:t>
      </w:r>
      <w:r w:rsidR="00FB6975">
        <w:t xml:space="preserve">death rates is approximately 5 percent lower in the newer data set in each of the three </w:t>
      </w:r>
      <w:r w:rsidR="005834EB">
        <w:t xml:space="preserve">overlapping </w:t>
      </w:r>
      <w:r w:rsidR="00FB6975">
        <w:t xml:space="preserve">years. This is to be expected, as </w:t>
      </w:r>
      <w:r w:rsidR="00873A4B">
        <w:t xml:space="preserve">some fraction of the </w:t>
      </w:r>
      <w:r w:rsidR="00B7673C">
        <w:t>population</w:t>
      </w:r>
      <w:r w:rsidR="00873A4B">
        <w:t xml:space="preserve"> previously identified as only “Black” by race can now be </w:t>
      </w:r>
      <w:r w:rsidR="005834EB">
        <w:t xml:space="preserve">correctly </w:t>
      </w:r>
      <w:r w:rsidR="00873A4B">
        <w:t>classified as “more than one race.”</w:t>
      </w:r>
      <w:r w:rsidR="005834EB">
        <w:t xml:space="preserve"> This reduction of the denominator has the effect of slightly boosting the resulting death rate. </w:t>
      </w:r>
      <w:r w:rsidR="00285F5B">
        <w:t xml:space="preserve">However, it does not alter this indicator’s conclusions, as the indicator does not attempt to </w:t>
      </w:r>
      <w:r w:rsidR="00D81847">
        <w:t>report a trend for non-Hispanic Black</w:t>
      </w:r>
      <w:r w:rsidR="008F0A06">
        <w:t xml:space="preserve"> people</w:t>
      </w:r>
      <w:r w:rsidR="001F5E55">
        <w:t>; the summary text simply states that non-Hispanic Black</w:t>
      </w:r>
      <w:r w:rsidR="008F0A06">
        <w:t xml:space="preserve"> people</w:t>
      </w:r>
      <w:r w:rsidR="001F5E55">
        <w:t xml:space="preserve"> </w:t>
      </w:r>
      <w:r w:rsidR="00604651">
        <w:t>have a death rate higher than the general population average, which remains true.</w:t>
      </w:r>
    </w:p>
    <w:p w14:paraId="2E156593" w14:textId="410C0254" w:rsidR="008A54AB" w:rsidRDefault="00CF02C2" w:rsidP="0032112C">
      <w:pPr>
        <w:pStyle w:val="BodyText"/>
      </w:pPr>
      <w:r>
        <w:t xml:space="preserve">All other components of this indicator use </w:t>
      </w:r>
      <w:r w:rsidR="00293FD1">
        <w:t>“all races” data, so the change should have no effect. That is, the</w:t>
      </w:r>
      <w:r w:rsidR="00112419">
        <w:t xml:space="preserve"> reclassification did not change the</w:t>
      </w:r>
      <w:r w:rsidR="00293FD1">
        <w:t xml:space="preserve"> total number of deaths</w:t>
      </w:r>
      <w:r w:rsidR="000E6485">
        <w:t xml:space="preserve"> for the general population </w:t>
      </w:r>
      <w:r w:rsidR="00112419">
        <w:t>or by</w:t>
      </w:r>
      <w:r w:rsidR="000E6485">
        <w:t xml:space="preserve"> age group, nor did </w:t>
      </w:r>
      <w:r w:rsidR="00FF1357">
        <w:t>it</w:t>
      </w:r>
      <w:r w:rsidR="000E6485">
        <w:t xml:space="preserve"> </w:t>
      </w:r>
      <w:r w:rsidR="00112419">
        <w:t xml:space="preserve">change the </w:t>
      </w:r>
      <w:r w:rsidR="000E6485">
        <w:t>population</w:t>
      </w:r>
      <w:r w:rsidR="00112419">
        <w:t xml:space="preserve"> used as a denominator for calculating rates for these groups</w:t>
      </w:r>
      <w:r w:rsidR="00FF1357">
        <w:t>. H</w:t>
      </w:r>
      <w:r w:rsidR="003F2260">
        <w:t xml:space="preserve">eron </w:t>
      </w:r>
      <w:r w:rsidR="00CE7479">
        <w:fldChar w:fldCharType="begin"/>
      </w:r>
      <w:r w:rsidR="00CE7479">
        <w:instrText xml:space="preserve"> ADDIN ZOTERO_ITEM CSL_CITATION {"citationID":"ctVhmWcn","properties":{"formattedCitation":"(2021)","plainCitation":"(2021)","noteIndex":0},"citationItems":[{"id":27882,"uris":["http://zotero.org/groups/5470261/items/GUAS6VC4"],"itemData":{"id":27882,"type":"article-journal","abstract":"This report presents findings on the effects of fully implementing the Office of Management and Budget’s 1997 standards for collecting, tabulating, and reporting race and ethnicity in the National Vital Statistics System mortality data across all vital statistics reporting areas.","container-title":"National Vital Statistics Reports","issue":"3","note":"DOI: 10.15620/cdc:103476\nDOI: 10.15620/cdc:103476","source":"DOI.org (Crossref)","title":"Comparability of race-specific mortality data based on 1977 versus 1997 reporting standards","title-short":"NVSR 70-3","URL":"https://stacks.cdc.gov/view/cdc/103476","volume":"70","author":[{"family":"Heron","given":"Melonie"}],"accessed":{"date-parts":[["2024",6,3]]},"issued":{"date-parts":[["2021",4,19]]}},"label":"page","suppress-author":true}],"schema":"https://github.com/citation-style-language/schema/raw/master/csl-citation.json"} </w:instrText>
      </w:r>
      <w:r w:rsidR="00CE7479">
        <w:fldChar w:fldCharType="separate"/>
      </w:r>
      <w:r w:rsidR="00CE7479" w:rsidRPr="00CE7479">
        <w:rPr>
          <w:rFonts w:ascii="Calibri" w:hAnsi="Calibri" w:cs="Calibri"/>
        </w:rPr>
        <w:t>(2021)</w:t>
      </w:r>
      <w:r w:rsidR="00CE7479">
        <w:fldChar w:fldCharType="end"/>
      </w:r>
      <w:r w:rsidR="003F2260">
        <w:t xml:space="preserve"> notes that the </w:t>
      </w:r>
      <w:r w:rsidR="001C7B91">
        <w:t>reclassification</w:t>
      </w:r>
      <w:r w:rsidR="003F2260">
        <w:t xml:space="preserve"> leads to minimal impacts on age-adjusted death rates, </w:t>
      </w:r>
      <w:r w:rsidR="001C7B91">
        <w:t>but</w:t>
      </w:r>
      <w:r w:rsidR="00FF1357">
        <w:t xml:space="preserve"> </w:t>
      </w:r>
      <w:r w:rsidR="0032517D">
        <w:t>because</w:t>
      </w:r>
      <w:r w:rsidR="00103DA5">
        <w:t xml:space="preserve"> </w:t>
      </w:r>
      <w:r w:rsidR="001C7B91">
        <w:t>EPA’s indicator uses crude rates</w:t>
      </w:r>
      <w:r w:rsidR="00FF1357">
        <w:t xml:space="preserve"> </w:t>
      </w:r>
      <w:r w:rsidR="00905C41">
        <w:t>that simply depend on the death count and the total population of the group in question</w:t>
      </w:r>
      <w:r w:rsidR="00575C4A">
        <w:t>,</w:t>
      </w:r>
      <w:r w:rsidR="00103DA5">
        <w:t xml:space="preserve"> this </w:t>
      </w:r>
      <w:r w:rsidR="00D42158">
        <w:t xml:space="preserve">reclassification </w:t>
      </w:r>
      <w:r w:rsidR="00103DA5">
        <w:t>has no effect</w:t>
      </w:r>
      <w:r w:rsidR="0032517D">
        <w:t xml:space="preserve"> on any part of the indicator where race is not a consideration</w:t>
      </w:r>
      <w:r w:rsidR="00905C41">
        <w:t>.</w:t>
      </w:r>
    </w:p>
    <w:p w14:paraId="37777616" w14:textId="77777777" w:rsidR="00015D7C" w:rsidRPr="00AC0BC7" w:rsidRDefault="00015D7C" w:rsidP="0032112C">
      <w:pPr>
        <w:pStyle w:val="Heading2"/>
      </w:pPr>
      <w:r w:rsidRPr="00AC0BC7">
        <w:t>Quality Assurance and Quality Control</w:t>
      </w:r>
    </w:p>
    <w:p w14:paraId="7CF9F67E" w14:textId="50B52118" w:rsidR="00015D7C" w:rsidRDefault="00015D7C" w:rsidP="0032112C">
      <w:pPr>
        <w:pStyle w:val="BodyText"/>
      </w:pPr>
      <w:r w:rsidRPr="00A07C74">
        <w:t xml:space="preserve">Vital statistics regulations have been developed to serve as a detailed guide to state and local registration officials who administer the NVSS. These regulations provide specific instructions to protect the integrity and quality of the data collected. This quality assurance information can be found in CDC </w:t>
      </w:r>
      <w:r w:rsidR="00710B3D">
        <w:fldChar w:fldCharType="begin"/>
      </w:r>
      <w:r w:rsidR="00AE1E5A">
        <w:instrText xml:space="preserve"> ADDIN ZOTERO_ITEM CSL_CITATION {"citationID":"Qt5HE2bH","properties":{"formattedCitation":"(1995)","plainCitation":"(1995)","noteIndex":0},"citationItems":[{"id":27515,"uris":["http://zotero.org/groups/5470261/items/92CJEW8T"],"itemData":{"id":27515,"type":"report","number":"DHHS publication no. 95-1115","title":"Model State Vital Statistics Act and Regulations (revised April 1995)","URL":"www.cdc.gov/nchs/data/misc/mvsact92aacc.pdf","author":[{"literal":"CDC (U.S. Centers for Disease Control and Prevention)"}],"issued":{"date-parts":[["1995"]]}},"label":"page","suppress-author":true}],"schema":"https://github.com/citation-style-language/schema/raw/master/csl-citation.json"} </w:instrText>
      </w:r>
      <w:r w:rsidR="00710B3D">
        <w:fldChar w:fldCharType="separate"/>
      </w:r>
      <w:r w:rsidR="00AE1E5A" w:rsidRPr="00AE1E5A">
        <w:rPr>
          <w:rFonts w:ascii="Calibri" w:hAnsi="Calibri" w:cs="Calibri"/>
        </w:rPr>
        <w:t>(1995)</w:t>
      </w:r>
      <w:r w:rsidR="00710B3D">
        <w:fldChar w:fldCharType="end"/>
      </w:r>
      <w:r w:rsidRPr="00A07C74">
        <w:t>.</w:t>
      </w:r>
    </w:p>
    <w:p w14:paraId="64A2FBDC" w14:textId="7BA80917" w:rsidR="00015D7C" w:rsidRDefault="00015D7C" w:rsidP="0032112C">
      <w:pPr>
        <w:pStyle w:val="BodyText"/>
      </w:pPr>
      <w:r>
        <w:t>For the “underlying and contributing causes” component of this indicator, extra steps have been taken to remove certain deaths that could reflect a misclassification (see Section 6). T</w:t>
      </w:r>
      <w:r w:rsidRPr="005A6312">
        <w:t xml:space="preserve">hese criteria </w:t>
      </w:r>
      <w:r>
        <w:t xml:space="preserve">generally </w:t>
      </w:r>
      <w:r w:rsidRPr="005A6312">
        <w:t>excluded only a small number of deaths</w:t>
      </w:r>
      <w:r>
        <w:t>.</w:t>
      </w:r>
    </w:p>
    <w:p w14:paraId="6828BBD3" w14:textId="77777777" w:rsidR="00015D7C" w:rsidRDefault="00015D7C" w:rsidP="0032112C">
      <w:pPr>
        <w:pStyle w:val="Heading1nonumbering"/>
      </w:pPr>
      <w:r>
        <w:lastRenderedPageBreak/>
        <w:t>Analysis</w:t>
      </w:r>
    </w:p>
    <w:p w14:paraId="7DBA6F81" w14:textId="77777777" w:rsidR="00015D7C" w:rsidRPr="00AC0BC7" w:rsidRDefault="00015D7C" w:rsidP="0032112C">
      <w:pPr>
        <w:pStyle w:val="Heading2"/>
      </w:pPr>
      <w:r w:rsidRPr="00AC0BC7">
        <w:t>Comparability Over Time and Space</w:t>
      </w:r>
    </w:p>
    <w:p w14:paraId="7454B09B" w14:textId="45C9C974" w:rsidR="00015D7C" w:rsidRDefault="00015D7C" w:rsidP="0032112C">
      <w:pPr>
        <w:pStyle w:val="BodyText"/>
      </w:pPr>
      <w:r>
        <w:t xml:space="preserve">When plotting the </w:t>
      </w:r>
      <w:r w:rsidR="00705008">
        <w:t xml:space="preserve">long-term </w:t>
      </w:r>
      <w:r>
        <w:t>data</w:t>
      </w:r>
      <w:r w:rsidR="00705008">
        <w:t xml:space="preserve"> in Figure 1</w:t>
      </w:r>
      <w:r>
        <w:t>, EPA inserted a break in the line between 1998 and 1999 to reflect the transition from ICD-9 codes to ICD-10 codes. The change in codes makes it difficult to accurately compare pre-1999 data with data from 1999 and later.</w:t>
      </w:r>
      <w:r w:rsidR="008E0193">
        <w:t xml:space="preserve"> Section 6 describes a</w:t>
      </w:r>
      <w:r w:rsidR="00751E42">
        <w:t xml:space="preserve"> change in racial classifications that took effect in 2018 but notes that it only affects </w:t>
      </w:r>
      <w:r w:rsidR="004A36DB">
        <w:t xml:space="preserve">one line in Figure 2, and arguably not to the extent that </w:t>
      </w:r>
      <w:r w:rsidR="005B49CB">
        <w:t xml:space="preserve">would </w:t>
      </w:r>
      <w:r w:rsidR="004A36DB">
        <w:t xml:space="preserve">require </w:t>
      </w:r>
      <w:r w:rsidR="005B49CB">
        <w:t xml:space="preserve">inserting </w:t>
      </w:r>
      <w:r w:rsidR="004A36DB">
        <w:t>another discontinuity</w:t>
      </w:r>
      <w:r w:rsidR="005B49CB">
        <w:t>.</w:t>
      </w:r>
      <w:r>
        <w:t xml:space="preserve"> Otherwise, all methods have been applied consistently over time and space. ICD codes allow physicians and other medical professionals across the country to use a standard scheme for classifying causes of deaths.</w:t>
      </w:r>
    </w:p>
    <w:p w14:paraId="016E16B5" w14:textId="77777777" w:rsidR="00015D7C" w:rsidRPr="00AC0BC7" w:rsidRDefault="00015D7C" w:rsidP="0032112C">
      <w:pPr>
        <w:pStyle w:val="Heading2"/>
      </w:pPr>
      <w:r w:rsidRPr="00AC0BC7">
        <w:t>Data Limitations</w:t>
      </w:r>
    </w:p>
    <w:p w14:paraId="7769CCE1" w14:textId="77777777" w:rsidR="00015D7C" w:rsidRPr="00AC0BC7" w:rsidRDefault="00015D7C" w:rsidP="0032112C">
      <w:pPr>
        <w:pStyle w:val="BodyText"/>
      </w:pPr>
      <w:r w:rsidRPr="00AC0BC7">
        <w:t>Factors that may impact the confidence, application, or conclusions drawn from this indicator are as follows:</w:t>
      </w:r>
    </w:p>
    <w:p w14:paraId="7D737113" w14:textId="58F42649" w:rsidR="00015D7C" w:rsidRPr="00AC0BC7" w:rsidRDefault="00015D7C" w:rsidP="0032112C">
      <w:pPr>
        <w:pStyle w:val="ListParagraph"/>
      </w:pPr>
      <w:r>
        <w:t xml:space="preserve">It has been well-documented that many deaths associated with extreme heat are not identified as such by the medical examiner and might not be </w:t>
      </w:r>
      <w:r w:rsidR="009D347D">
        <w:t xml:space="preserve">properly </w:t>
      </w:r>
      <w:r>
        <w:t xml:space="preserve">coded on the death certificate. In many cases, they might just classify the cause of death as a cardiovascular or respiratory disease. They might not know for certain whether heat was a contributing factor, particularly if the death did not occur during a well-publicized heat wave. By studying how daily death rates vary with temperature in selected cities, scientists have found that extreme heat contributes to far more deaths than the official death certificates would suggest </w:t>
      </w:r>
      <w:r w:rsidR="007220F2">
        <w:fldChar w:fldCharType="begin"/>
      </w:r>
      <w:r w:rsidR="007220F2">
        <w:instrText xml:space="preserve"> ADDIN ZOTERO_ITEM CSL_CITATION {"citationID":"qn0Joxhu","properties":{"formattedCitation":"(Medina-Ram\\uc0\\u243{}n &amp; Schwartz, 2007)","plainCitation":"(Medina-Ramón &amp; Schwartz, 2007)","noteIndex":0},"citationItems":[{"id":27506,"uris":["http://zotero.org/groups/5470261/items/E3HZ77PR"],"itemData":{"id":27506,"type":"article-journal","container-title":"Occupational and Environmental Medicine","DOI":"10.1136/oem.2007.033175","ISSN":"1470-7926","issue":"12","journalAbbreviation":"Occup Environ Med","language":"eng","note":"PMID: 17600037\nPMCID: PMC2095353","page":"827-833","source":"PubMed","title":"Temperature, temperature extremes, and mortality: A study of acclimatisation and effect modification in 50 US cities","title-short":"Temperature, temperature extremes, and mortality","volume":"64","author":[{"family":"Medina-Ramón","given":"M."},{"family":"Schwartz","given":"J."}],"issued":{"date-parts":[["2007",12]]}}}],"schema":"https://github.com/citation-style-language/schema/raw/master/csl-citation.json"} </w:instrText>
      </w:r>
      <w:r w:rsidR="007220F2">
        <w:fldChar w:fldCharType="separate"/>
      </w:r>
      <w:r w:rsidR="007220F2" w:rsidRPr="007220F2">
        <w:rPr>
          <w:rFonts w:ascii="Calibri" w:hAnsi="Calibri" w:cs="Calibri"/>
        </w:rPr>
        <w:t>(Medina-Ramón &amp; Schwartz, 2007)</w:t>
      </w:r>
      <w:r w:rsidR="007220F2">
        <w:fldChar w:fldCharType="end"/>
      </w:r>
      <w:r>
        <w:t xml:space="preserve">. That is because the stress of a hot day can increase the chance of dying from a heart attack, other heart conditions, and respiratory diseases such as pneumonia </w:t>
      </w:r>
      <w:r w:rsidR="000F6712">
        <w:fldChar w:fldCharType="begin"/>
      </w:r>
      <w:r w:rsidR="000F6712">
        <w:instrText xml:space="preserve"> ADDIN ZOTERO_ITEM CSL_CITATION {"citationID":"WwJnmUON","properties":{"formattedCitation":"(Kaiser et al., 2007)","plainCitation":"(Kaiser et al., 2007)","noteIndex":0},"citationItems":[{"id":27509,"uris":["http://zotero.org/groups/5470261/items/H2BMYKXK"],"itemData":{"id":27509,"type":"article-journal","container-title":"American Journal of Public Health","DOI":"10.2105/AJPH.2006.100081","ISSN":"0090-0036","issue":"Suppl 1","journalAbbreviation":"Am J Public Health","note":"PMID: 17413056\nPMCID: PMC1854989","page":"S158-S162","source":"PubMed Central","title":"The effect of the 1995 heat wave in Chicago on all-cause and cause-specific mortality","URL":"https://www.ncbi.nlm.nih.gov/pmc/articles/PMC1854989/","volume":"97","author":[{"family":"Kaiser","given":"Reinhard"},{"family":"Le Tertre","given":"Alain"},{"family":"Schwartz","given":"Joel"},{"family":"Gotway","given":"Carol A."},{"family":"Daley","given":"W. Randolph"},{"family":"Rubin","given":"Carol H."}],"accessed":{"date-parts":[["2024",5,1]]},"issued":{"date-parts":[["2007",4]]}}}],"schema":"https://github.com/citation-style-language/schema/raw/master/csl-citation.json"} </w:instrText>
      </w:r>
      <w:r w:rsidR="000F6712">
        <w:fldChar w:fldCharType="separate"/>
      </w:r>
      <w:r w:rsidR="000F6712" w:rsidRPr="000F6712">
        <w:rPr>
          <w:rFonts w:ascii="Calibri" w:hAnsi="Calibri" w:cs="Calibri"/>
        </w:rPr>
        <w:t>(Kaiser et al., 2007)</w:t>
      </w:r>
      <w:r w:rsidR="000F6712">
        <w:fldChar w:fldCharType="end"/>
      </w:r>
      <w:r>
        <w:t xml:space="preserve">. </w:t>
      </w:r>
      <w:r w:rsidR="004B6D40">
        <w:t>Deaths from t</w:t>
      </w:r>
      <w:r>
        <w:t>hese causes are much more common</w:t>
      </w:r>
      <w:r w:rsidR="0032517D">
        <w:t xml:space="preserve"> overall</w:t>
      </w:r>
      <w:r>
        <w:t xml:space="preserve"> than </w:t>
      </w:r>
      <w:r w:rsidR="0032517D">
        <w:t xml:space="preserve">dying directly from a </w:t>
      </w:r>
      <w:r>
        <w:t xml:space="preserve">heat-related illness such as heat stroke. Thus, this indicator very likely underestimates the number of deaths caused by exposure to heat. However, it does serve as a reportable national measure of </w:t>
      </w:r>
      <w:r w:rsidR="00705008">
        <w:t xml:space="preserve">overall </w:t>
      </w:r>
      <w:r>
        <w:t xml:space="preserve">deaths </w:t>
      </w:r>
      <w:r w:rsidR="00705008">
        <w:t xml:space="preserve">and CVD deaths </w:t>
      </w:r>
      <w:r>
        <w:t>attributable to heat.</w:t>
      </w:r>
    </w:p>
    <w:p w14:paraId="50C5EA13" w14:textId="77777777" w:rsidR="00015D7C" w:rsidRPr="00AC0BC7" w:rsidRDefault="00015D7C" w:rsidP="0032112C">
      <w:pPr>
        <w:pStyle w:val="ListParagraph"/>
      </w:pPr>
      <w:r w:rsidRPr="00AC0BC7">
        <w:t>ICD-9 codes were used to specify underlying cause of death for the years 1979 to 1998. Beginning in 1999, cause of death was specified with ICD-10 codes. The two revisions differ substantially, so data from before 1999 cannot easily be compared with data from 1999 and later.</w:t>
      </w:r>
    </w:p>
    <w:p w14:paraId="53B1C4A0" w14:textId="77777777" w:rsidR="00015D7C" w:rsidRPr="00AC0BC7" w:rsidRDefault="00015D7C" w:rsidP="0032112C">
      <w:pPr>
        <w:pStyle w:val="ListParagraph"/>
      </w:pPr>
      <w:r w:rsidRPr="00AC0BC7">
        <w:t>The fact that a death is classified as “heat-related” does not mean that high temperatures were the only factor that caused the death. Pre-existing medical conditions can greatly increase an individual’s vulnerability to heat.</w:t>
      </w:r>
    </w:p>
    <w:p w14:paraId="20DD6CE0" w14:textId="296DA7F2" w:rsidR="00015D7C" w:rsidRDefault="00015D7C" w:rsidP="005E13C3">
      <w:pPr>
        <w:pStyle w:val="ListParagraph"/>
      </w:pPr>
      <w:r w:rsidRPr="00AC0BC7">
        <w:t>Heat waves are not the only factor that can affect trends in “heat-related” deaths. Other factors include the vulnerability of the population, the extent to which people have adapted to higher temperatures, the local climate and topography, and the steps people have taken to manage heat emergencies effectively.</w:t>
      </w:r>
      <w:r w:rsidR="00082B93">
        <w:t xml:space="preserve"> </w:t>
      </w:r>
      <w:proofErr w:type="gramStart"/>
      <w:r w:rsidR="00082B93">
        <w:t>In particular, h</w:t>
      </w:r>
      <w:r w:rsidRPr="00AC0BC7">
        <w:t>eat</w:t>
      </w:r>
      <w:r w:rsidR="001D38C3">
        <w:t>-</w:t>
      </w:r>
      <w:r w:rsidRPr="00AC0BC7">
        <w:t>response</w:t>
      </w:r>
      <w:proofErr w:type="gramEnd"/>
      <w:r w:rsidRPr="00AC0BC7">
        <w:t xml:space="preserve"> measures can make a big difference in death rates. Response measures can include early warning and surveillance systems, air conditioning, </w:t>
      </w:r>
      <w:r w:rsidR="00B955F1">
        <w:t xml:space="preserve">increased access to cooling centers, </w:t>
      </w:r>
      <w:r w:rsidRPr="00AC0BC7">
        <w:t xml:space="preserve">health care, public education, infrastructure standards, and air quality management. For example, after a 1995 heat wave, the </w:t>
      </w:r>
      <w:r w:rsidR="001D38C3">
        <w:t>c</w:t>
      </w:r>
      <w:r w:rsidRPr="00AC0BC7">
        <w:t xml:space="preserve">ity of Milwaukee developed a plan for responding to extreme heat conditions in the </w:t>
      </w:r>
      <w:r w:rsidRPr="00AC0BC7">
        <w:lastRenderedPageBreak/>
        <w:t xml:space="preserve">future. During </w:t>
      </w:r>
      <w:r w:rsidR="00493EDD">
        <w:t>a</w:t>
      </w:r>
      <w:r w:rsidRPr="00AC0BC7">
        <w:t xml:space="preserve"> 1999 heat wave, this plan cut heat-related deaths nearly in half compared with what was expected </w:t>
      </w:r>
      <w:r w:rsidR="00957B84">
        <w:fldChar w:fldCharType="begin"/>
      </w:r>
      <w:r w:rsidR="00957B84">
        <w:instrText xml:space="preserve"> ADDIN ZOTERO_ITEM CSL_CITATION {"citationID":"sioJn7y6","properties":{"formattedCitation":"(Weisskopf et al., 2002)","plainCitation":"(Weisskopf et al., 2002)","noteIndex":0},"citationItems":[{"id":27512,"uris":["http://zotero.org/groups/5470261/items/ZPHQQRWT"],"itemData":{"id":27512,"type":"article-journal","container-title":"American Journal of Public Health","ISSN":"0090-0036","issue":"5","journalAbbreviation":"Am J Public Health","note":"PMID: 11988455\nPMCID: PMC1447169","page":"830-833","source":"PubMed Central","title":"Heat wave morbidity and mortality, Milwaukee, Wis, 1999 vs. 1995: An improved response?","title-short":"Heat Wave Morbidity and Mortality, Milwaukee, Wis, 1999 vs 1995","URL":"www.ncbi.nlm.nih.gov/pmc/articles/PMC1447169","volume":"92","author":[{"family":"Weisskopf","given":"Marc G."},{"family":"Anderson","given":"Henry A."},{"family":"Foldy","given":"Seth"},{"family":"Hanrahan","given":"Lawrence P."},{"family":"Blair","given":"Kathleen"},{"family":"Török","given":"Thomas J."},{"family":"Rumm","given":"Peter D."}],"accessed":{"date-parts":[["2024",5,1]]},"issued":{"date-parts":[["2002",5]]}}}],"schema":"https://github.com/citation-style-language/schema/raw/master/csl-citation.json"} </w:instrText>
      </w:r>
      <w:r w:rsidR="00957B84">
        <w:fldChar w:fldCharType="separate"/>
      </w:r>
      <w:r w:rsidR="00957B84" w:rsidRPr="00957B84">
        <w:rPr>
          <w:rFonts w:ascii="Calibri" w:hAnsi="Calibri" w:cs="Calibri"/>
        </w:rPr>
        <w:t>(Weisskopf et al., 2002)</w:t>
      </w:r>
      <w:r w:rsidR="00957B84">
        <w:fldChar w:fldCharType="end"/>
      </w:r>
      <w:r w:rsidRPr="00AC0BC7">
        <w:t>.</w:t>
      </w:r>
    </w:p>
    <w:p w14:paraId="5DD1BB64" w14:textId="419E1AC6" w:rsidR="007B3A0F" w:rsidRPr="00AC0BC7" w:rsidRDefault="007B3A0F" w:rsidP="00954D8E">
      <w:pPr>
        <w:pStyle w:val="BodyText"/>
      </w:pPr>
      <w:r>
        <w:t xml:space="preserve">Other studies may shed some light on the extent of undercounting inherent in this data set. As described in </w:t>
      </w:r>
      <w:r w:rsidR="00BA6B70">
        <w:t xml:space="preserve">Sarofim et al. </w:t>
      </w:r>
      <w:r w:rsidR="009D4A76">
        <w:fldChar w:fldCharType="begin"/>
      </w:r>
      <w:r w:rsidR="009D4A76">
        <w:instrText xml:space="preserve"> ADDIN ZOTERO_ITEM CSL_CITATION {"citationID":"upBkjhF2","properties":{"formattedCitation":"(2016)","plainCitation":"(2016)","noteIndex":0},"citationItems":[{"id":27486,"uris":["http://zotero.org/groups/5470261/items/LCHICJC8"],"itemData":{"id":27486,"type":"chapter","container-title":"The impacts of climate change on human health in the United States: A scientific assessment","page":"43-69","title":"Chapter 2: Temperature-related death and illness","URL":"http://doi.org/10.7930/J0MG7MDX","container-author":[{"literal":"USGCRP (U.S. Global Change Research Program)"}],"author":[{"family":"Sarofim","given":"M.C."},{"family":"Saha","given":"S."},{"family":"Hawkins","given":"M.D."},{"family":"Mills","given":"D.M."},{"family":"Hess","given":"J."},{"family":"Horton","given":"R."},{"family":"Kinney","given":"P."},{"family":"Schwartz","given":"J."},{"family":"St. Juliana","given":"A."}],"issued":{"date-parts":[["2016"]]}},"label":"page","suppress-author":true}],"schema":"https://github.com/citation-style-language/schema/raw/master/csl-citation.json"} </w:instrText>
      </w:r>
      <w:r w:rsidR="009D4A76">
        <w:fldChar w:fldCharType="separate"/>
      </w:r>
      <w:r w:rsidR="009D4A76" w:rsidRPr="009D4A76">
        <w:rPr>
          <w:rFonts w:ascii="Calibri" w:hAnsi="Calibri" w:cs="Calibri"/>
        </w:rPr>
        <w:t>(2016)</w:t>
      </w:r>
      <w:r w:rsidR="009D4A76">
        <w:fldChar w:fldCharType="end"/>
      </w:r>
      <w:r>
        <w:t xml:space="preserve">, some statistical approaches estimate that more than 1,300 deaths per year in the United States are due to extreme heat, compared with about </w:t>
      </w:r>
      <w:r w:rsidR="00771236">
        <w:t>750</w:t>
      </w:r>
      <w:r>
        <w:t xml:space="preserve"> deaths per year in the “underlying and contributing causes” data set shown in Figure 1. The Chicago heat wave example shows that a single extreme heat event likely caused about 700 deaths</w:t>
      </w:r>
      <w:r w:rsidR="00084D17">
        <w:t xml:space="preserve"> that would not otherwise have occurred during that </w:t>
      </w:r>
      <w:proofErr w:type="gramStart"/>
      <w:r w:rsidR="00084D17">
        <w:t>time period</w:t>
      </w:r>
      <w:proofErr w:type="gramEnd"/>
      <w:r w:rsidR="00026AE3">
        <w:t>, even though only 465 deaths were attributed to extreme heat on death certificates during that period</w:t>
      </w:r>
      <w:r>
        <w:t>.</w:t>
      </w:r>
    </w:p>
    <w:p w14:paraId="69A69E4C" w14:textId="77777777" w:rsidR="00015D7C" w:rsidRPr="00AC0BC7" w:rsidRDefault="00015D7C" w:rsidP="0032112C">
      <w:pPr>
        <w:pStyle w:val="Heading2"/>
      </w:pPr>
      <w:r w:rsidRPr="00AC0BC7">
        <w:t>Sources of Uncertainty</w:t>
      </w:r>
    </w:p>
    <w:p w14:paraId="3813AA0B" w14:textId="77777777" w:rsidR="00015D7C" w:rsidRDefault="00015D7C" w:rsidP="0032112C">
      <w:pPr>
        <w:pStyle w:val="BodyText"/>
      </w:pPr>
      <w:r>
        <w:t xml:space="preserve">Uncertainty estimates are not available for this indicator. Because statistics have been gathered from virtually the entire target population (i.e., all deaths </w:t>
      </w:r>
      <w:proofErr w:type="gramStart"/>
      <w:r>
        <w:t>in a given year</w:t>
      </w:r>
      <w:proofErr w:type="gramEnd"/>
      <w:r>
        <w:t>), these data are not subject to the same kinds of errors and uncertainties that would be inherent in a probabilistic survey or other type of representative sampling program.</w:t>
      </w:r>
    </w:p>
    <w:p w14:paraId="76ED2F8B" w14:textId="038D7A77" w:rsidR="00015D7C" w:rsidRDefault="00015D7C" w:rsidP="0032112C">
      <w:pPr>
        <w:pStyle w:val="BodyText"/>
      </w:pPr>
      <w:r>
        <w:t xml:space="preserve">Some uncertainty could be introduced </w:t>
      </w:r>
      <w:proofErr w:type="gramStart"/>
      <w:r>
        <w:t>as a result of</w:t>
      </w:r>
      <w:proofErr w:type="gramEnd"/>
      <w:r>
        <w:t xml:space="preserve"> the professional judgment required of the medical professionals filling out the death certificates, which could result in misclassification or underreporting in some number of cases.</w:t>
      </w:r>
    </w:p>
    <w:p w14:paraId="064A0D0F" w14:textId="77777777" w:rsidR="00015D7C" w:rsidRPr="00AC0BC7" w:rsidRDefault="00015D7C" w:rsidP="0032112C">
      <w:pPr>
        <w:pStyle w:val="Heading2"/>
      </w:pPr>
      <w:r w:rsidRPr="00AC0BC7">
        <w:t>Sources of Variability</w:t>
      </w:r>
    </w:p>
    <w:p w14:paraId="61E3BA3C" w14:textId="15289245" w:rsidR="00015D7C" w:rsidRDefault="00015D7C" w:rsidP="0032112C">
      <w:pPr>
        <w:pStyle w:val="BodyText"/>
      </w:pPr>
      <w:r>
        <w:t>There is substantial year-to-year variability within the data, due in part to the influence of a few large events. Many of the spikes apparent in Figure</w:t>
      </w:r>
      <w:r w:rsidR="007F5B22">
        <w:t>s</w:t>
      </w:r>
      <w:r>
        <w:t xml:space="preserve"> 1 </w:t>
      </w:r>
      <w:r w:rsidR="007F5B22">
        <w:t xml:space="preserve">and 2 </w:t>
      </w:r>
      <w:r>
        <w:t>can be attributed to specific severe heat waves occurring in large urban areas.</w:t>
      </w:r>
    </w:p>
    <w:p w14:paraId="74E08412" w14:textId="77777777" w:rsidR="00015D7C" w:rsidRPr="00AC0BC7" w:rsidRDefault="00015D7C" w:rsidP="0032112C">
      <w:pPr>
        <w:pStyle w:val="Heading2"/>
      </w:pPr>
      <w:r w:rsidRPr="00AC0BC7">
        <w:t>Statistical/Trend Analysis</w:t>
      </w:r>
    </w:p>
    <w:p w14:paraId="643795F5" w14:textId="77777777" w:rsidR="00015D7C" w:rsidRDefault="00015D7C" w:rsidP="0032112C">
      <w:pPr>
        <w:pStyle w:val="BodyText"/>
      </w:pPr>
      <w:r>
        <w:t>This indicator does not report on the slope of the apparent trends in heat-related deaths, nor does it calculate the statistical significance of these trends.</w:t>
      </w:r>
    </w:p>
    <w:p w14:paraId="3BC8F66B" w14:textId="77777777" w:rsidR="00015D7C" w:rsidRDefault="00015D7C" w:rsidP="0032112C">
      <w:pPr>
        <w:pStyle w:val="Heading1nonumbering"/>
      </w:pPr>
      <w:r>
        <w:t>References</w:t>
      </w:r>
    </w:p>
    <w:p w14:paraId="200039F9" w14:textId="77777777" w:rsidR="00A121B7" w:rsidRPr="00A121B7" w:rsidRDefault="008F0A06" w:rsidP="00A121B7">
      <w:pPr>
        <w:pStyle w:val="Bibliography"/>
        <w:rPr>
          <w:rFonts w:ascii="Calibri" w:hAnsi="Calibri" w:cs="Calibri"/>
        </w:rPr>
      </w:pPr>
      <w:r>
        <w:fldChar w:fldCharType="begin"/>
      </w:r>
      <w:r w:rsidR="00A121B7">
        <w:instrText xml:space="preserve"> ADDIN ZOTERO_BIBL {"uncited":[],"omitted":[],"custom":[]} CSL_BIBLIOGRAPHY </w:instrText>
      </w:r>
      <w:r>
        <w:fldChar w:fldCharType="separate"/>
      </w:r>
      <w:r w:rsidR="00A121B7" w:rsidRPr="00A121B7">
        <w:rPr>
          <w:rFonts w:ascii="Calibri" w:hAnsi="Calibri" w:cs="Calibri"/>
        </w:rPr>
        <w:t xml:space="preserve">Berko, J., Ingram, D. D., Saha, S., &amp; Parker, J. D. (2014). </w:t>
      </w:r>
      <w:r w:rsidR="00A121B7" w:rsidRPr="00A121B7">
        <w:rPr>
          <w:rFonts w:ascii="Calibri" w:hAnsi="Calibri" w:cs="Calibri"/>
          <w:i/>
          <w:iCs/>
        </w:rPr>
        <w:t>Deaths attributed to heat, cold, and other weather events in the United States, 2006–2010</w:t>
      </w:r>
      <w:r w:rsidR="00A121B7" w:rsidRPr="00A121B7">
        <w:rPr>
          <w:rFonts w:ascii="Calibri" w:hAnsi="Calibri" w:cs="Calibri"/>
        </w:rPr>
        <w:t xml:space="preserve"> (National Health Statistics Reports, Number 76). National Center for Health Statistics. www.cdc.gov/nchs/data/nhsr/nhsr076.pdf</w:t>
      </w:r>
    </w:p>
    <w:p w14:paraId="43BCC4B2" w14:textId="77777777" w:rsidR="00A121B7" w:rsidRPr="00A121B7" w:rsidRDefault="00A121B7" w:rsidP="00A121B7">
      <w:pPr>
        <w:pStyle w:val="Bibliography"/>
        <w:rPr>
          <w:rFonts w:ascii="Calibri" w:hAnsi="Calibri" w:cs="Calibri"/>
        </w:rPr>
      </w:pPr>
      <w:r w:rsidRPr="00A121B7">
        <w:rPr>
          <w:rFonts w:ascii="Calibri" w:hAnsi="Calibri" w:cs="Calibri"/>
        </w:rPr>
        <w:t xml:space="preserve">CDC (U.S. Centers for Disease Control and Prevention). (1995). </w:t>
      </w:r>
      <w:r w:rsidRPr="00A121B7">
        <w:rPr>
          <w:rFonts w:ascii="Calibri" w:hAnsi="Calibri" w:cs="Calibri"/>
          <w:i/>
          <w:iCs/>
        </w:rPr>
        <w:t>Model State Vital Statistics Act and Regulations (revised April 1995)</w:t>
      </w:r>
      <w:r w:rsidRPr="00A121B7">
        <w:rPr>
          <w:rFonts w:ascii="Calibri" w:hAnsi="Calibri" w:cs="Calibri"/>
        </w:rPr>
        <w:t xml:space="preserve"> (DHHS publication no. 95-1115). www.cdc.gov/nchs/data/misc/mvsact92aacc.pdf</w:t>
      </w:r>
    </w:p>
    <w:p w14:paraId="3BD2C631" w14:textId="77777777" w:rsidR="00A121B7" w:rsidRPr="00A121B7" w:rsidRDefault="00A121B7" w:rsidP="00A121B7">
      <w:pPr>
        <w:pStyle w:val="Bibliography"/>
        <w:rPr>
          <w:rFonts w:ascii="Calibri" w:hAnsi="Calibri" w:cs="Calibri"/>
        </w:rPr>
      </w:pPr>
      <w:r w:rsidRPr="00A121B7">
        <w:rPr>
          <w:rFonts w:ascii="Calibri" w:hAnsi="Calibri" w:cs="Calibri"/>
        </w:rPr>
        <w:t xml:space="preserve">Hayden, M. H., Schramm, P. J., Beard, C. B., Bell, J. E., Bernstein, A. S., Bieniek-Tobasco, A., Cooley, N., Diuk-Wasser, M., Dorsey, M. K., Ebi, K., Ernst, K. C., Gorris, M. E., Howe, P. D., Khan, A. S., Lefthand-Begay, C., Maldonado, J., Saha, S., Shafiei, F., Vaidyanathan, A., &amp; Wilhelmi, O. V. (2023). Chapter 15: Human health. In USGCRP (U.S. Global Change Research Program), </w:t>
      </w:r>
      <w:r w:rsidRPr="00A121B7">
        <w:rPr>
          <w:rFonts w:ascii="Calibri" w:hAnsi="Calibri" w:cs="Calibri"/>
          <w:i/>
          <w:iCs/>
        </w:rPr>
        <w:t>Fifth National Climate Assessment</w:t>
      </w:r>
      <w:r w:rsidRPr="00A121B7">
        <w:rPr>
          <w:rFonts w:ascii="Calibri" w:hAnsi="Calibri" w:cs="Calibri"/>
        </w:rPr>
        <w:t>. https://doi.org/10.7930/NCA5.2023.CH15</w:t>
      </w:r>
    </w:p>
    <w:p w14:paraId="200A245D" w14:textId="77777777" w:rsidR="00A121B7" w:rsidRPr="00A121B7" w:rsidRDefault="00A121B7" w:rsidP="00A121B7">
      <w:pPr>
        <w:pStyle w:val="Bibliography"/>
        <w:rPr>
          <w:rFonts w:ascii="Calibri" w:hAnsi="Calibri" w:cs="Calibri"/>
        </w:rPr>
      </w:pPr>
      <w:r w:rsidRPr="00A121B7">
        <w:rPr>
          <w:rFonts w:ascii="Calibri" w:hAnsi="Calibri" w:cs="Calibri"/>
        </w:rPr>
        <w:lastRenderedPageBreak/>
        <w:t xml:space="preserve">Heron, M. (2021). Comparability of race-specific mortality data based on 1977 versus 1997 reporting standards. </w:t>
      </w:r>
      <w:r w:rsidRPr="00A121B7">
        <w:rPr>
          <w:rFonts w:ascii="Calibri" w:hAnsi="Calibri" w:cs="Calibri"/>
          <w:i/>
          <w:iCs/>
        </w:rPr>
        <w:t>National Vital Statistics Reports</w:t>
      </w:r>
      <w:r w:rsidRPr="00A121B7">
        <w:rPr>
          <w:rFonts w:ascii="Calibri" w:hAnsi="Calibri" w:cs="Calibri"/>
        </w:rPr>
        <w:t xml:space="preserve">, </w:t>
      </w:r>
      <w:r w:rsidRPr="00A121B7">
        <w:rPr>
          <w:rFonts w:ascii="Calibri" w:hAnsi="Calibri" w:cs="Calibri"/>
          <w:i/>
          <w:iCs/>
        </w:rPr>
        <w:t>70</w:t>
      </w:r>
      <w:r w:rsidRPr="00A121B7">
        <w:rPr>
          <w:rFonts w:ascii="Calibri" w:hAnsi="Calibri" w:cs="Calibri"/>
        </w:rPr>
        <w:t>(3). https://doi.org/10.15620/cdc:103476</w:t>
      </w:r>
    </w:p>
    <w:p w14:paraId="4021C01A" w14:textId="77777777" w:rsidR="00A121B7" w:rsidRPr="00A121B7" w:rsidRDefault="00A121B7" w:rsidP="00A121B7">
      <w:pPr>
        <w:pStyle w:val="Bibliography"/>
        <w:rPr>
          <w:rFonts w:ascii="Calibri" w:hAnsi="Calibri" w:cs="Calibri"/>
        </w:rPr>
      </w:pPr>
      <w:r w:rsidRPr="00A121B7">
        <w:rPr>
          <w:rFonts w:ascii="Calibri" w:hAnsi="Calibri" w:cs="Calibri"/>
        </w:rPr>
        <w:t xml:space="preserve">Kaiser, R., Le Tertre, A., Schwartz, J., Gotway, C. A., Daley, W. R., &amp; Rubin, C. H. (2007). The effect of the 1995 heat wave in Chicago on all-cause and cause-specific mortality. </w:t>
      </w:r>
      <w:r w:rsidRPr="00A121B7">
        <w:rPr>
          <w:rFonts w:ascii="Calibri" w:hAnsi="Calibri" w:cs="Calibri"/>
          <w:i/>
          <w:iCs/>
        </w:rPr>
        <w:t>American Journal of Public Health</w:t>
      </w:r>
      <w:r w:rsidRPr="00A121B7">
        <w:rPr>
          <w:rFonts w:ascii="Calibri" w:hAnsi="Calibri" w:cs="Calibri"/>
        </w:rPr>
        <w:t xml:space="preserve">, </w:t>
      </w:r>
      <w:r w:rsidRPr="00A121B7">
        <w:rPr>
          <w:rFonts w:ascii="Calibri" w:hAnsi="Calibri" w:cs="Calibri"/>
          <w:i/>
          <w:iCs/>
        </w:rPr>
        <w:t>97</w:t>
      </w:r>
      <w:r w:rsidRPr="00A121B7">
        <w:rPr>
          <w:rFonts w:ascii="Calibri" w:hAnsi="Calibri" w:cs="Calibri"/>
        </w:rPr>
        <w:t>(Suppl 1), S158–S162. https://doi.org/10.2105/AJPH.2006.100081</w:t>
      </w:r>
    </w:p>
    <w:p w14:paraId="69D387C0" w14:textId="77777777" w:rsidR="00A121B7" w:rsidRPr="00A121B7" w:rsidRDefault="00A121B7" w:rsidP="00A121B7">
      <w:pPr>
        <w:pStyle w:val="Bibliography"/>
        <w:rPr>
          <w:rFonts w:ascii="Calibri" w:hAnsi="Calibri" w:cs="Calibri"/>
        </w:rPr>
      </w:pPr>
      <w:r w:rsidRPr="00A121B7">
        <w:rPr>
          <w:rFonts w:ascii="Calibri" w:hAnsi="Calibri" w:cs="Calibri"/>
        </w:rPr>
        <w:t xml:space="preserve">Marvel, K., Su, W., Delgado, R., Aarons, S., Chatterjee, A., Garcia, M. E., Hausfather, Z., Hayhoe, K., Hence, D. A., Jewett, E. B., Robel, A., Singh, D., Tripati, A., &amp; Vose, R. S. (2023). Chapter 2: Climate trends. In USGCRP (U.S. Global Change Research Program), </w:t>
      </w:r>
      <w:r w:rsidRPr="00A121B7">
        <w:rPr>
          <w:rFonts w:ascii="Calibri" w:hAnsi="Calibri" w:cs="Calibri"/>
          <w:i/>
          <w:iCs/>
        </w:rPr>
        <w:t>Fifth National Climate Assessment</w:t>
      </w:r>
      <w:r w:rsidRPr="00A121B7">
        <w:rPr>
          <w:rFonts w:ascii="Calibri" w:hAnsi="Calibri" w:cs="Calibri"/>
        </w:rPr>
        <w:t>. https://doi.org/10.7930/NCA5.2023.CH2</w:t>
      </w:r>
    </w:p>
    <w:p w14:paraId="730BB693" w14:textId="77777777" w:rsidR="00A121B7" w:rsidRPr="00A121B7" w:rsidRDefault="00A121B7" w:rsidP="00A121B7">
      <w:pPr>
        <w:pStyle w:val="Bibliography"/>
        <w:rPr>
          <w:rFonts w:ascii="Calibri" w:hAnsi="Calibri" w:cs="Calibri"/>
        </w:rPr>
      </w:pPr>
      <w:r w:rsidRPr="00A121B7">
        <w:rPr>
          <w:rFonts w:ascii="Calibri" w:hAnsi="Calibri" w:cs="Calibri"/>
        </w:rPr>
        <w:t xml:space="preserve">Medina-Ramón, M., &amp; Schwartz, J. (2007). Temperature, temperature extremes, and mortality: A study of acclimatisation and effect modification in 50 US cities. </w:t>
      </w:r>
      <w:r w:rsidRPr="00A121B7">
        <w:rPr>
          <w:rFonts w:ascii="Calibri" w:hAnsi="Calibri" w:cs="Calibri"/>
          <w:i/>
          <w:iCs/>
        </w:rPr>
        <w:t>Occupational and Environmental Medicine</w:t>
      </w:r>
      <w:r w:rsidRPr="00A121B7">
        <w:rPr>
          <w:rFonts w:ascii="Calibri" w:hAnsi="Calibri" w:cs="Calibri"/>
        </w:rPr>
        <w:t xml:space="preserve">, </w:t>
      </w:r>
      <w:r w:rsidRPr="00A121B7">
        <w:rPr>
          <w:rFonts w:ascii="Calibri" w:hAnsi="Calibri" w:cs="Calibri"/>
          <w:i/>
          <w:iCs/>
        </w:rPr>
        <w:t>64</w:t>
      </w:r>
      <w:r w:rsidRPr="00A121B7">
        <w:rPr>
          <w:rFonts w:ascii="Calibri" w:hAnsi="Calibri" w:cs="Calibri"/>
        </w:rPr>
        <w:t>(12), 827–833. https://doi.org/10.1136/oem.2007.033175</w:t>
      </w:r>
    </w:p>
    <w:p w14:paraId="23681FD6" w14:textId="77777777" w:rsidR="00A121B7" w:rsidRPr="00A121B7" w:rsidRDefault="00A121B7" w:rsidP="00A121B7">
      <w:pPr>
        <w:pStyle w:val="Bibliography"/>
        <w:rPr>
          <w:rFonts w:ascii="Calibri" w:hAnsi="Calibri" w:cs="Calibri"/>
        </w:rPr>
      </w:pPr>
      <w:r w:rsidRPr="00A121B7">
        <w:rPr>
          <w:rFonts w:ascii="Calibri" w:hAnsi="Calibri" w:cs="Calibri"/>
        </w:rPr>
        <w:t xml:space="preserve">NRC (National Research Council). (2011). </w:t>
      </w:r>
      <w:r w:rsidRPr="00A121B7">
        <w:rPr>
          <w:rFonts w:ascii="Calibri" w:hAnsi="Calibri" w:cs="Calibri"/>
          <w:i/>
          <w:iCs/>
        </w:rPr>
        <w:t>Climate stabilization targets: Emissions, concentrations, and impacts over decades to millennia</w:t>
      </w:r>
      <w:r w:rsidRPr="00A121B7">
        <w:rPr>
          <w:rFonts w:ascii="Calibri" w:hAnsi="Calibri" w:cs="Calibri"/>
        </w:rPr>
        <w:t>. National Academies Press.</w:t>
      </w:r>
    </w:p>
    <w:p w14:paraId="6C9A2716" w14:textId="77777777" w:rsidR="00A121B7" w:rsidRPr="00A121B7" w:rsidRDefault="00A121B7" w:rsidP="00A121B7">
      <w:pPr>
        <w:pStyle w:val="Bibliography"/>
        <w:rPr>
          <w:rFonts w:ascii="Calibri" w:hAnsi="Calibri" w:cs="Calibri"/>
        </w:rPr>
      </w:pPr>
      <w:r w:rsidRPr="00A121B7">
        <w:rPr>
          <w:rFonts w:ascii="Calibri" w:hAnsi="Calibri" w:cs="Calibri"/>
        </w:rPr>
        <w:t xml:space="preserve">Sarofim, M. C., Saha, S., Hawkins, M. D., Mills, D. M., Hess, J., Horton, R., Kinney, P., Schwartz, J., &amp; St. Juliana, A. (2016). Chapter 2: Temperature-related death and illness. In USGCRP (U.S. Global Change Research Program), </w:t>
      </w:r>
      <w:r w:rsidRPr="00A121B7">
        <w:rPr>
          <w:rFonts w:ascii="Calibri" w:hAnsi="Calibri" w:cs="Calibri"/>
          <w:i/>
          <w:iCs/>
        </w:rPr>
        <w:t>The impacts of climate change on human health in the United States: A scientific assessment</w:t>
      </w:r>
      <w:r w:rsidRPr="00A121B7">
        <w:rPr>
          <w:rFonts w:ascii="Calibri" w:hAnsi="Calibri" w:cs="Calibri"/>
        </w:rPr>
        <w:t xml:space="preserve"> (pp. 43–69). http://doi.org/10.7930/J0MG7MDX</w:t>
      </w:r>
    </w:p>
    <w:p w14:paraId="70DA68BB" w14:textId="77777777" w:rsidR="00A121B7" w:rsidRPr="00A121B7" w:rsidRDefault="00A121B7" w:rsidP="00A121B7">
      <w:pPr>
        <w:pStyle w:val="Bibliography"/>
        <w:rPr>
          <w:rFonts w:ascii="Calibri" w:hAnsi="Calibri" w:cs="Calibri"/>
        </w:rPr>
      </w:pPr>
      <w:r w:rsidRPr="00A121B7">
        <w:rPr>
          <w:rFonts w:ascii="Calibri" w:hAnsi="Calibri" w:cs="Calibri"/>
        </w:rPr>
        <w:t xml:space="preserve">Weisskopf, M. G., Anderson, H. A., Foldy, S., Hanrahan, L. P., Blair, K., Török, T. J., &amp; Rumm, P. D. (2002). Heat wave morbidity and mortality, Milwaukee, Wis, 1999 vs. 1995: An improved response? </w:t>
      </w:r>
      <w:r w:rsidRPr="00A121B7">
        <w:rPr>
          <w:rFonts w:ascii="Calibri" w:hAnsi="Calibri" w:cs="Calibri"/>
          <w:i/>
          <w:iCs/>
        </w:rPr>
        <w:t>American Journal of Public Health</w:t>
      </w:r>
      <w:r w:rsidRPr="00A121B7">
        <w:rPr>
          <w:rFonts w:ascii="Calibri" w:hAnsi="Calibri" w:cs="Calibri"/>
        </w:rPr>
        <w:t xml:space="preserve">, </w:t>
      </w:r>
      <w:r w:rsidRPr="00A121B7">
        <w:rPr>
          <w:rFonts w:ascii="Calibri" w:hAnsi="Calibri" w:cs="Calibri"/>
          <w:i/>
          <w:iCs/>
        </w:rPr>
        <w:t>92</w:t>
      </w:r>
      <w:r w:rsidRPr="00A121B7">
        <w:rPr>
          <w:rFonts w:ascii="Calibri" w:hAnsi="Calibri" w:cs="Calibri"/>
        </w:rPr>
        <w:t>(5), 830–833. www.ncbi.nlm.nih.gov/pmc/articles/PMC1447169</w:t>
      </w:r>
    </w:p>
    <w:p w14:paraId="05F0C3F3" w14:textId="77777777" w:rsidR="00A121B7" w:rsidRPr="00A121B7" w:rsidRDefault="00A121B7" w:rsidP="00A121B7">
      <w:pPr>
        <w:pStyle w:val="Bibliography"/>
        <w:rPr>
          <w:rFonts w:ascii="Calibri" w:hAnsi="Calibri" w:cs="Calibri"/>
        </w:rPr>
      </w:pPr>
      <w:r w:rsidRPr="00A121B7">
        <w:rPr>
          <w:rFonts w:ascii="Calibri" w:hAnsi="Calibri" w:cs="Calibri"/>
        </w:rPr>
        <w:t xml:space="preserve">Zanobetti, A., O’Neill, M. S., Gronlund, C. J., &amp; Schwartz, J. D. (2012). Summer temperature variability and long-term survival among elderly people with chronic disease. </w:t>
      </w:r>
      <w:r w:rsidRPr="00A121B7">
        <w:rPr>
          <w:rFonts w:ascii="Calibri" w:hAnsi="Calibri" w:cs="Calibri"/>
          <w:i/>
          <w:iCs/>
        </w:rPr>
        <w:t>Proceedings of the National Academy of Sciences of the United States of America</w:t>
      </w:r>
      <w:r w:rsidRPr="00A121B7">
        <w:rPr>
          <w:rFonts w:ascii="Calibri" w:hAnsi="Calibri" w:cs="Calibri"/>
        </w:rPr>
        <w:t xml:space="preserve">, </w:t>
      </w:r>
      <w:r w:rsidRPr="00A121B7">
        <w:rPr>
          <w:rFonts w:ascii="Calibri" w:hAnsi="Calibri" w:cs="Calibri"/>
          <w:i/>
          <w:iCs/>
        </w:rPr>
        <w:t>109</w:t>
      </w:r>
      <w:r w:rsidRPr="00A121B7">
        <w:rPr>
          <w:rFonts w:ascii="Calibri" w:hAnsi="Calibri" w:cs="Calibri"/>
        </w:rPr>
        <w:t>(17), 6608–6613. https://doi.org/10.1073/pnas.1113070109</w:t>
      </w:r>
    </w:p>
    <w:p w14:paraId="7D35D8C7" w14:textId="12BA0521" w:rsidR="00247D12" w:rsidRPr="00F26E07" w:rsidRDefault="008F0A06" w:rsidP="000E43FD">
      <w:pPr>
        <w:pStyle w:val="BodyText"/>
      </w:pPr>
      <w:r>
        <w:fldChar w:fldCharType="end"/>
      </w:r>
    </w:p>
    <w:sectPr w:rsidR="00247D12" w:rsidRPr="00F26E07" w:rsidSect="007E43E7">
      <w:footerReference w:type="default" r:id="rId2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58660" w14:textId="77777777" w:rsidR="007123EB" w:rsidRDefault="007123EB" w:rsidP="00D90DC3">
      <w:r>
        <w:separator/>
      </w:r>
    </w:p>
  </w:endnote>
  <w:endnote w:type="continuationSeparator" w:id="0">
    <w:p w14:paraId="0149F899" w14:textId="77777777" w:rsidR="007123EB" w:rsidRDefault="007123EB" w:rsidP="00D90DC3">
      <w:r>
        <w:continuationSeparator/>
      </w:r>
    </w:p>
  </w:endnote>
  <w:endnote w:type="continuationNotice" w:id="1">
    <w:p w14:paraId="69BE92DA" w14:textId="77777777" w:rsidR="007123EB" w:rsidRDefault="007123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38840"/>
      <w:docPartObj>
        <w:docPartGallery w:val="Page Numbers (Bottom of Page)"/>
        <w:docPartUnique/>
      </w:docPartObj>
    </w:sdtPr>
    <w:sdtEndPr>
      <w:rPr>
        <w:i w:val="0"/>
      </w:rPr>
    </w:sdtEndPr>
    <w:sdtContent>
      <w:p w14:paraId="489B7395" w14:textId="371D9D10" w:rsidR="00C72960" w:rsidRPr="00F91EA6" w:rsidRDefault="000B78D5" w:rsidP="00F91EA6">
        <w:pPr>
          <w:pStyle w:val="Footer"/>
          <w:jc w:val="right"/>
          <w:rPr>
            <w:rFonts w:asciiTheme="minorHAnsi" w:hAnsiTheme="minorHAnsi"/>
            <w:color w:val="auto"/>
            <w:sz w:val="22"/>
          </w:rPr>
        </w:pPr>
        <w:r>
          <w:t>Technical Documentation: Heat-Related Deaths</w:t>
        </w:r>
        <w:r>
          <w:tab/>
        </w:r>
        <w:r>
          <w:fldChar w:fldCharType="begin"/>
        </w:r>
        <w:r>
          <w:instrText xml:space="preserve"> PAGE   \* MERGEFORMAT </w:instrText>
        </w:r>
        <w:r>
          <w:fldChar w:fldCharType="separate"/>
        </w:r>
        <w:r w:rsidR="00C74568" w:rsidRPr="00C74568">
          <w:rPr>
            <w:i w:val="0"/>
            <w:noProof/>
          </w:rPr>
          <w:t>5</w:t>
        </w:r>
        <w:r>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9F219" w14:textId="77777777" w:rsidR="007123EB" w:rsidRDefault="007123EB" w:rsidP="00D90DC3">
      <w:r>
        <w:separator/>
      </w:r>
    </w:p>
  </w:footnote>
  <w:footnote w:type="continuationSeparator" w:id="0">
    <w:p w14:paraId="6C146D8B" w14:textId="77777777" w:rsidR="007123EB" w:rsidRDefault="007123EB" w:rsidP="00D90DC3">
      <w:r>
        <w:continuationSeparator/>
      </w:r>
    </w:p>
  </w:footnote>
  <w:footnote w:type="continuationNotice" w:id="1">
    <w:p w14:paraId="3C1F23CC" w14:textId="77777777" w:rsidR="007123EB" w:rsidRDefault="007123E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654659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ECE6DE9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832E0ED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6C00AA7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E5E8890"/>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7781BC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4B3EDD4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E361B0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0CE6B5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81C3D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5EE7E0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CF22CFB"/>
    <w:multiLevelType w:val="hybridMultilevel"/>
    <w:tmpl w:val="CFE89E32"/>
    <w:lvl w:ilvl="0" w:tplc="93406F54">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683CF0"/>
    <w:multiLevelType w:val="hybridMultilevel"/>
    <w:tmpl w:val="100AC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B05DAF"/>
    <w:multiLevelType w:val="multilevel"/>
    <w:tmpl w:val="A2BC840A"/>
    <w:lvl w:ilvl="0">
      <w:start w:val="10"/>
      <w:numFmt w:val="decimal"/>
      <w:lvlText w:val="%1."/>
      <w:lvlJc w:val="left"/>
      <w:pPr>
        <w:tabs>
          <w:tab w:val="left" w:pos="360"/>
        </w:tabs>
        <w:ind w:left="720"/>
      </w:pPr>
      <w:rPr>
        <w:rFonts w:ascii="Arial" w:eastAsia="Arial" w:hAnsi="Arial"/>
        <w:b/>
        <w:strike w:val="0"/>
        <w:color w:val="005E9D"/>
        <w:spacing w:val="4"/>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CD8089E"/>
    <w:multiLevelType w:val="multilevel"/>
    <w:tmpl w:val="874283BA"/>
    <w:lvl w:ilvl="0">
      <w:start w:val="1"/>
      <w:numFmt w:val="bullet"/>
      <w:lvlText w:val="·"/>
      <w:lvlJc w:val="left"/>
      <w:pPr>
        <w:tabs>
          <w:tab w:val="left" w:pos="360"/>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DFE2DC1"/>
    <w:multiLevelType w:val="hybridMultilevel"/>
    <w:tmpl w:val="3CD04356"/>
    <w:lvl w:ilvl="0" w:tplc="357662A2">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38153B"/>
    <w:multiLevelType w:val="hybridMultilevel"/>
    <w:tmpl w:val="2A1820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37425B"/>
    <w:multiLevelType w:val="multilevel"/>
    <w:tmpl w:val="74BE3FA4"/>
    <w:lvl w:ilvl="0">
      <w:start w:val="7"/>
      <w:numFmt w:val="none"/>
      <w:pStyle w:val="Heading1nonumbering"/>
      <w:suff w:val="nothing"/>
      <w:lvlText w:val="%1"/>
      <w:lvlJc w:val="left"/>
      <w:pPr>
        <w:ind w:left="0" w:firstLine="0"/>
      </w:pPr>
      <w:rPr>
        <w:rFonts w:hint="default"/>
        <w:caps w:val="0"/>
        <w:strike w:val="0"/>
        <w:dstrike w:val="0"/>
        <w:vanish w:val="0"/>
        <w:color w:val="005E9D"/>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6"/>
      <w:numFmt w:val="decimal"/>
      <w:lvlRestart w:val="0"/>
      <w:pStyle w:val="Heading2"/>
      <w:lvlText w:val="%2."/>
      <w:lvlJc w:val="left"/>
      <w:pPr>
        <w:ind w:left="446" w:hanging="446"/>
      </w:pPr>
      <w:rPr>
        <w:rFonts w:hint="default"/>
        <w:caps w:val="0"/>
        <w:strike w:val="0"/>
        <w:dstrike w:val="0"/>
        <w:vanish w:val="0"/>
        <w:color w:val="005E9D"/>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2.%3"/>
      <w:lvlJc w:val="left"/>
      <w:pPr>
        <w:tabs>
          <w:tab w:val="num" w:pos="446"/>
        </w:tabs>
        <w:ind w:left="900" w:hanging="454"/>
      </w:pPr>
      <w:rPr>
        <w:rFonts w:hint="default"/>
        <w:caps w:val="0"/>
        <w:strike w:val="0"/>
        <w:dstrike w:val="0"/>
        <w:vanish w:val="0"/>
        <w:color w:val="005E9D"/>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80"/>
        </w:tabs>
        <w:ind w:left="-200" w:firstLine="0"/>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320"/>
        </w:tabs>
        <w:ind w:left="2032" w:hanging="792"/>
      </w:pPr>
      <w:rPr>
        <w:rFonts w:hint="default"/>
      </w:rPr>
    </w:lvl>
    <w:lvl w:ilvl="5">
      <w:start w:val="1"/>
      <w:numFmt w:val="decimal"/>
      <w:lvlText w:val="%1.%2.%3.%4.%5.%6."/>
      <w:lvlJc w:val="left"/>
      <w:pPr>
        <w:tabs>
          <w:tab w:val="num" w:pos="2680"/>
        </w:tabs>
        <w:ind w:left="2536" w:hanging="936"/>
      </w:pPr>
      <w:rPr>
        <w:rFonts w:hint="default"/>
      </w:rPr>
    </w:lvl>
    <w:lvl w:ilvl="6">
      <w:start w:val="1"/>
      <w:numFmt w:val="decimal"/>
      <w:lvlText w:val="%1.%2.%3.%4.%5.%6.%7."/>
      <w:lvlJc w:val="left"/>
      <w:pPr>
        <w:tabs>
          <w:tab w:val="num" w:pos="3400"/>
        </w:tabs>
        <w:ind w:left="3040" w:hanging="1080"/>
      </w:pPr>
      <w:rPr>
        <w:rFonts w:hint="default"/>
      </w:rPr>
    </w:lvl>
    <w:lvl w:ilvl="7">
      <w:start w:val="1"/>
      <w:numFmt w:val="decimal"/>
      <w:lvlText w:val="%1.%2.%3.%4.%5.%6.%7.%8."/>
      <w:lvlJc w:val="left"/>
      <w:pPr>
        <w:tabs>
          <w:tab w:val="num" w:pos="3760"/>
        </w:tabs>
        <w:ind w:left="3544" w:hanging="1224"/>
      </w:pPr>
      <w:rPr>
        <w:rFonts w:hint="default"/>
      </w:rPr>
    </w:lvl>
    <w:lvl w:ilvl="8">
      <w:start w:val="1"/>
      <w:numFmt w:val="decimal"/>
      <w:lvlText w:val="%1.%2.%3.%4.%5.%6.%7.%8.%9."/>
      <w:lvlJc w:val="left"/>
      <w:pPr>
        <w:tabs>
          <w:tab w:val="num" w:pos="4480"/>
        </w:tabs>
        <w:ind w:left="4120" w:hanging="1440"/>
      </w:pPr>
      <w:rPr>
        <w:rFonts w:hint="default"/>
      </w:rPr>
    </w:lvl>
  </w:abstractNum>
  <w:abstractNum w:abstractNumId="18" w15:restartNumberingAfterBreak="0">
    <w:nsid w:val="497314B8"/>
    <w:multiLevelType w:val="hybridMultilevel"/>
    <w:tmpl w:val="531E1076"/>
    <w:lvl w:ilvl="0" w:tplc="F19E0552">
      <w:start w:val="1"/>
      <w:numFmt w:val="bullet"/>
      <w:pStyle w:val="Bullet2"/>
      <w:lvlText w:val=""/>
      <w:lvlJc w:val="left"/>
      <w:pPr>
        <w:tabs>
          <w:tab w:val="num" w:pos="1080"/>
        </w:tabs>
        <w:ind w:left="1080" w:hanging="360"/>
      </w:pPr>
      <w:rPr>
        <w:rFonts w:ascii="Symbol" w:hAnsi="Symbol"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900CCF"/>
    <w:multiLevelType w:val="hybridMultilevel"/>
    <w:tmpl w:val="344E0846"/>
    <w:lvl w:ilvl="0" w:tplc="4FF0FC64">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D92628"/>
    <w:multiLevelType w:val="hybridMultilevel"/>
    <w:tmpl w:val="F7066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627F7B"/>
    <w:multiLevelType w:val="hybridMultilevel"/>
    <w:tmpl w:val="2A1820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833D3B"/>
    <w:multiLevelType w:val="multilevel"/>
    <w:tmpl w:val="8452A3BA"/>
    <w:lvl w:ilvl="0">
      <w:start w:val="2"/>
      <w:numFmt w:val="decimal"/>
      <w:lvlText w:val="%1."/>
      <w:lvlJc w:val="left"/>
      <w:pPr>
        <w:tabs>
          <w:tab w:val="left" w:pos="504"/>
        </w:tabs>
        <w:ind w:left="720"/>
      </w:pPr>
      <w:rPr>
        <w:rFonts w:ascii="Arial" w:eastAsia="Arial" w:hAnsi="Arial"/>
        <w:b/>
        <w:strike w:val="0"/>
        <w:color w:val="005E9D"/>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9FE2108"/>
    <w:multiLevelType w:val="multilevel"/>
    <w:tmpl w:val="3D728E30"/>
    <w:lvl w:ilvl="0">
      <w:start w:val="1"/>
      <w:numFmt w:val="decimal"/>
      <w:lvlText w:val="%1."/>
      <w:lvlJc w:val="left"/>
      <w:pPr>
        <w:tabs>
          <w:tab w:val="left" w:pos="360"/>
        </w:tabs>
        <w:ind w:left="720"/>
      </w:pPr>
      <w:rPr>
        <w:rFonts w:ascii="Tahoma" w:eastAsia="Tahoma" w:hAnsi="Tahoma"/>
        <w:strike w:val="0"/>
        <w:color w:val="000000"/>
        <w:spacing w:val="4"/>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E390389"/>
    <w:multiLevelType w:val="multilevel"/>
    <w:tmpl w:val="7694AFEA"/>
    <w:lvl w:ilvl="0">
      <w:start w:val="4"/>
      <w:numFmt w:val="decimal"/>
      <w:lvlText w:val="%1."/>
      <w:lvlJc w:val="left"/>
      <w:pPr>
        <w:tabs>
          <w:tab w:val="left" w:pos="504"/>
        </w:tabs>
        <w:ind w:left="720"/>
      </w:pPr>
      <w:rPr>
        <w:rFonts w:ascii="Arial" w:eastAsia="Arial" w:hAnsi="Arial"/>
        <w:b/>
        <w:strike w:val="0"/>
        <w:color w:val="005E9D"/>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0CF3489"/>
    <w:multiLevelType w:val="hybridMultilevel"/>
    <w:tmpl w:val="3CB446D0"/>
    <w:lvl w:ilvl="0" w:tplc="88F22CAA">
      <w:start w:val="1"/>
      <w:numFmt w:val="decimal"/>
      <w:pStyle w:val="ListParagraph"/>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2082832"/>
    <w:multiLevelType w:val="multilevel"/>
    <w:tmpl w:val="927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3392D"/>
    <w:multiLevelType w:val="multilevel"/>
    <w:tmpl w:val="3D728E30"/>
    <w:lvl w:ilvl="0">
      <w:start w:val="1"/>
      <w:numFmt w:val="decimal"/>
      <w:lvlText w:val="%1."/>
      <w:lvlJc w:val="left"/>
      <w:pPr>
        <w:tabs>
          <w:tab w:val="left" w:pos="360"/>
        </w:tabs>
        <w:ind w:left="720"/>
      </w:pPr>
      <w:rPr>
        <w:rFonts w:ascii="Tahoma" w:eastAsia="Tahoma" w:hAnsi="Tahoma"/>
        <w:strike w:val="0"/>
        <w:color w:val="000000"/>
        <w:spacing w:val="4"/>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CBD5C12"/>
    <w:multiLevelType w:val="multilevel"/>
    <w:tmpl w:val="3D728E30"/>
    <w:lvl w:ilvl="0">
      <w:start w:val="1"/>
      <w:numFmt w:val="decimal"/>
      <w:lvlText w:val="%1."/>
      <w:lvlJc w:val="left"/>
      <w:pPr>
        <w:tabs>
          <w:tab w:val="left" w:pos="360"/>
        </w:tabs>
        <w:ind w:left="720"/>
      </w:pPr>
      <w:rPr>
        <w:rFonts w:ascii="Tahoma" w:eastAsia="Tahoma" w:hAnsi="Tahoma"/>
        <w:strike w:val="0"/>
        <w:color w:val="000000"/>
        <w:spacing w:val="4"/>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2782828"/>
    <w:multiLevelType w:val="hybridMultilevel"/>
    <w:tmpl w:val="8A64B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CF31C9"/>
    <w:multiLevelType w:val="multilevel"/>
    <w:tmpl w:val="4EFA2738"/>
    <w:lvl w:ilvl="0">
      <w:start w:val="8"/>
      <w:numFmt w:val="decimal"/>
      <w:lvlText w:val="%1."/>
      <w:lvlJc w:val="left"/>
      <w:pPr>
        <w:tabs>
          <w:tab w:val="left" w:pos="504"/>
        </w:tabs>
        <w:ind w:left="720"/>
      </w:pPr>
      <w:rPr>
        <w:rFonts w:ascii="Arial" w:eastAsia="Arial" w:hAnsi="Arial"/>
        <w:b/>
        <w:strike w:val="0"/>
        <w:color w:val="005E9D"/>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F274332"/>
    <w:multiLevelType w:val="multilevel"/>
    <w:tmpl w:val="28E09278"/>
    <w:lvl w:ilvl="0">
      <w:start w:val="1"/>
      <w:numFmt w:val="bullet"/>
      <w:lvlText w:val="·"/>
      <w:lvlJc w:val="left"/>
      <w:pPr>
        <w:tabs>
          <w:tab w:val="left" w:pos="288"/>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78313877">
    <w:abstractNumId w:val="31"/>
  </w:num>
  <w:num w:numId="2" w16cid:durableId="1104887316">
    <w:abstractNumId w:val="22"/>
  </w:num>
  <w:num w:numId="3" w16cid:durableId="1912229754">
    <w:abstractNumId w:val="24"/>
  </w:num>
  <w:num w:numId="4" w16cid:durableId="645478446">
    <w:abstractNumId w:val="14"/>
  </w:num>
  <w:num w:numId="5" w16cid:durableId="79766166">
    <w:abstractNumId w:val="30"/>
  </w:num>
  <w:num w:numId="6" w16cid:durableId="2019455803">
    <w:abstractNumId w:val="28"/>
  </w:num>
  <w:num w:numId="7" w16cid:durableId="1487824057">
    <w:abstractNumId w:val="13"/>
  </w:num>
  <w:num w:numId="8" w16cid:durableId="675109083">
    <w:abstractNumId w:val="20"/>
  </w:num>
  <w:num w:numId="9" w16cid:durableId="910502782">
    <w:abstractNumId w:val="12"/>
  </w:num>
  <w:num w:numId="10" w16cid:durableId="242691109">
    <w:abstractNumId w:val="26"/>
  </w:num>
  <w:num w:numId="11" w16cid:durableId="1023819015">
    <w:abstractNumId w:val="23"/>
  </w:num>
  <w:num w:numId="12" w16cid:durableId="701053197">
    <w:abstractNumId w:val="27"/>
  </w:num>
  <w:num w:numId="13" w16cid:durableId="489055007">
    <w:abstractNumId w:val="21"/>
  </w:num>
  <w:num w:numId="14" w16cid:durableId="1801338558">
    <w:abstractNumId w:val="16"/>
  </w:num>
  <w:num w:numId="15" w16cid:durableId="304702673">
    <w:abstractNumId w:val="15"/>
  </w:num>
  <w:num w:numId="16" w16cid:durableId="650839018">
    <w:abstractNumId w:val="0"/>
  </w:num>
  <w:num w:numId="17" w16cid:durableId="564532562">
    <w:abstractNumId w:val="10"/>
  </w:num>
  <w:num w:numId="18" w16cid:durableId="1790392649">
    <w:abstractNumId w:val="8"/>
  </w:num>
  <w:num w:numId="19" w16cid:durableId="581722230">
    <w:abstractNumId w:val="7"/>
  </w:num>
  <w:num w:numId="20" w16cid:durableId="498353238">
    <w:abstractNumId w:val="6"/>
  </w:num>
  <w:num w:numId="21" w16cid:durableId="1043364138">
    <w:abstractNumId w:val="5"/>
  </w:num>
  <w:num w:numId="22" w16cid:durableId="873539324">
    <w:abstractNumId w:val="9"/>
  </w:num>
  <w:num w:numId="23" w16cid:durableId="355890820">
    <w:abstractNumId w:val="11"/>
  </w:num>
  <w:num w:numId="24" w16cid:durableId="1966233089">
    <w:abstractNumId w:val="17"/>
  </w:num>
  <w:num w:numId="25" w16cid:durableId="1825466677">
    <w:abstractNumId w:val="17"/>
  </w:num>
  <w:num w:numId="26" w16cid:durableId="714738010">
    <w:abstractNumId w:val="17"/>
  </w:num>
  <w:num w:numId="27" w16cid:durableId="632714076">
    <w:abstractNumId w:val="10"/>
  </w:num>
  <w:num w:numId="28" w16cid:durableId="491801556">
    <w:abstractNumId w:val="10"/>
  </w:num>
  <w:num w:numId="29" w16cid:durableId="1280532245">
    <w:abstractNumId w:val="10"/>
  </w:num>
  <w:num w:numId="30" w16cid:durableId="1209995201">
    <w:abstractNumId w:val="10"/>
  </w:num>
  <w:num w:numId="31" w16cid:durableId="1915361008">
    <w:abstractNumId w:val="10"/>
  </w:num>
  <w:num w:numId="32" w16cid:durableId="1890070346">
    <w:abstractNumId w:val="4"/>
  </w:num>
  <w:num w:numId="33" w16cid:durableId="1826316566">
    <w:abstractNumId w:val="3"/>
  </w:num>
  <w:num w:numId="34" w16cid:durableId="546767181">
    <w:abstractNumId w:val="2"/>
  </w:num>
  <w:num w:numId="35" w16cid:durableId="233323737">
    <w:abstractNumId w:val="1"/>
  </w:num>
  <w:num w:numId="36" w16cid:durableId="1805998569">
    <w:abstractNumId w:val="17"/>
    <w:lvlOverride w:ilvl="0">
      <w:startOverride w:val="2"/>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72855402">
    <w:abstractNumId w:val="17"/>
    <w:lvlOverride w:ilvl="0">
      <w:startOverride w:val="2"/>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0225069">
    <w:abstractNumId w:val="17"/>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60535336">
    <w:abstractNumId w:val="17"/>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10873402">
    <w:abstractNumId w:val="17"/>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97938699">
    <w:abstractNumId w:val="17"/>
    <w:lvlOverride w:ilvl="0">
      <w:startOverride w:val="2"/>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95561398">
    <w:abstractNumId w:val="18"/>
  </w:num>
  <w:num w:numId="43" w16cid:durableId="1415392255">
    <w:abstractNumId w:val="25"/>
  </w:num>
  <w:num w:numId="44" w16cid:durableId="1662853540">
    <w:abstractNumId w:val="25"/>
  </w:num>
  <w:num w:numId="45" w16cid:durableId="3576993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24890">
    <w:abstractNumId w:val="25"/>
  </w:num>
  <w:num w:numId="47" w16cid:durableId="265314507">
    <w:abstractNumId w:val="17"/>
    <w:lvlOverride w:ilvl="0">
      <w:startOverride w:val="7"/>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52894773">
    <w:abstractNumId w:val="25"/>
  </w:num>
  <w:num w:numId="49" w16cid:durableId="63914648">
    <w:abstractNumId w:val="1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14841598">
    <w:abstractNumId w:val="19"/>
  </w:num>
  <w:num w:numId="51" w16cid:durableId="481242404">
    <w:abstractNumId w:val="2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4AB"/>
    <w:rsid w:val="00003F21"/>
    <w:rsid w:val="00011A7A"/>
    <w:rsid w:val="00012473"/>
    <w:rsid w:val="00015D7C"/>
    <w:rsid w:val="00015DC1"/>
    <w:rsid w:val="00015F9E"/>
    <w:rsid w:val="00026AE3"/>
    <w:rsid w:val="00031DBE"/>
    <w:rsid w:val="00036C08"/>
    <w:rsid w:val="0004164B"/>
    <w:rsid w:val="0004407D"/>
    <w:rsid w:val="00045D96"/>
    <w:rsid w:val="000469E9"/>
    <w:rsid w:val="000478A1"/>
    <w:rsid w:val="00065B93"/>
    <w:rsid w:val="00066D59"/>
    <w:rsid w:val="00076389"/>
    <w:rsid w:val="00082B93"/>
    <w:rsid w:val="00084D17"/>
    <w:rsid w:val="000936E0"/>
    <w:rsid w:val="000947B7"/>
    <w:rsid w:val="00095FCC"/>
    <w:rsid w:val="000A277C"/>
    <w:rsid w:val="000A40C8"/>
    <w:rsid w:val="000A74DF"/>
    <w:rsid w:val="000B388A"/>
    <w:rsid w:val="000B78D5"/>
    <w:rsid w:val="000C0D99"/>
    <w:rsid w:val="000C3688"/>
    <w:rsid w:val="000D03A5"/>
    <w:rsid w:val="000D1973"/>
    <w:rsid w:val="000E1401"/>
    <w:rsid w:val="000E3E83"/>
    <w:rsid w:val="000E43FD"/>
    <w:rsid w:val="000E6485"/>
    <w:rsid w:val="000E7B3B"/>
    <w:rsid w:val="000F06D3"/>
    <w:rsid w:val="000F4EE6"/>
    <w:rsid w:val="000F6712"/>
    <w:rsid w:val="000F71F6"/>
    <w:rsid w:val="001009D2"/>
    <w:rsid w:val="0010131A"/>
    <w:rsid w:val="001013DB"/>
    <w:rsid w:val="00103C7A"/>
    <w:rsid w:val="00103DA5"/>
    <w:rsid w:val="00106284"/>
    <w:rsid w:val="00106D31"/>
    <w:rsid w:val="00112419"/>
    <w:rsid w:val="001138EE"/>
    <w:rsid w:val="00114203"/>
    <w:rsid w:val="00115573"/>
    <w:rsid w:val="0011627E"/>
    <w:rsid w:val="00117740"/>
    <w:rsid w:val="00122FB5"/>
    <w:rsid w:val="00127DC0"/>
    <w:rsid w:val="00135581"/>
    <w:rsid w:val="001366EF"/>
    <w:rsid w:val="0014552C"/>
    <w:rsid w:val="00150535"/>
    <w:rsid w:val="00163949"/>
    <w:rsid w:val="00166F18"/>
    <w:rsid w:val="00170531"/>
    <w:rsid w:val="001720C1"/>
    <w:rsid w:val="0017406F"/>
    <w:rsid w:val="001A2D26"/>
    <w:rsid w:val="001A3919"/>
    <w:rsid w:val="001B2809"/>
    <w:rsid w:val="001B5A8B"/>
    <w:rsid w:val="001C6D9E"/>
    <w:rsid w:val="001C73AA"/>
    <w:rsid w:val="001C784C"/>
    <w:rsid w:val="001C7B91"/>
    <w:rsid w:val="001D38C3"/>
    <w:rsid w:val="001D7E67"/>
    <w:rsid w:val="001E5A83"/>
    <w:rsid w:val="001F1434"/>
    <w:rsid w:val="001F2654"/>
    <w:rsid w:val="001F28A2"/>
    <w:rsid w:val="001F5E55"/>
    <w:rsid w:val="002034CB"/>
    <w:rsid w:val="00211C50"/>
    <w:rsid w:val="0021342F"/>
    <w:rsid w:val="00222A5E"/>
    <w:rsid w:val="00225048"/>
    <w:rsid w:val="0022568B"/>
    <w:rsid w:val="00227B89"/>
    <w:rsid w:val="0023326F"/>
    <w:rsid w:val="002350C9"/>
    <w:rsid w:val="00237221"/>
    <w:rsid w:val="00240EBB"/>
    <w:rsid w:val="0024112C"/>
    <w:rsid w:val="00247D12"/>
    <w:rsid w:val="002612F9"/>
    <w:rsid w:val="0026301E"/>
    <w:rsid w:val="002666B8"/>
    <w:rsid w:val="00272436"/>
    <w:rsid w:val="0027334A"/>
    <w:rsid w:val="00273AC7"/>
    <w:rsid w:val="002756D3"/>
    <w:rsid w:val="00277409"/>
    <w:rsid w:val="00285F5B"/>
    <w:rsid w:val="00293FD1"/>
    <w:rsid w:val="00296F2E"/>
    <w:rsid w:val="002A08B6"/>
    <w:rsid w:val="002B3E91"/>
    <w:rsid w:val="002B589D"/>
    <w:rsid w:val="002B76BD"/>
    <w:rsid w:val="002C496A"/>
    <w:rsid w:val="002C73D1"/>
    <w:rsid w:val="002D0329"/>
    <w:rsid w:val="002D453B"/>
    <w:rsid w:val="002D640C"/>
    <w:rsid w:val="002E3110"/>
    <w:rsid w:val="002E64FF"/>
    <w:rsid w:val="002F107A"/>
    <w:rsid w:val="002F67B5"/>
    <w:rsid w:val="00300D96"/>
    <w:rsid w:val="00302C10"/>
    <w:rsid w:val="003071FF"/>
    <w:rsid w:val="00315423"/>
    <w:rsid w:val="0032112C"/>
    <w:rsid w:val="0032517D"/>
    <w:rsid w:val="00326CF5"/>
    <w:rsid w:val="003406F1"/>
    <w:rsid w:val="00354465"/>
    <w:rsid w:val="003573AE"/>
    <w:rsid w:val="00361D75"/>
    <w:rsid w:val="0036503E"/>
    <w:rsid w:val="0036588B"/>
    <w:rsid w:val="003667C6"/>
    <w:rsid w:val="0037154E"/>
    <w:rsid w:val="0038223F"/>
    <w:rsid w:val="00386C13"/>
    <w:rsid w:val="00386F96"/>
    <w:rsid w:val="00392B13"/>
    <w:rsid w:val="00392D7E"/>
    <w:rsid w:val="003B558A"/>
    <w:rsid w:val="003B55E1"/>
    <w:rsid w:val="003B64FA"/>
    <w:rsid w:val="003C070D"/>
    <w:rsid w:val="003C1FEF"/>
    <w:rsid w:val="003D69B8"/>
    <w:rsid w:val="003E6C5C"/>
    <w:rsid w:val="003F145C"/>
    <w:rsid w:val="003F2260"/>
    <w:rsid w:val="003F6DD0"/>
    <w:rsid w:val="004002B8"/>
    <w:rsid w:val="00402234"/>
    <w:rsid w:val="0040624C"/>
    <w:rsid w:val="00406565"/>
    <w:rsid w:val="00406F88"/>
    <w:rsid w:val="004142A0"/>
    <w:rsid w:val="00423AA4"/>
    <w:rsid w:val="004241F9"/>
    <w:rsid w:val="004375BF"/>
    <w:rsid w:val="00437801"/>
    <w:rsid w:val="00437EA1"/>
    <w:rsid w:val="00441989"/>
    <w:rsid w:val="00442232"/>
    <w:rsid w:val="004423D2"/>
    <w:rsid w:val="004601D7"/>
    <w:rsid w:val="00460F0B"/>
    <w:rsid w:val="00462232"/>
    <w:rsid w:val="004706D5"/>
    <w:rsid w:val="004725C1"/>
    <w:rsid w:val="00473B0C"/>
    <w:rsid w:val="004841C1"/>
    <w:rsid w:val="0048703B"/>
    <w:rsid w:val="00490207"/>
    <w:rsid w:val="004914DB"/>
    <w:rsid w:val="00493EDD"/>
    <w:rsid w:val="0049482F"/>
    <w:rsid w:val="00496693"/>
    <w:rsid w:val="004A0E5D"/>
    <w:rsid w:val="004A3010"/>
    <w:rsid w:val="004A36DB"/>
    <w:rsid w:val="004A52BE"/>
    <w:rsid w:val="004B49D3"/>
    <w:rsid w:val="004B4FA0"/>
    <w:rsid w:val="004B61F4"/>
    <w:rsid w:val="004B6D40"/>
    <w:rsid w:val="004C1F7F"/>
    <w:rsid w:val="004D59E8"/>
    <w:rsid w:val="004D61D6"/>
    <w:rsid w:val="004D6BA6"/>
    <w:rsid w:val="004E20D4"/>
    <w:rsid w:val="004E7120"/>
    <w:rsid w:val="004F1DCB"/>
    <w:rsid w:val="004F704E"/>
    <w:rsid w:val="0050301C"/>
    <w:rsid w:val="005035E4"/>
    <w:rsid w:val="005046A7"/>
    <w:rsid w:val="0050470D"/>
    <w:rsid w:val="005129A0"/>
    <w:rsid w:val="00513B6B"/>
    <w:rsid w:val="00522041"/>
    <w:rsid w:val="00527F44"/>
    <w:rsid w:val="00534358"/>
    <w:rsid w:val="00536B8B"/>
    <w:rsid w:val="005426F1"/>
    <w:rsid w:val="005432E4"/>
    <w:rsid w:val="00544DF3"/>
    <w:rsid w:val="00545EB6"/>
    <w:rsid w:val="00554DAF"/>
    <w:rsid w:val="005656DD"/>
    <w:rsid w:val="0057232B"/>
    <w:rsid w:val="00574B26"/>
    <w:rsid w:val="00575896"/>
    <w:rsid w:val="00575C4A"/>
    <w:rsid w:val="005834EB"/>
    <w:rsid w:val="0058720A"/>
    <w:rsid w:val="005946A1"/>
    <w:rsid w:val="005963BF"/>
    <w:rsid w:val="005966DD"/>
    <w:rsid w:val="005A04A3"/>
    <w:rsid w:val="005A2C2C"/>
    <w:rsid w:val="005A3725"/>
    <w:rsid w:val="005A7219"/>
    <w:rsid w:val="005A7972"/>
    <w:rsid w:val="005B0E38"/>
    <w:rsid w:val="005B49CB"/>
    <w:rsid w:val="005D0320"/>
    <w:rsid w:val="005E2FED"/>
    <w:rsid w:val="005E3070"/>
    <w:rsid w:val="005E314F"/>
    <w:rsid w:val="005F29EE"/>
    <w:rsid w:val="0060106B"/>
    <w:rsid w:val="00604651"/>
    <w:rsid w:val="006065DA"/>
    <w:rsid w:val="0061082C"/>
    <w:rsid w:val="006161D4"/>
    <w:rsid w:val="0061662B"/>
    <w:rsid w:val="00623DE0"/>
    <w:rsid w:val="00635354"/>
    <w:rsid w:val="006357CE"/>
    <w:rsid w:val="00635FEA"/>
    <w:rsid w:val="006631EE"/>
    <w:rsid w:val="00674984"/>
    <w:rsid w:val="006766C7"/>
    <w:rsid w:val="00680797"/>
    <w:rsid w:val="0068458D"/>
    <w:rsid w:val="0068763F"/>
    <w:rsid w:val="00695BA7"/>
    <w:rsid w:val="0069712A"/>
    <w:rsid w:val="006A228B"/>
    <w:rsid w:val="006B112A"/>
    <w:rsid w:val="006B1409"/>
    <w:rsid w:val="006B6B23"/>
    <w:rsid w:val="006C5CF2"/>
    <w:rsid w:val="006D2C4D"/>
    <w:rsid w:val="006E65B5"/>
    <w:rsid w:val="006E70CA"/>
    <w:rsid w:val="006F403B"/>
    <w:rsid w:val="006F5465"/>
    <w:rsid w:val="00703D4C"/>
    <w:rsid w:val="00704D48"/>
    <w:rsid w:val="00705008"/>
    <w:rsid w:val="00710B3D"/>
    <w:rsid w:val="007123EB"/>
    <w:rsid w:val="00716B35"/>
    <w:rsid w:val="007211C0"/>
    <w:rsid w:val="00721DC9"/>
    <w:rsid w:val="007220F2"/>
    <w:rsid w:val="007221AF"/>
    <w:rsid w:val="00726940"/>
    <w:rsid w:val="00726FF3"/>
    <w:rsid w:val="007312B9"/>
    <w:rsid w:val="00735F0D"/>
    <w:rsid w:val="0074243A"/>
    <w:rsid w:val="00744961"/>
    <w:rsid w:val="00751E42"/>
    <w:rsid w:val="00753423"/>
    <w:rsid w:val="00754F08"/>
    <w:rsid w:val="007603A8"/>
    <w:rsid w:val="00761CF8"/>
    <w:rsid w:val="00764693"/>
    <w:rsid w:val="00771236"/>
    <w:rsid w:val="00771742"/>
    <w:rsid w:val="0077251F"/>
    <w:rsid w:val="00775554"/>
    <w:rsid w:val="00775E32"/>
    <w:rsid w:val="00783022"/>
    <w:rsid w:val="00784647"/>
    <w:rsid w:val="00784852"/>
    <w:rsid w:val="0079146F"/>
    <w:rsid w:val="007A14E9"/>
    <w:rsid w:val="007A6717"/>
    <w:rsid w:val="007A6D81"/>
    <w:rsid w:val="007B1D92"/>
    <w:rsid w:val="007B3A0F"/>
    <w:rsid w:val="007B3F6A"/>
    <w:rsid w:val="007C4EE0"/>
    <w:rsid w:val="007D1078"/>
    <w:rsid w:val="007D1951"/>
    <w:rsid w:val="007D4CEF"/>
    <w:rsid w:val="007E13E7"/>
    <w:rsid w:val="007E43E7"/>
    <w:rsid w:val="007E5C99"/>
    <w:rsid w:val="007E6F14"/>
    <w:rsid w:val="007E72C1"/>
    <w:rsid w:val="007F25BD"/>
    <w:rsid w:val="007F5B22"/>
    <w:rsid w:val="008055FD"/>
    <w:rsid w:val="00810A2A"/>
    <w:rsid w:val="00811044"/>
    <w:rsid w:val="00813F83"/>
    <w:rsid w:val="008250BD"/>
    <w:rsid w:val="0083352C"/>
    <w:rsid w:val="00837820"/>
    <w:rsid w:val="0084104F"/>
    <w:rsid w:val="0084277F"/>
    <w:rsid w:val="008519C5"/>
    <w:rsid w:val="008528E2"/>
    <w:rsid w:val="008576B9"/>
    <w:rsid w:val="008710B4"/>
    <w:rsid w:val="00873A4B"/>
    <w:rsid w:val="008837F3"/>
    <w:rsid w:val="008859A7"/>
    <w:rsid w:val="00890079"/>
    <w:rsid w:val="008937EC"/>
    <w:rsid w:val="00893844"/>
    <w:rsid w:val="00894BFF"/>
    <w:rsid w:val="00896497"/>
    <w:rsid w:val="00896740"/>
    <w:rsid w:val="008A2546"/>
    <w:rsid w:val="008A2975"/>
    <w:rsid w:val="008A2A16"/>
    <w:rsid w:val="008A54AB"/>
    <w:rsid w:val="008B3B3B"/>
    <w:rsid w:val="008C2EB0"/>
    <w:rsid w:val="008C4057"/>
    <w:rsid w:val="008D36CE"/>
    <w:rsid w:val="008D3DC8"/>
    <w:rsid w:val="008E0193"/>
    <w:rsid w:val="008F0A06"/>
    <w:rsid w:val="008F443C"/>
    <w:rsid w:val="008F6D33"/>
    <w:rsid w:val="00900AF2"/>
    <w:rsid w:val="00905C41"/>
    <w:rsid w:val="0090746E"/>
    <w:rsid w:val="009103AC"/>
    <w:rsid w:val="00917DE8"/>
    <w:rsid w:val="00926957"/>
    <w:rsid w:val="00933AE3"/>
    <w:rsid w:val="00934F75"/>
    <w:rsid w:val="0093590A"/>
    <w:rsid w:val="00946726"/>
    <w:rsid w:val="00950ADE"/>
    <w:rsid w:val="00953F47"/>
    <w:rsid w:val="00954456"/>
    <w:rsid w:val="00954D8E"/>
    <w:rsid w:val="00957B84"/>
    <w:rsid w:val="0096179A"/>
    <w:rsid w:val="00976734"/>
    <w:rsid w:val="00984BD5"/>
    <w:rsid w:val="009863D0"/>
    <w:rsid w:val="009879FF"/>
    <w:rsid w:val="00987A6E"/>
    <w:rsid w:val="009925C1"/>
    <w:rsid w:val="00995CEA"/>
    <w:rsid w:val="00997217"/>
    <w:rsid w:val="009A597A"/>
    <w:rsid w:val="009A5E68"/>
    <w:rsid w:val="009A77BF"/>
    <w:rsid w:val="009C395E"/>
    <w:rsid w:val="009C4995"/>
    <w:rsid w:val="009C5D64"/>
    <w:rsid w:val="009C7B40"/>
    <w:rsid w:val="009D347D"/>
    <w:rsid w:val="009D37B8"/>
    <w:rsid w:val="009D43D2"/>
    <w:rsid w:val="009D4A76"/>
    <w:rsid w:val="009D599E"/>
    <w:rsid w:val="009E17AD"/>
    <w:rsid w:val="009E4E0B"/>
    <w:rsid w:val="009F0C97"/>
    <w:rsid w:val="009F4BEC"/>
    <w:rsid w:val="00A01817"/>
    <w:rsid w:val="00A052FF"/>
    <w:rsid w:val="00A121B7"/>
    <w:rsid w:val="00A12C8F"/>
    <w:rsid w:val="00A22B93"/>
    <w:rsid w:val="00A27415"/>
    <w:rsid w:val="00A41691"/>
    <w:rsid w:val="00A4179B"/>
    <w:rsid w:val="00A52A83"/>
    <w:rsid w:val="00A63227"/>
    <w:rsid w:val="00A80706"/>
    <w:rsid w:val="00A8106E"/>
    <w:rsid w:val="00A846C7"/>
    <w:rsid w:val="00A852F6"/>
    <w:rsid w:val="00A92587"/>
    <w:rsid w:val="00A96FF2"/>
    <w:rsid w:val="00A970F6"/>
    <w:rsid w:val="00AA5A2B"/>
    <w:rsid w:val="00AC1645"/>
    <w:rsid w:val="00AC3167"/>
    <w:rsid w:val="00AC441C"/>
    <w:rsid w:val="00AC45AA"/>
    <w:rsid w:val="00AC4C53"/>
    <w:rsid w:val="00AC5EC9"/>
    <w:rsid w:val="00AD0FE8"/>
    <w:rsid w:val="00AE1591"/>
    <w:rsid w:val="00AE1E5A"/>
    <w:rsid w:val="00AE6C8C"/>
    <w:rsid w:val="00AF3A61"/>
    <w:rsid w:val="00AF7FAC"/>
    <w:rsid w:val="00B0013B"/>
    <w:rsid w:val="00B07C37"/>
    <w:rsid w:val="00B13000"/>
    <w:rsid w:val="00B22291"/>
    <w:rsid w:val="00B2418B"/>
    <w:rsid w:val="00B34F6E"/>
    <w:rsid w:val="00B40560"/>
    <w:rsid w:val="00B41F38"/>
    <w:rsid w:val="00B466AD"/>
    <w:rsid w:val="00B47B42"/>
    <w:rsid w:val="00B52D6B"/>
    <w:rsid w:val="00B562D1"/>
    <w:rsid w:val="00B61660"/>
    <w:rsid w:val="00B63AE8"/>
    <w:rsid w:val="00B654B6"/>
    <w:rsid w:val="00B663EF"/>
    <w:rsid w:val="00B7201E"/>
    <w:rsid w:val="00B724E6"/>
    <w:rsid w:val="00B72E15"/>
    <w:rsid w:val="00B74074"/>
    <w:rsid w:val="00B74C0D"/>
    <w:rsid w:val="00B7673C"/>
    <w:rsid w:val="00B80883"/>
    <w:rsid w:val="00B81E24"/>
    <w:rsid w:val="00B82A6F"/>
    <w:rsid w:val="00B9168E"/>
    <w:rsid w:val="00B9476B"/>
    <w:rsid w:val="00B951BC"/>
    <w:rsid w:val="00B955F1"/>
    <w:rsid w:val="00BA0850"/>
    <w:rsid w:val="00BA1807"/>
    <w:rsid w:val="00BA1AFE"/>
    <w:rsid w:val="00BA549A"/>
    <w:rsid w:val="00BA6B70"/>
    <w:rsid w:val="00BA72AC"/>
    <w:rsid w:val="00BB024F"/>
    <w:rsid w:val="00BB1695"/>
    <w:rsid w:val="00BC07F5"/>
    <w:rsid w:val="00BC6013"/>
    <w:rsid w:val="00BD1EC6"/>
    <w:rsid w:val="00BD6DDF"/>
    <w:rsid w:val="00BE025D"/>
    <w:rsid w:val="00BF0092"/>
    <w:rsid w:val="00BF5C5F"/>
    <w:rsid w:val="00BF5EB3"/>
    <w:rsid w:val="00BF6289"/>
    <w:rsid w:val="00C013B9"/>
    <w:rsid w:val="00C06288"/>
    <w:rsid w:val="00C06918"/>
    <w:rsid w:val="00C125E9"/>
    <w:rsid w:val="00C16DB5"/>
    <w:rsid w:val="00C201DB"/>
    <w:rsid w:val="00C257C2"/>
    <w:rsid w:val="00C35946"/>
    <w:rsid w:val="00C41B20"/>
    <w:rsid w:val="00C431D3"/>
    <w:rsid w:val="00C50332"/>
    <w:rsid w:val="00C52758"/>
    <w:rsid w:val="00C54A11"/>
    <w:rsid w:val="00C600E8"/>
    <w:rsid w:val="00C61214"/>
    <w:rsid w:val="00C6142A"/>
    <w:rsid w:val="00C625CB"/>
    <w:rsid w:val="00C7011F"/>
    <w:rsid w:val="00C72960"/>
    <w:rsid w:val="00C74568"/>
    <w:rsid w:val="00C80327"/>
    <w:rsid w:val="00C97424"/>
    <w:rsid w:val="00CA6D08"/>
    <w:rsid w:val="00CA7006"/>
    <w:rsid w:val="00CB327B"/>
    <w:rsid w:val="00CB41A0"/>
    <w:rsid w:val="00CB472D"/>
    <w:rsid w:val="00CB535A"/>
    <w:rsid w:val="00CC0960"/>
    <w:rsid w:val="00CC34EF"/>
    <w:rsid w:val="00CD6226"/>
    <w:rsid w:val="00CE7479"/>
    <w:rsid w:val="00CE7965"/>
    <w:rsid w:val="00CF02C2"/>
    <w:rsid w:val="00CF16CC"/>
    <w:rsid w:val="00CF22CE"/>
    <w:rsid w:val="00CF41DD"/>
    <w:rsid w:val="00CF46A5"/>
    <w:rsid w:val="00D02CB9"/>
    <w:rsid w:val="00D1529D"/>
    <w:rsid w:val="00D26D74"/>
    <w:rsid w:val="00D351E7"/>
    <w:rsid w:val="00D418E6"/>
    <w:rsid w:val="00D42158"/>
    <w:rsid w:val="00D4347C"/>
    <w:rsid w:val="00D436BF"/>
    <w:rsid w:val="00D45BC0"/>
    <w:rsid w:val="00D47031"/>
    <w:rsid w:val="00D5053E"/>
    <w:rsid w:val="00D5205B"/>
    <w:rsid w:val="00D53560"/>
    <w:rsid w:val="00D60EC3"/>
    <w:rsid w:val="00D616FD"/>
    <w:rsid w:val="00D66D65"/>
    <w:rsid w:val="00D705A4"/>
    <w:rsid w:val="00D711E9"/>
    <w:rsid w:val="00D729BB"/>
    <w:rsid w:val="00D74209"/>
    <w:rsid w:val="00D744E0"/>
    <w:rsid w:val="00D81847"/>
    <w:rsid w:val="00D82042"/>
    <w:rsid w:val="00D847F4"/>
    <w:rsid w:val="00D85E9E"/>
    <w:rsid w:val="00D90DC3"/>
    <w:rsid w:val="00DA04D7"/>
    <w:rsid w:val="00DA3AD0"/>
    <w:rsid w:val="00DB24A2"/>
    <w:rsid w:val="00DB3380"/>
    <w:rsid w:val="00DB351E"/>
    <w:rsid w:val="00DB62F4"/>
    <w:rsid w:val="00DB7F53"/>
    <w:rsid w:val="00DC2F92"/>
    <w:rsid w:val="00DC7185"/>
    <w:rsid w:val="00DD1208"/>
    <w:rsid w:val="00DD2BFE"/>
    <w:rsid w:val="00DD35E1"/>
    <w:rsid w:val="00DD54B5"/>
    <w:rsid w:val="00DD6EE5"/>
    <w:rsid w:val="00DE3C89"/>
    <w:rsid w:val="00DE3E77"/>
    <w:rsid w:val="00DE58C6"/>
    <w:rsid w:val="00DE6C2E"/>
    <w:rsid w:val="00DF583C"/>
    <w:rsid w:val="00E109C8"/>
    <w:rsid w:val="00E126E2"/>
    <w:rsid w:val="00E24238"/>
    <w:rsid w:val="00E276EA"/>
    <w:rsid w:val="00E3271F"/>
    <w:rsid w:val="00E32765"/>
    <w:rsid w:val="00E33FA5"/>
    <w:rsid w:val="00E46232"/>
    <w:rsid w:val="00E52033"/>
    <w:rsid w:val="00E52EA1"/>
    <w:rsid w:val="00E56C56"/>
    <w:rsid w:val="00E619C1"/>
    <w:rsid w:val="00E63624"/>
    <w:rsid w:val="00E6504F"/>
    <w:rsid w:val="00E65A2E"/>
    <w:rsid w:val="00E74BCB"/>
    <w:rsid w:val="00E74EBA"/>
    <w:rsid w:val="00E75988"/>
    <w:rsid w:val="00E82E89"/>
    <w:rsid w:val="00E93EF4"/>
    <w:rsid w:val="00E97E8A"/>
    <w:rsid w:val="00EB1D05"/>
    <w:rsid w:val="00EB370B"/>
    <w:rsid w:val="00EB75F1"/>
    <w:rsid w:val="00EB7A07"/>
    <w:rsid w:val="00EC4788"/>
    <w:rsid w:val="00EC72CD"/>
    <w:rsid w:val="00ED2E32"/>
    <w:rsid w:val="00ED6F54"/>
    <w:rsid w:val="00ED716A"/>
    <w:rsid w:val="00EF3851"/>
    <w:rsid w:val="00F00B4F"/>
    <w:rsid w:val="00F03CC1"/>
    <w:rsid w:val="00F06D8D"/>
    <w:rsid w:val="00F10ADA"/>
    <w:rsid w:val="00F10C8F"/>
    <w:rsid w:val="00F11B5C"/>
    <w:rsid w:val="00F15162"/>
    <w:rsid w:val="00F26E07"/>
    <w:rsid w:val="00F27460"/>
    <w:rsid w:val="00F316BA"/>
    <w:rsid w:val="00F37382"/>
    <w:rsid w:val="00F378C0"/>
    <w:rsid w:val="00F40FF1"/>
    <w:rsid w:val="00F426D0"/>
    <w:rsid w:val="00F448E6"/>
    <w:rsid w:val="00F44BFF"/>
    <w:rsid w:val="00F475F3"/>
    <w:rsid w:val="00F63C3C"/>
    <w:rsid w:val="00F71593"/>
    <w:rsid w:val="00F744C5"/>
    <w:rsid w:val="00F754AB"/>
    <w:rsid w:val="00F8418A"/>
    <w:rsid w:val="00F90B61"/>
    <w:rsid w:val="00F97FFD"/>
    <w:rsid w:val="00FA0B60"/>
    <w:rsid w:val="00FA6AA3"/>
    <w:rsid w:val="00FB4F80"/>
    <w:rsid w:val="00FB6975"/>
    <w:rsid w:val="00FC0656"/>
    <w:rsid w:val="00FC1F70"/>
    <w:rsid w:val="00FC4B66"/>
    <w:rsid w:val="00FC597F"/>
    <w:rsid w:val="00FC5C74"/>
    <w:rsid w:val="00FD0111"/>
    <w:rsid w:val="00FD47BB"/>
    <w:rsid w:val="00FE0759"/>
    <w:rsid w:val="00FE16C4"/>
    <w:rsid w:val="00FE70F4"/>
    <w:rsid w:val="00FE7E49"/>
    <w:rsid w:val="00FF1357"/>
    <w:rsid w:val="1A7E1BB3"/>
    <w:rsid w:val="5ED77FFE"/>
    <w:rsid w:val="7DFD03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D6FFD4"/>
  <w15:docId w15:val="{77195D21-804E-4FFE-9C8D-0EF1302A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C99"/>
    <w:rPr>
      <w:rFonts w:asciiTheme="minorHAnsi" w:eastAsia="Times New Roman" w:hAnsiTheme="minorHAnsi"/>
      <w:szCs w:val="24"/>
    </w:rPr>
  </w:style>
  <w:style w:type="paragraph" w:styleId="Heading1">
    <w:name w:val="heading 1"/>
    <w:basedOn w:val="Normal"/>
    <w:next w:val="Normal"/>
    <w:link w:val="Heading1Char"/>
    <w:qFormat/>
    <w:rsid w:val="000D03A5"/>
    <w:pPr>
      <w:keepNext/>
      <w:pBdr>
        <w:top w:val="single" w:sz="48" w:space="1" w:color="0070C0"/>
        <w:bottom w:val="single" w:sz="48" w:space="1" w:color="0070C0"/>
      </w:pBdr>
      <w:spacing w:after="240"/>
      <w:outlineLvl w:val="0"/>
    </w:pPr>
    <w:rPr>
      <w:rFonts w:ascii="Arial" w:hAnsi="Arial" w:cs="Arial"/>
      <w:b/>
      <w:bCs/>
      <w:color w:val="005E9D"/>
      <w:sz w:val="36"/>
      <w:szCs w:val="32"/>
    </w:rPr>
  </w:style>
  <w:style w:type="paragraph" w:styleId="Heading2">
    <w:name w:val="heading 2"/>
    <w:basedOn w:val="Heading1"/>
    <w:next w:val="Normal"/>
    <w:link w:val="Heading2Char"/>
    <w:qFormat/>
    <w:rsid w:val="0032112C"/>
    <w:pPr>
      <w:numPr>
        <w:ilvl w:val="1"/>
        <w:numId w:val="26"/>
      </w:numPr>
      <w:pBdr>
        <w:top w:val="none" w:sz="0" w:space="0" w:color="auto"/>
        <w:bottom w:val="none" w:sz="0" w:space="0" w:color="auto"/>
      </w:pBdr>
      <w:outlineLvl w:val="1"/>
    </w:pPr>
    <w:rPr>
      <w:bCs w:val="0"/>
      <w:iCs/>
      <w:sz w:val="24"/>
      <w:szCs w:val="28"/>
    </w:rPr>
  </w:style>
  <w:style w:type="paragraph" w:styleId="Heading3">
    <w:name w:val="heading 3"/>
    <w:link w:val="Heading3Char"/>
    <w:qFormat/>
    <w:rsid w:val="005046A7"/>
    <w:pPr>
      <w:spacing w:before="120" w:after="240"/>
      <w:outlineLvl w:val="2"/>
    </w:pPr>
    <w:rPr>
      <w:rFonts w:asciiTheme="minorHAnsi" w:eastAsia="Times New Roman" w:hAnsiTheme="minorHAnsi" w:cs="Arial"/>
      <w:bCs/>
      <w:i/>
      <w:iCs/>
      <w:szCs w:val="26"/>
    </w:rPr>
  </w:style>
  <w:style w:type="paragraph" w:styleId="Heading4">
    <w:name w:val="heading 4"/>
    <w:link w:val="Heading4Char"/>
    <w:uiPriority w:val="9"/>
    <w:unhideWhenUsed/>
    <w:qFormat/>
    <w:rsid w:val="0068763F"/>
    <w:pPr>
      <w:keepNext/>
      <w:keepLines/>
      <w:spacing w:before="120" w:after="240"/>
      <w:outlineLvl w:val="3"/>
    </w:pPr>
    <w:rPr>
      <w:rFonts w:asciiTheme="minorHAnsi" w:eastAsiaTheme="majorEastAsia" w:hAnsiTheme="minorHAnsi" w:cstheme="majorBidi"/>
      <w:i/>
      <w:iCs/>
      <w:szCs w:val="24"/>
    </w:rPr>
  </w:style>
  <w:style w:type="paragraph" w:styleId="Heading5">
    <w:name w:val="heading 5"/>
    <w:basedOn w:val="Normal"/>
    <w:next w:val="Normal"/>
    <w:link w:val="Heading5Char"/>
    <w:uiPriority w:val="9"/>
    <w:unhideWhenUsed/>
    <w:qFormat/>
    <w:rsid w:val="006C5CF2"/>
    <w:pPr>
      <w:keepNext/>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763F"/>
    <w:pPr>
      <w:numPr>
        <w:numId w:val="48"/>
      </w:numPr>
      <w:spacing w:after="240"/>
      <w:ind w:left="806"/>
    </w:pPr>
  </w:style>
  <w:style w:type="character" w:styleId="Hyperlink">
    <w:name w:val="Hyperlink"/>
    <w:basedOn w:val="DefaultParagraphFont"/>
    <w:uiPriority w:val="99"/>
    <w:unhideWhenUsed/>
    <w:rsid w:val="00C7011F"/>
    <w:rPr>
      <w:rFonts w:asciiTheme="minorHAnsi" w:hAnsiTheme="minorHAnsi"/>
      <w:color w:val="005E9D"/>
      <w:u w:val="single"/>
    </w:rPr>
  </w:style>
  <w:style w:type="paragraph" w:customStyle="1" w:styleId="Default">
    <w:name w:val="Default"/>
    <w:rsid w:val="00E109C8"/>
    <w:pPr>
      <w:autoSpaceDE w:val="0"/>
      <w:autoSpaceDN w:val="0"/>
      <w:adjustRightInd w:val="0"/>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F67B5"/>
    <w:rPr>
      <w:rFonts w:ascii="Lucida Grande" w:hAnsi="Lucida Grande"/>
      <w:sz w:val="18"/>
      <w:szCs w:val="18"/>
    </w:rPr>
  </w:style>
  <w:style w:type="character" w:customStyle="1" w:styleId="BalloonTextChar">
    <w:name w:val="Balloon Text Char"/>
    <w:basedOn w:val="DefaultParagraphFont"/>
    <w:link w:val="BalloonText"/>
    <w:uiPriority w:val="99"/>
    <w:semiHidden/>
    <w:rsid w:val="002F67B5"/>
    <w:rPr>
      <w:rFonts w:ascii="Lucida Grande" w:hAnsi="Lucida Grande"/>
      <w:sz w:val="18"/>
      <w:szCs w:val="18"/>
    </w:rPr>
  </w:style>
  <w:style w:type="character" w:styleId="CommentReference">
    <w:name w:val="annotation reference"/>
    <w:basedOn w:val="DefaultParagraphFont"/>
    <w:unhideWhenUsed/>
    <w:rsid w:val="005D0320"/>
    <w:rPr>
      <w:sz w:val="18"/>
      <w:szCs w:val="18"/>
    </w:rPr>
  </w:style>
  <w:style w:type="paragraph" w:styleId="CommentText">
    <w:name w:val="annotation text"/>
    <w:basedOn w:val="Normal"/>
    <w:link w:val="CommentTextChar"/>
    <w:unhideWhenUsed/>
    <w:rsid w:val="005D0320"/>
    <w:rPr>
      <w:sz w:val="24"/>
    </w:rPr>
  </w:style>
  <w:style w:type="character" w:customStyle="1" w:styleId="CommentTextChar">
    <w:name w:val="Comment Text Char"/>
    <w:basedOn w:val="DefaultParagraphFont"/>
    <w:link w:val="CommentText"/>
    <w:rsid w:val="005D0320"/>
    <w:rPr>
      <w:sz w:val="24"/>
      <w:szCs w:val="24"/>
    </w:rPr>
  </w:style>
  <w:style w:type="paragraph" w:styleId="CommentSubject">
    <w:name w:val="annotation subject"/>
    <w:basedOn w:val="CommentText"/>
    <w:next w:val="CommentText"/>
    <w:link w:val="CommentSubjectChar"/>
    <w:uiPriority w:val="99"/>
    <w:semiHidden/>
    <w:unhideWhenUsed/>
    <w:rsid w:val="005D0320"/>
    <w:rPr>
      <w:b/>
      <w:bCs/>
      <w:sz w:val="20"/>
      <w:szCs w:val="20"/>
    </w:rPr>
  </w:style>
  <w:style w:type="character" w:customStyle="1" w:styleId="CommentSubjectChar">
    <w:name w:val="Comment Subject Char"/>
    <w:basedOn w:val="CommentTextChar"/>
    <w:link w:val="CommentSubject"/>
    <w:uiPriority w:val="99"/>
    <w:semiHidden/>
    <w:rsid w:val="005D0320"/>
    <w:rPr>
      <w:b/>
      <w:bCs/>
      <w:sz w:val="20"/>
      <w:szCs w:val="20"/>
    </w:rPr>
  </w:style>
  <w:style w:type="paragraph" w:customStyle="1" w:styleId="Heading1nonumbering">
    <w:name w:val="Heading 1_no numbering"/>
    <w:basedOn w:val="Heading1"/>
    <w:rsid w:val="007E5C99"/>
    <w:pPr>
      <w:numPr>
        <w:numId w:val="26"/>
      </w:numPr>
      <w:pBdr>
        <w:top w:val="none" w:sz="0" w:space="0" w:color="auto"/>
        <w:bottom w:val="single" w:sz="12" w:space="1" w:color="0070C0"/>
      </w:pBdr>
      <w:spacing w:before="320"/>
      <w:outlineLvl w:val="9"/>
    </w:pPr>
    <w:rPr>
      <w:sz w:val="28"/>
    </w:rPr>
  </w:style>
  <w:style w:type="paragraph" w:customStyle="1" w:styleId="HEAD">
    <w:name w:val="HEAD"/>
    <w:basedOn w:val="Heading1"/>
    <w:qFormat/>
    <w:rsid w:val="006C5CF2"/>
    <w:rPr>
      <w:rFonts w:eastAsia="Arial"/>
    </w:rPr>
  </w:style>
  <w:style w:type="character" w:customStyle="1" w:styleId="apple-converted-space">
    <w:name w:val="apple-converted-space"/>
    <w:basedOn w:val="DefaultParagraphFont"/>
    <w:rsid w:val="000E7B3B"/>
  </w:style>
  <w:style w:type="paragraph" w:customStyle="1" w:styleId="Heading2nonumbering">
    <w:name w:val="Heading 2_no numbering"/>
    <w:basedOn w:val="Heading2"/>
    <w:next w:val="Normal"/>
    <w:rsid w:val="000D03A5"/>
    <w:pPr>
      <w:numPr>
        <w:ilvl w:val="0"/>
        <w:numId w:val="0"/>
      </w:numPr>
      <w:pBdr>
        <w:bottom w:val="single" w:sz="12" w:space="1" w:color="0070C0"/>
      </w:pBdr>
      <w:spacing w:before="240"/>
      <w:outlineLvl w:val="9"/>
    </w:pPr>
    <w:rPr>
      <w:rFonts w:eastAsia="MS Mincho"/>
      <w:lang w:eastAsia="ja-JP"/>
    </w:rPr>
  </w:style>
  <w:style w:type="character" w:styleId="HTMLCite">
    <w:name w:val="HTML Cite"/>
    <w:basedOn w:val="DefaultParagraphFont"/>
    <w:uiPriority w:val="99"/>
    <w:semiHidden/>
    <w:unhideWhenUsed/>
    <w:rsid w:val="000E7B3B"/>
    <w:rPr>
      <w:i/>
      <w:iCs/>
    </w:rPr>
  </w:style>
  <w:style w:type="paragraph" w:customStyle="1" w:styleId="ListBulletsingle">
    <w:name w:val="List Bullet_single"/>
    <w:basedOn w:val="ListBullet"/>
    <w:qFormat/>
    <w:rsid w:val="0068763F"/>
    <w:pPr>
      <w:spacing w:after="40"/>
    </w:pPr>
  </w:style>
  <w:style w:type="paragraph" w:customStyle="1" w:styleId="ListBulletsinglelast">
    <w:name w:val="List Bullet_single_last"/>
    <w:basedOn w:val="ListBulletsingle"/>
    <w:qFormat/>
    <w:rsid w:val="0068763F"/>
    <w:pPr>
      <w:spacing w:after="240"/>
    </w:pPr>
  </w:style>
  <w:style w:type="paragraph" w:customStyle="1" w:styleId="Reference">
    <w:name w:val="Reference"/>
    <w:rsid w:val="0068763F"/>
    <w:pPr>
      <w:spacing w:after="240"/>
    </w:pPr>
    <w:rPr>
      <w:rFonts w:asciiTheme="minorHAnsi" w:eastAsia="Times New Roman" w:hAnsiTheme="minorHAnsi"/>
      <w:szCs w:val="24"/>
    </w:rPr>
  </w:style>
  <w:style w:type="paragraph" w:styleId="FootnoteText">
    <w:name w:val="footnote text"/>
    <w:basedOn w:val="Normal"/>
    <w:link w:val="FootnoteTextChar"/>
    <w:uiPriority w:val="99"/>
    <w:rsid w:val="006B1409"/>
    <w:pPr>
      <w:ind w:left="144" w:hanging="144"/>
      <w:jc w:val="both"/>
    </w:pPr>
    <w:rPr>
      <w:sz w:val="20"/>
      <w:szCs w:val="20"/>
    </w:rPr>
  </w:style>
  <w:style w:type="character" w:customStyle="1" w:styleId="FootnoteTextChar">
    <w:name w:val="Footnote Text Char"/>
    <w:basedOn w:val="DefaultParagraphFont"/>
    <w:link w:val="FootnoteText"/>
    <w:uiPriority w:val="99"/>
    <w:rsid w:val="006B1409"/>
    <w:rPr>
      <w:rFonts w:asciiTheme="minorHAnsi" w:eastAsia="Times New Roman" w:hAnsiTheme="minorHAnsi"/>
      <w:sz w:val="20"/>
      <w:szCs w:val="20"/>
    </w:rPr>
  </w:style>
  <w:style w:type="character" w:styleId="FootnoteReference">
    <w:name w:val="footnote reference"/>
    <w:basedOn w:val="DefaultParagraphFont"/>
    <w:uiPriority w:val="99"/>
    <w:rsid w:val="000D03A5"/>
    <w:rPr>
      <w:dstrike w:val="0"/>
      <w:vertAlign w:val="superscript"/>
    </w:rPr>
  </w:style>
  <w:style w:type="paragraph" w:styleId="Header">
    <w:name w:val="header"/>
    <w:basedOn w:val="Normal"/>
    <w:link w:val="HeaderChar"/>
    <w:unhideWhenUsed/>
    <w:rsid w:val="006B112A"/>
    <w:pPr>
      <w:tabs>
        <w:tab w:val="center" w:pos="4320"/>
        <w:tab w:val="right" w:pos="8640"/>
      </w:tabs>
    </w:pPr>
  </w:style>
  <w:style w:type="character" w:customStyle="1" w:styleId="HeaderChar">
    <w:name w:val="Header Char"/>
    <w:basedOn w:val="DefaultParagraphFont"/>
    <w:link w:val="Header"/>
    <w:rsid w:val="006B112A"/>
  </w:style>
  <w:style w:type="character" w:styleId="FollowedHyperlink">
    <w:name w:val="FollowedHyperlink"/>
    <w:basedOn w:val="DefaultParagraphFont"/>
    <w:uiPriority w:val="99"/>
    <w:semiHidden/>
    <w:unhideWhenUsed/>
    <w:rsid w:val="0048703B"/>
    <w:rPr>
      <w:color w:val="800080" w:themeColor="followedHyperlink"/>
      <w:u w:val="single"/>
    </w:rPr>
  </w:style>
  <w:style w:type="paragraph" w:styleId="Caption">
    <w:name w:val="caption"/>
    <w:basedOn w:val="Normal"/>
    <w:next w:val="Normal"/>
    <w:uiPriority w:val="35"/>
    <w:unhideWhenUsed/>
    <w:qFormat/>
    <w:rsid w:val="009103AC"/>
    <w:pPr>
      <w:spacing w:after="200"/>
    </w:pPr>
    <w:rPr>
      <w:b/>
      <w:bCs/>
      <w:color w:val="4F81BD" w:themeColor="accent1"/>
      <w:sz w:val="18"/>
      <w:szCs w:val="18"/>
    </w:rPr>
  </w:style>
  <w:style w:type="paragraph" w:styleId="Revision">
    <w:name w:val="Revision"/>
    <w:hidden/>
    <w:uiPriority w:val="99"/>
    <w:semiHidden/>
    <w:rsid w:val="008937EC"/>
  </w:style>
  <w:style w:type="paragraph" w:styleId="BodyText">
    <w:name w:val="Body Text"/>
    <w:link w:val="BodyTextChar"/>
    <w:rsid w:val="0068763F"/>
    <w:pPr>
      <w:spacing w:after="240"/>
    </w:pPr>
    <w:rPr>
      <w:rFonts w:asciiTheme="minorHAnsi" w:eastAsia="Times New Roman" w:hAnsiTheme="minorHAnsi"/>
      <w:szCs w:val="24"/>
    </w:rPr>
  </w:style>
  <w:style w:type="character" w:customStyle="1" w:styleId="BodyTextChar">
    <w:name w:val="Body Text Char"/>
    <w:basedOn w:val="DefaultParagraphFont"/>
    <w:link w:val="BodyText"/>
    <w:rsid w:val="0068763F"/>
    <w:rPr>
      <w:rFonts w:asciiTheme="minorHAnsi" w:eastAsia="Times New Roman" w:hAnsiTheme="minorHAnsi"/>
      <w:szCs w:val="24"/>
    </w:rPr>
  </w:style>
  <w:style w:type="paragraph" w:styleId="ListBullet">
    <w:name w:val="List Bullet"/>
    <w:rsid w:val="0068763F"/>
    <w:pPr>
      <w:numPr>
        <w:numId w:val="31"/>
      </w:numPr>
      <w:spacing w:after="240"/>
      <w:ind w:left="806"/>
    </w:pPr>
    <w:rPr>
      <w:rFonts w:asciiTheme="minorHAnsi" w:eastAsia="Times New Roman" w:hAnsiTheme="minorHAnsi"/>
      <w:szCs w:val="24"/>
    </w:rPr>
  </w:style>
  <w:style w:type="character" w:customStyle="1" w:styleId="Heading1Char">
    <w:name w:val="Heading 1 Char"/>
    <w:basedOn w:val="DefaultParagraphFont"/>
    <w:link w:val="Heading1"/>
    <w:rsid w:val="000D03A5"/>
    <w:rPr>
      <w:rFonts w:ascii="Arial" w:eastAsia="Times New Roman" w:hAnsi="Arial" w:cs="Arial"/>
      <w:b/>
      <w:bCs/>
      <w:color w:val="005E9D"/>
      <w:sz w:val="36"/>
      <w:szCs w:val="32"/>
    </w:rPr>
  </w:style>
  <w:style w:type="character" w:customStyle="1" w:styleId="Heading2Char">
    <w:name w:val="Heading 2 Char"/>
    <w:basedOn w:val="DefaultParagraphFont"/>
    <w:link w:val="Heading2"/>
    <w:rsid w:val="0032112C"/>
    <w:rPr>
      <w:rFonts w:ascii="Arial" w:eastAsia="Times New Roman" w:hAnsi="Arial" w:cs="Arial"/>
      <w:b/>
      <w:iCs/>
      <w:color w:val="005E9D"/>
      <w:sz w:val="24"/>
      <w:szCs w:val="28"/>
    </w:rPr>
  </w:style>
  <w:style w:type="character" w:customStyle="1" w:styleId="Heading3Char">
    <w:name w:val="Heading 3 Char"/>
    <w:basedOn w:val="DefaultParagraphFont"/>
    <w:link w:val="Heading3"/>
    <w:rsid w:val="005046A7"/>
    <w:rPr>
      <w:rFonts w:asciiTheme="minorHAnsi" w:eastAsia="Times New Roman" w:hAnsiTheme="minorHAnsi" w:cs="Arial"/>
      <w:bCs/>
      <w:i/>
      <w:iCs/>
      <w:szCs w:val="26"/>
    </w:rPr>
  </w:style>
  <w:style w:type="paragraph" w:customStyle="1" w:styleId="References">
    <w:name w:val="References"/>
    <w:basedOn w:val="BodyText"/>
    <w:qFormat/>
    <w:rsid w:val="005432E4"/>
    <w:pPr>
      <w:spacing w:after="40"/>
      <w:ind w:left="360" w:hanging="360"/>
    </w:pPr>
    <w:rPr>
      <w:noProof/>
    </w:rPr>
  </w:style>
  <w:style w:type="paragraph" w:styleId="Footer">
    <w:name w:val="footer"/>
    <w:basedOn w:val="Normal"/>
    <w:link w:val="FooterChar"/>
    <w:rsid w:val="000D03A5"/>
    <w:pPr>
      <w:tabs>
        <w:tab w:val="right" w:pos="9360"/>
      </w:tabs>
    </w:pPr>
    <w:rPr>
      <w:rFonts w:ascii="Arial" w:hAnsi="Arial"/>
      <w:i/>
      <w:color w:val="005E9D"/>
      <w:sz w:val="20"/>
    </w:rPr>
  </w:style>
  <w:style w:type="character" w:customStyle="1" w:styleId="FooterChar">
    <w:name w:val="Footer Char"/>
    <w:basedOn w:val="DefaultParagraphFont"/>
    <w:link w:val="Footer"/>
    <w:rsid w:val="000D03A5"/>
    <w:rPr>
      <w:rFonts w:ascii="Arial" w:eastAsia="Times New Roman" w:hAnsi="Arial"/>
      <w:i/>
      <w:color w:val="005E9D"/>
      <w:sz w:val="20"/>
      <w:szCs w:val="24"/>
    </w:rPr>
  </w:style>
  <w:style w:type="character" w:styleId="PageNumber">
    <w:name w:val="page number"/>
    <w:basedOn w:val="DefaultParagraphFont"/>
    <w:uiPriority w:val="99"/>
    <w:semiHidden/>
    <w:unhideWhenUsed/>
    <w:rsid w:val="00B663EF"/>
  </w:style>
  <w:style w:type="paragraph" w:customStyle="1" w:styleId="BodyTextnospace">
    <w:name w:val="Body Text (no space)"/>
    <w:qFormat/>
    <w:rsid w:val="0068763F"/>
    <w:pPr>
      <w:tabs>
        <w:tab w:val="left" w:pos="1656"/>
      </w:tabs>
      <w:spacing w:after="20"/>
      <w:ind w:left="1656" w:hanging="1656"/>
    </w:pPr>
    <w:rPr>
      <w:rFonts w:asciiTheme="minorHAnsi" w:eastAsia="Times New Roman" w:hAnsiTheme="minorHAnsi"/>
      <w:szCs w:val="24"/>
    </w:rPr>
  </w:style>
  <w:style w:type="paragraph" w:customStyle="1" w:styleId="BodyTextnospacelast">
    <w:name w:val="Body Text (no space_last)"/>
    <w:basedOn w:val="BodyTextnospace"/>
    <w:qFormat/>
    <w:rsid w:val="00E33FA5"/>
    <w:pPr>
      <w:spacing w:after="240"/>
    </w:pPr>
  </w:style>
  <w:style w:type="paragraph" w:customStyle="1" w:styleId="BodyTextitalics">
    <w:name w:val="Body Text_italics"/>
    <w:basedOn w:val="BodyText"/>
    <w:qFormat/>
    <w:rsid w:val="005046A7"/>
    <w:rPr>
      <w:i/>
    </w:rPr>
  </w:style>
  <w:style w:type="paragraph" w:customStyle="1" w:styleId="Figure">
    <w:name w:val="Figure"/>
    <w:qFormat/>
    <w:rsid w:val="0068763F"/>
    <w:pPr>
      <w:keepNext/>
      <w:spacing w:after="240"/>
    </w:pPr>
    <w:rPr>
      <w:rFonts w:asciiTheme="minorHAnsi" w:eastAsia="Times New Roman" w:hAnsiTheme="minorHAnsi"/>
      <w:bCs/>
      <w:i/>
    </w:rPr>
  </w:style>
  <w:style w:type="paragraph" w:customStyle="1" w:styleId="FigureTitle">
    <w:name w:val="Figure Title"/>
    <w:qFormat/>
    <w:rsid w:val="00BF5C5F"/>
    <w:pPr>
      <w:keepNext/>
      <w:spacing w:after="200" w:line="276" w:lineRule="auto"/>
      <w:jc w:val="center"/>
    </w:pPr>
    <w:rPr>
      <w:rFonts w:asciiTheme="minorHAnsi" w:eastAsia="Times New Roman" w:hAnsiTheme="minorHAnsi"/>
      <w:b/>
      <w:noProof/>
      <w:szCs w:val="18"/>
    </w:rPr>
  </w:style>
  <w:style w:type="paragraph" w:customStyle="1" w:styleId="FigureTablefootnotes">
    <w:name w:val="Figure/Table footnotes"/>
    <w:qFormat/>
    <w:rsid w:val="0068763F"/>
    <w:pPr>
      <w:spacing w:before="60" w:after="200"/>
    </w:pPr>
    <w:rPr>
      <w:rFonts w:asciiTheme="minorHAnsi" w:eastAsia="Times New Roman" w:hAnsiTheme="minorHAnsi"/>
      <w:i/>
      <w:szCs w:val="18"/>
    </w:rPr>
  </w:style>
  <w:style w:type="paragraph" w:customStyle="1" w:styleId="Bullet2">
    <w:name w:val="Bullet 2"/>
    <w:basedOn w:val="Normal"/>
    <w:link w:val="Bullet2CharChar"/>
    <w:rsid w:val="00247D12"/>
    <w:pPr>
      <w:numPr>
        <w:numId w:val="42"/>
      </w:numPr>
      <w:tabs>
        <w:tab w:val="clear" w:pos="1080"/>
        <w:tab w:val="num" w:pos="360"/>
        <w:tab w:val="num" w:pos="720"/>
      </w:tabs>
      <w:ind w:left="720" w:firstLine="0"/>
    </w:pPr>
    <w:rPr>
      <w:bCs/>
    </w:rPr>
  </w:style>
  <w:style w:type="table" w:customStyle="1" w:styleId="TableStyle6">
    <w:name w:val="Table Style 6"/>
    <w:basedOn w:val="TableNormal"/>
    <w:rsid w:val="00247D12"/>
    <w:pPr>
      <w:keepNext/>
      <w:keepLines/>
    </w:pPr>
    <w:rPr>
      <w:rFonts w:ascii="Arial" w:eastAsia="Times New Roman" w:hAnsi="Arial"/>
      <w:szCs w:val="20"/>
    </w:rPr>
    <w:tblPr>
      <w:tblBorders>
        <w:top w:val="single" w:sz="8" w:space="0" w:color="005E9D"/>
        <w:left w:val="single" w:sz="8" w:space="0" w:color="005E9D"/>
        <w:bottom w:val="single" w:sz="8" w:space="0" w:color="005E9D"/>
        <w:right w:val="single" w:sz="8" w:space="0" w:color="005E9D"/>
        <w:insideH w:val="single" w:sz="8" w:space="0" w:color="005E9D"/>
        <w:insideV w:val="single" w:sz="8" w:space="0" w:color="005E9D"/>
      </w:tblBorders>
      <w:tblCellMar>
        <w:top w:w="43" w:type="dxa"/>
        <w:left w:w="115" w:type="dxa"/>
        <w:bottom w:w="43" w:type="dxa"/>
        <w:right w:w="115" w:type="dxa"/>
      </w:tblCellMar>
    </w:tblPr>
    <w:trPr>
      <w:cantSplit/>
    </w:trPr>
    <w:tcPr>
      <w:shd w:val="clear" w:color="auto" w:fill="DEE8EF"/>
    </w:tcPr>
    <w:tblStylePr w:type="firstRow">
      <w:pPr>
        <w:jc w:val="center"/>
      </w:pPr>
      <w:rPr>
        <w:rFonts w:ascii="Arial" w:hAnsi="Arial"/>
        <w:b/>
        <w:color w:val="FFFFFF"/>
        <w:sz w:val="22"/>
      </w:rPr>
      <w:tblPr/>
      <w:tcPr>
        <w:tcBorders>
          <w:top w:val="single" w:sz="8" w:space="0" w:color="005E9D"/>
          <w:left w:val="single" w:sz="8" w:space="0" w:color="005E9D"/>
          <w:bottom w:val="single" w:sz="8" w:space="0" w:color="005E9D"/>
          <w:right w:val="single" w:sz="8" w:space="0" w:color="005E9D"/>
          <w:insideH w:val="nil"/>
          <w:insideV w:val="single" w:sz="8" w:space="0" w:color="FFFFFF"/>
        </w:tcBorders>
        <w:shd w:val="clear" w:color="auto" w:fill="005E9D"/>
        <w:vAlign w:val="center"/>
      </w:tcPr>
    </w:tblStylePr>
    <w:tblStylePr w:type="nwCell">
      <w:pPr>
        <w:jc w:val="left"/>
      </w:pPr>
      <w:tblPr/>
      <w:tcPr>
        <w:vAlign w:val="center"/>
      </w:tcPr>
    </w:tblStylePr>
  </w:style>
  <w:style w:type="character" w:customStyle="1" w:styleId="Bullet2CharChar">
    <w:name w:val="Bullet 2 Char Char"/>
    <w:basedOn w:val="DefaultParagraphFont"/>
    <w:link w:val="Bullet2"/>
    <w:rsid w:val="00247D12"/>
    <w:rPr>
      <w:rFonts w:asciiTheme="minorHAnsi" w:eastAsia="Times New Roman" w:hAnsiTheme="minorHAnsi"/>
      <w:bCs/>
      <w:szCs w:val="24"/>
    </w:rPr>
  </w:style>
  <w:style w:type="character" w:customStyle="1" w:styleId="Heading4Char">
    <w:name w:val="Heading 4 Char"/>
    <w:basedOn w:val="DefaultParagraphFont"/>
    <w:link w:val="Heading4"/>
    <w:uiPriority w:val="9"/>
    <w:rsid w:val="0068763F"/>
    <w:rPr>
      <w:rFonts w:asciiTheme="minorHAnsi" w:eastAsiaTheme="majorEastAsia" w:hAnsiTheme="minorHAnsi" w:cstheme="majorBidi"/>
      <w:i/>
      <w:iCs/>
      <w:szCs w:val="24"/>
    </w:rPr>
  </w:style>
  <w:style w:type="character" w:customStyle="1" w:styleId="Heading5Char">
    <w:name w:val="Heading 5 Char"/>
    <w:basedOn w:val="DefaultParagraphFont"/>
    <w:link w:val="Heading5"/>
    <w:uiPriority w:val="9"/>
    <w:rsid w:val="006C5CF2"/>
    <w:rPr>
      <w:rFonts w:asciiTheme="minorHAnsi" w:eastAsia="Times New Roman" w:hAnsiTheme="minorHAnsi"/>
      <w:i/>
      <w:szCs w:val="24"/>
    </w:rPr>
  </w:style>
  <w:style w:type="paragraph" w:customStyle="1" w:styleId="BodyText1">
    <w:name w:val="Body Text1"/>
    <w:basedOn w:val="Normal"/>
    <w:rsid w:val="006A228B"/>
  </w:style>
  <w:style w:type="character" w:styleId="UnresolvedMention">
    <w:name w:val="Unresolved Mention"/>
    <w:basedOn w:val="DefaultParagraphFont"/>
    <w:uiPriority w:val="99"/>
    <w:semiHidden/>
    <w:unhideWhenUsed/>
    <w:rsid w:val="00CC34EF"/>
    <w:rPr>
      <w:color w:val="605E5C"/>
      <w:shd w:val="clear" w:color="auto" w:fill="E1DFDD"/>
    </w:rPr>
  </w:style>
  <w:style w:type="paragraph" w:styleId="Bibliography">
    <w:name w:val="Bibliography"/>
    <w:basedOn w:val="Normal"/>
    <w:next w:val="Normal"/>
    <w:uiPriority w:val="37"/>
    <w:unhideWhenUsed/>
    <w:rsid w:val="00D82042"/>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40238">
      <w:bodyDiv w:val="1"/>
      <w:marLeft w:val="0"/>
      <w:marRight w:val="0"/>
      <w:marTop w:val="0"/>
      <w:marBottom w:val="0"/>
      <w:divBdr>
        <w:top w:val="none" w:sz="0" w:space="0" w:color="auto"/>
        <w:left w:val="none" w:sz="0" w:space="0" w:color="auto"/>
        <w:bottom w:val="none" w:sz="0" w:space="0" w:color="auto"/>
        <w:right w:val="none" w:sz="0" w:space="0" w:color="auto"/>
      </w:divBdr>
    </w:div>
    <w:div w:id="170069403">
      <w:bodyDiv w:val="1"/>
      <w:marLeft w:val="0"/>
      <w:marRight w:val="0"/>
      <w:marTop w:val="0"/>
      <w:marBottom w:val="0"/>
      <w:divBdr>
        <w:top w:val="none" w:sz="0" w:space="0" w:color="auto"/>
        <w:left w:val="none" w:sz="0" w:space="0" w:color="auto"/>
        <w:bottom w:val="none" w:sz="0" w:space="0" w:color="auto"/>
        <w:right w:val="none" w:sz="0" w:space="0" w:color="auto"/>
      </w:divBdr>
    </w:div>
    <w:div w:id="282734576">
      <w:bodyDiv w:val="1"/>
      <w:marLeft w:val="0"/>
      <w:marRight w:val="0"/>
      <w:marTop w:val="0"/>
      <w:marBottom w:val="0"/>
      <w:divBdr>
        <w:top w:val="none" w:sz="0" w:space="0" w:color="auto"/>
        <w:left w:val="none" w:sz="0" w:space="0" w:color="auto"/>
        <w:bottom w:val="none" w:sz="0" w:space="0" w:color="auto"/>
        <w:right w:val="none" w:sz="0" w:space="0" w:color="auto"/>
      </w:divBdr>
    </w:div>
    <w:div w:id="289240758">
      <w:bodyDiv w:val="1"/>
      <w:marLeft w:val="0"/>
      <w:marRight w:val="0"/>
      <w:marTop w:val="0"/>
      <w:marBottom w:val="0"/>
      <w:divBdr>
        <w:top w:val="none" w:sz="0" w:space="0" w:color="auto"/>
        <w:left w:val="none" w:sz="0" w:space="0" w:color="auto"/>
        <w:bottom w:val="none" w:sz="0" w:space="0" w:color="auto"/>
        <w:right w:val="none" w:sz="0" w:space="0" w:color="auto"/>
      </w:divBdr>
    </w:div>
    <w:div w:id="971134820">
      <w:bodyDiv w:val="1"/>
      <w:marLeft w:val="0"/>
      <w:marRight w:val="0"/>
      <w:marTop w:val="0"/>
      <w:marBottom w:val="0"/>
      <w:divBdr>
        <w:top w:val="none" w:sz="0" w:space="0" w:color="auto"/>
        <w:left w:val="none" w:sz="0" w:space="0" w:color="auto"/>
        <w:bottom w:val="none" w:sz="0" w:space="0" w:color="auto"/>
        <w:right w:val="none" w:sz="0" w:space="0" w:color="auto"/>
      </w:divBdr>
    </w:div>
    <w:div w:id="1296176553">
      <w:bodyDiv w:val="1"/>
      <w:marLeft w:val="0"/>
      <w:marRight w:val="0"/>
      <w:marTop w:val="0"/>
      <w:marBottom w:val="0"/>
      <w:divBdr>
        <w:top w:val="none" w:sz="0" w:space="0" w:color="auto"/>
        <w:left w:val="none" w:sz="0" w:space="0" w:color="auto"/>
        <w:bottom w:val="none" w:sz="0" w:space="0" w:color="auto"/>
        <w:right w:val="none" w:sz="0" w:space="0" w:color="auto"/>
      </w:divBdr>
    </w:div>
    <w:div w:id="1670254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phtracking.cdc.gov/" TargetMode="External"/><Relationship Id="rId18" Type="http://schemas.openxmlformats.org/officeDocument/2006/relationships/hyperlink" Target="https://wonder.cdc.gov/mcd-icd10-expanded.html" TargetMode="External"/><Relationship Id="rId26" Type="http://schemas.openxmlformats.org/officeDocument/2006/relationships/hyperlink" Target="https://wonder.cdc.gov/mcd-icd10.html" TargetMode="External"/><Relationship Id="rId3" Type="http://schemas.openxmlformats.org/officeDocument/2006/relationships/customXml" Target="../customXml/item3.xml"/><Relationship Id="rId21" Type="http://schemas.openxmlformats.org/officeDocument/2006/relationships/hyperlink" Target="https://wonder.cdc.gov/wonder/help/main.html" TargetMode="External"/><Relationship Id="rId7" Type="http://schemas.openxmlformats.org/officeDocument/2006/relationships/settings" Target="settings.xml"/><Relationship Id="rId12" Type="http://schemas.openxmlformats.org/officeDocument/2006/relationships/hyperlink" Target="https://wonder.cdc.gov/Deaths-by-Underlying-Cause.html" TargetMode="External"/><Relationship Id="rId17" Type="http://schemas.openxmlformats.org/officeDocument/2006/relationships/hyperlink" Target="https://wonder.cdc.gov/mcd-icd10.html" TargetMode="External"/><Relationship Id="rId25" Type="http://schemas.openxmlformats.org/officeDocument/2006/relationships/hyperlink" Target="https://ephtracking.cdc.gov/indicatorPages" TargetMode="External"/><Relationship Id="rId2" Type="http://schemas.openxmlformats.org/officeDocument/2006/relationships/customXml" Target="../customXml/item2.xml"/><Relationship Id="rId16" Type="http://schemas.openxmlformats.org/officeDocument/2006/relationships/hyperlink" Target="https://wonder.cdc.gov/mcd-icd10-expanded.html" TargetMode="External"/><Relationship Id="rId20" Type="http://schemas.openxmlformats.org/officeDocument/2006/relationships/hyperlink" Target="https://www.ncei.noaa.gov/cdo-web/"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onder.cdc.gov/" TargetMode="External"/><Relationship Id="rId24" Type="http://schemas.openxmlformats.org/officeDocument/2006/relationships/hyperlink" Target="https://www.cdc.gov/MMWR/preview/mmwrhtml/00038443.htm" TargetMode="External"/><Relationship Id="rId5" Type="http://schemas.openxmlformats.org/officeDocument/2006/relationships/numbering" Target="numbering.xml"/><Relationship Id="rId15" Type="http://schemas.openxmlformats.org/officeDocument/2006/relationships/hyperlink" Target="https://wonder.cdc.gov/mcd-icd10.html" TargetMode="External"/><Relationship Id="rId23" Type="http://schemas.openxmlformats.org/officeDocument/2006/relationships/hyperlink" Target="https://icd.who.int/browse10/2019/en"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onder.cdc.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dc.gov/mmwr/volumes/69/wr/mm6924a1.htm" TargetMode="External"/><Relationship Id="rId22" Type="http://schemas.openxmlformats.org/officeDocument/2006/relationships/hyperlink" Target="https://www.cdc.gov/nchs/data/dvs/DEATH11-03final-ACC.pdf" TargetMode="External"/><Relationship Id="rId27" Type="http://schemas.openxmlformats.org/officeDocument/2006/relationships/hyperlink" Target="https://wonder.cdc.gov/mcd-icd10-expanded.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0 xmlns="924ddb61-764c-4703-9da6-ddf852dc8a22" xsi:nil="true"/>
    <lcf76f155ced4ddcb4097134ff3c332f xmlns="924ddb61-764c-4703-9da6-ddf852dc8a22">
      <Terms xmlns="http://schemas.microsoft.com/office/infopath/2007/PartnerControls"/>
    </lcf76f155ced4ddcb4097134ff3c332f>
    <TaxCatchAll xmlns="11d857ff-f4c9-431c-b3f0-894cf5d81aa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C2FA4749D13C4D8B63736A9D95688A" ma:contentTypeVersion="17" ma:contentTypeDescription="Create a new document." ma:contentTypeScope="" ma:versionID="578c655ecc84879846c98f19573eba7e">
  <xsd:schema xmlns:xsd="http://www.w3.org/2001/XMLSchema" xmlns:xs="http://www.w3.org/2001/XMLSchema" xmlns:p="http://schemas.microsoft.com/office/2006/metadata/properties" xmlns:ns2="11d857ff-f4c9-431c-b3f0-894cf5d81aa2" xmlns:ns3="924ddb61-764c-4703-9da6-ddf852dc8a22" targetNamespace="http://schemas.microsoft.com/office/2006/metadata/properties" ma:root="true" ma:fieldsID="e4057c1f2022873f23a3a8e83f192bb7" ns2:_="" ns3:_="">
    <xsd:import namespace="11d857ff-f4c9-431c-b3f0-894cf5d81aa2"/>
    <xsd:import namespace="924ddb61-764c-4703-9da6-ddf852dc8a2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Notes0"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857ff-f4c9-431c-b3f0-894cf5d81aa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015fc1ea-0df6-4181-8ca9-e6627910bc6f}" ma:internalName="TaxCatchAll" ma:showField="CatchAllData" ma:web="11d857ff-f4c9-431c-b3f0-894cf5d81a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4ddb61-764c-4703-9da6-ddf852dc8a2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Notes0" ma:index="12" nillable="true" ma:displayName="Notes" ma:internalName="Notes0">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96de28-cb53-43b9-a38b-bef149b24309"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B626A-EB83-488F-95C3-7CDCF10AB0E4}">
  <ds:schemaRefs>
    <ds:schemaRef ds:uri="http://schemas.microsoft.com/sharepoint/v3/contenttype/forms"/>
  </ds:schemaRefs>
</ds:datastoreItem>
</file>

<file path=customXml/itemProps2.xml><?xml version="1.0" encoding="utf-8"?>
<ds:datastoreItem xmlns:ds="http://schemas.openxmlformats.org/officeDocument/2006/customXml" ds:itemID="{DCF9E07B-232F-4133-B8D6-F92A7C4F7F48}">
  <ds:schemaRefs>
    <ds:schemaRef ds:uri="http://purl.org/dc/elements/1.1/"/>
    <ds:schemaRef ds:uri="http://schemas.openxmlformats.org/package/2006/metadata/core-properties"/>
    <ds:schemaRef ds:uri="http://schemas.microsoft.com/office/2006/documentManagement/types"/>
    <ds:schemaRef ds:uri="http://purl.org/dc/terms/"/>
    <ds:schemaRef ds:uri="http://www.w3.org/XML/1998/namespace"/>
    <ds:schemaRef ds:uri="924ddb61-764c-4703-9da6-ddf852dc8a22"/>
    <ds:schemaRef ds:uri="http://schemas.microsoft.com/office/2006/metadata/properties"/>
    <ds:schemaRef ds:uri="http://schemas.microsoft.com/office/infopath/2007/PartnerControls"/>
    <ds:schemaRef ds:uri="11d857ff-f4c9-431c-b3f0-894cf5d81aa2"/>
    <ds:schemaRef ds:uri="http://purl.org/dc/dcmitype/"/>
  </ds:schemaRefs>
</ds:datastoreItem>
</file>

<file path=customXml/itemProps3.xml><?xml version="1.0" encoding="utf-8"?>
<ds:datastoreItem xmlns:ds="http://schemas.openxmlformats.org/officeDocument/2006/customXml" ds:itemID="{93019FAF-8441-4387-9B48-F855037B490E}"/>
</file>

<file path=customXml/itemProps4.xml><?xml version="1.0" encoding="utf-8"?>
<ds:datastoreItem xmlns:ds="http://schemas.openxmlformats.org/officeDocument/2006/customXml" ds:itemID="{AF2F0EA5-A3A4-4DA1-A95E-F6347EA1A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7216</Words>
  <Characters>41135</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Technical Documentation: Heat-Related Deaths</vt:lpstr>
    </vt:vector>
  </TitlesOfParts>
  <Company>Eastern Research Group, Inc.</Company>
  <LinksUpToDate>false</LinksUpToDate>
  <CharactersWithSpaces>48255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Documentation: Heat-Related Deaths</dc:title>
  <dc:subject>This indicator presents data on deaths classified as "heat-related" in the United States.</dc:subject>
  <dc:creator>US EPA, OAR, Climate Change Division</dc:creator>
  <cp:keywords>climate change; global warming; science; technical; documentation; indicator; data; society; ecosystem; heat; mortality; death</cp:keywords>
  <dc:description/>
  <cp:lastModifiedBy/>
  <cp:revision>4</cp:revision>
  <dcterms:created xsi:type="dcterms:W3CDTF">2024-06-11T16:53:00Z</dcterms:created>
  <dcterms:modified xsi:type="dcterms:W3CDTF">2024-06-11T16:59:00Z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0x01010055C2FA4749D13C4D8B63736A9D95688A</vt:lpwstr>
  </property>
  <property fmtid="{D5CDD505-2E9C-101B-9397-08002B2CF9AE}" pid="3" name="MediaServiceImageTags">
    <vt:lpwstr/>
  </property>
  <property fmtid="{D5CDD505-2E9C-101B-9397-08002B2CF9AE}" pid="4" name="ZOTERO_PREF_1">
    <vt:lpwstr>&lt;data data-version="3" zotero-version="6.0.36"&gt;&lt;session id="BNeFLqPW"/&gt;&lt;style id="http://www.zotero.org/styles/climate-indicators-apa-7th" locale="en-US" hasBibliography="1" bibliographyStyleHasBeenSet="1"/&gt;&lt;prefs&gt;&lt;pref name="fieldType" value="Field"/&gt;&lt;/p</vt:lpwstr>
  </property>
  <property fmtid="{D5CDD505-2E9C-101B-9397-08002B2CF9AE}" pid="5" name="ZOTERO_PREF_2">
    <vt:lpwstr>refs&gt;&lt;/data&gt;</vt:lpwstr>
  </property>
</Properties>
</file>