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4748B"/>
          <w:sz w:val="28"/>
        </w:rPr>
        <w:t>국가교육발전계획 2028-2037</w:t>
      </w:r>
    </w:p>
    <w:p>
      <w:pPr>
        <w:spacing w:after="80"/>
        <w:jc w:val="center"/>
      </w:pPr>
      <w:r>
        <w:rPr>
          <w:b/>
          <w:color w:val="1A365D"/>
          <w:sz w:val="52"/>
        </w:rPr>
        <w:t>교육법률 온톨로지 시각화 시스템</w:t>
      </w:r>
    </w:p>
    <w:p>
      <w:pPr>
        <w:jc w:val="center"/>
        <w:pBdr>
          <w:bottom w:val="single" w:sz="12" w:color="2E5D8A" w:space="1"/>
        </w:pBdr>
      </w:pPr>
    </w:p>
    <w:p>
      <w:pPr>
        <w:jc w:val="center"/>
      </w:pPr>
      <w:r>
        <w:rPr>
          <w:color w:val="3B82F6"/>
          <w:sz w:val="32"/>
        </w:rPr>
        <w:t>MiroFish 기반 적용전략 보고서</w:t>
      </w:r>
    </w:p>
    <w:p/>
    <w:p/>
    <w:p/>
    <w:p/>
    <w:p>
      <w:pPr>
        <w:jc w:val="center"/>
      </w:pPr>
      <w:r>
        <w:rPr>
          <w:color w:val="94A3B8"/>
          <w:sz w:val="22"/>
        </w:rPr>
        <w:t>MiroFish GraphRAG + Multi-Agent Simulation Architecture</w:t>
      </w:r>
    </w:p>
    <w:p>
      <w:pPr>
        <w:jc w:val="center"/>
      </w:pPr>
      <w:r>
        <w:rPr>
          <w:color w:val="94A3B8"/>
          <w:sz w:val="22"/>
        </w:rPr>
        <w:t>2026. 3. 28.</w:t>
      </w:r>
    </w:p>
    <w:p>
      <w:pPr>
        <w:jc w:val="center"/>
      </w:pPr>
      <w:r>
        <w:rPr>
          <w:color w:val="94A3B8"/>
          <w:sz w:val="22"/>
        </w:rPr>
        <w:t>국가교육위원회 중장기교육발전계획 수립팀</w:t>
      </w:r>
    </w:p>
    <w:p>
      <w:r>
        <w:br w:type="page"/>
      </w:r>
    </w:p>
    <w:p>
      <w:pPr>
        <w:pStyle w:val="Heading1"/>
      </w:pPr>
      <w:r>
        <w:t>1. 프로젝트 현황 분석</w:t>
      </w:r>
    </w:p>
    <w:p>
      <w:pPr>
        <w:pStyle w:val="Heading2"/>
      </w:pPr>
      <w:r>
        <w:t>1.1 국가교육발전계획 2028-2037 프로젝트 현황</w:t>
      </w:r>
    </w:p>
    <w:p>
      <w:r>
        <w:t>국가교육위원회가 수립하는 중장기 국가교육발전계획(2028-2037)은 9개 핵심 분야를 서브 프로젝트로 구성하여 진행 중이다. 현재 01_AI디지털전략 분야만 본격 진행 중이며, 나머지 8개 분야는 준비 단계에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2268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분야</w:t>
            </w:r>
          </w:p>
        </w:tc>
        <w:tc>
          <w:tcPr>
            <w:tcW w:type="dxa" w:w="1134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3969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01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AI·디지털 전략</w:t>
            </w:r>
          </w:p>
        </w:tc>
        <w:tc>
          <w:tcPr>
            <w:tcW w:type="dxa" w:w="113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진행 중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원고 분석, 학술논문 37편 분석 완료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02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교육과정 혁신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준비 중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역량기반 교육과정 설계 예정</w:t>
            </w:r>
          </w:p>
        </w:tc>
      </w:tr>
      <w:tr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03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교원정책</w:t>
            </w:r>
          </w:p>
        </w:tc>
        <w:tc>
          <w:tcPr>
            <w:tcW w:type="dxa" w:w="113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준비 중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교원 양성·임용·연수 정책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04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평가·선발체제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준비 중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학생 평가, 대입 선발 개혁</w:t>
            </w:r>
          </w:p>
        </w:tc>
      </w:tr>
      <w:tr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05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교육재정</w:t>
            </w:r>
          </w:p>
        </w:tc>
        <w:tc>
          <w:tcPr>
            <w:tcW w:type="dxa" w:w="113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준비 중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예산·재원 확보·배분 전략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06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교육 거버넌스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준비 중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행정체제, 자치분권</w:t>
            </w:r>
          </w:p>
        </w:tc>
      </w:tr>
      <w:tr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07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평생·직업교육</w:t>
            </w:r>
          </w:p>
        </w:tc>
        <w:tc>
          <w:tcPr>
            <w:tcW w:type="dxa" w:w="113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준비 중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성인교육, 학점은행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08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교육복지·형평성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준비 중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교육격차 해소, 특수교육</w:t>
            </w:r>
          </w:p>
        </w:tc>
      </w:tr>
      <w:tr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09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글로벌 교육협력</w:t>
            </w:r>
          </w:p>
        </w:tc>
        <w:tc>
          <w:tcPr>
            <w:tcW w:type="dxa" w:w="113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준비 중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국제 협력, 교육 ODA</w:t>
            </w:r>
          </w:p>
        </w:tc>
      </w:tr>
    </w:tbl>
    <w:p/>
    <w:p>
      <w:pPr>
        <w:pStyle w:val="Heading1"/>
      </w:pPr>
      <w:r>
        <w:t>2. MiroFish 기술 스택 분석 및 적용 전략</w:t>
      </w:r>
    </w:p>
    <w:p>
      <w:pPr>
        <w:pStyle w:val="Heading2"/>
      </w:pPr>
      <w:r>
        <w:t>2.1 MiroFish 핵심 아키텍처</w:t>
      </w:r>
    </w:p>
    <w:p>
      <w:r>
        <w:t>MiroFish는 군집지능(Swarm Intelligence) 기반의 AI 예측 엔진으로, GraphRAG를 통한 지식그래프 구축과 수천 개의 자율 에이전트 시뮬레이션을 결합한 차세대 플랫폼이다. 본 프로젝트에서는 MiroFish의 다음 핵심 기술을 교육법률 온톨로지 시각화에 적용한다.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기술 요소</w:t>
            </w:r>
          </w:p>
        </w:tc>
        <w:tc>
          <w:tcPr>
            <w:tcW w:type="dxa" w:w="3118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MiroFish 구현</w:t>
            </w:r>
          </w:p>
        </w:tc>
        <w:tc>
          <w:tcPr>
            <w:tcW w:type="dxa" w:w="3402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교육법률 적용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GraphRAG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엔티티·관계 추출 → 온톨로지 생성 → 그래프 빌딩 파이프라인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헌법→기본법→개별법→시행령→조례 계층구조를 온톨로지로 구축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Multi-Agent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수천 개 에이전트의 독립적 성격·기억·행동 로직으로 사회 진화 시뮬레이션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교원·학생·학부모·행정가·연구자·산업계 6개 이해관계자 에이전트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D3.js Graph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SVG 기반 force-directed 레이아웃, entityType별 노드 색상 분류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법률유형(헌법/기본법/개별법/시행령/조례)별 색상 코딩 그래프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Vue + FastAPI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프론트엔드(Vue) + 백엔드(Python FastAPI) 아키텍처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React JSX 기반 인터랙티브 웹앱으로 변환 적용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Zep Cloud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에이전트 장기기억 관리, 상태 복구 지원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에이전트별 입장(stance) 추적, 합의 수렴도 측정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OASIS 엔진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Open Agent Social Interaction Simulations, 병렬 실행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정책 시나리오별 6개 에이전트 동시 상호작용</w:t>
            </w:r>
          </w:p>
        </w:tc>
      </w:tr>
    </w:tbl>
    <w:p/>
    <w:p>
      <w:pPr>
        <w:pStyle w:val="Heading1"/>
      </w:pPr>
      <w:r>
        <w:t>3. 교육법률 온톨로지 구조</w:t>
      </w:r>
    </w:p>
    <w:p>
      <w:pPr>
        <w:pStyle w:val="Heading2"/>
      </w:pPr>
      <w:r>
        <w:t>3.1 법체계 계층구조 (6단계)</w:t>
      </w:r>
    </w:p>
    <w:p>
      <w:r>
        <w:t>헌법 제31조 교육권으로부터 교육기본법, 개별 법률, 시행령, 시행규칙/고시, 지방조례까지 총 6단계의 위계적 법체계를 온톨로지 노드로 구조화하였다. 전체 27개 법률 노드와 35개 관계(엣지)로 구성되며, 각 노드는 9개 프로젝트 분야와 매핑된다.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1984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850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노드 수</w:t>
            </w:r>
          </w:p>
        </w:tc>
        <w:tc>
          <w:tcPr>
            <w:tcW w:type="dxa" w:w="4535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주요 법률</w:t>
            </w:r>
          </w:p>
        </w:tc>
      </w:tr>
      <w:tr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헌법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535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대한민국 헌법 제31조 (교육권)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기본법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교육기본법</w:t>
            </w:r>
          </w:p>
        </w:tc>
      </w:tr>
      <w:tr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개별법률/기술관련법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4535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초중등교육법, 고등교육법, 평생교육법, 교원지위법, 인공지능기본법 등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시행령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초중등교육법 시행령, 고등교육법 시행령 등</w:t>
            </w:r>
          </w:p>
        </w:tc>
      </w:tr>
      <w:tr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시행규칙/고시</w:t>
            </w:r>
          </w:p>
        </w:tc>
        <w:tc>
          <w:tcPr>
            <w:tcW w:type="dxa" w:w="850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535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교육과정 고시, 학생평가 훈령 등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조례/규칙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시·도교육청 조례, 교육과정 편성지침</w:t>
            </w:r>
          </w:p>
        </w:tc>
      </w:tr>
    </w:tbl>
    <w:p/>
    <w:p>
      <w:pPr>
        <w:pStyle w:val="Heading2"/>
      </w:pPr>
      <w:r>
        <w:t>3.2 관계 유형 (엣지 분류)</w:t>
      </w:r>
    </w:p>
    <w:p>
      <w:r>
        <w:t>법률 간 관계는 근거(헌법→기본법), 위임(상위법→하위법), 시행(법률→시행령), 참조(개별법 간 상호참조), 관련(정책영역 연관)의 5가지 유형으로 분류된다. 각 관계 유형은 시각화에서 서로 다른 색상과 화살표로 표시되어 법률 간 영향 경로를 직관적으로 파악할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관계 유형</w:t>
            </w:r>
          </w:p>
        </w:tc>
        <w:tc>
          <w:tcPr>
            <w:tcW w:type="dxa" w:w="3402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134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엣지 수</w:t>
            </w:r>
          </w:p>
        </w:tc>
        <w:tc>
          <w:tcPr>
            <w:tcW w:type="dxa" w:w="2268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시각화 색상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근거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헌법이 기본법의 근거가 됨</w:t>
            </w:r>
          </w:p>
        </w:tc>
        <w:tc>
          <w:tcPr>
            <w:tcW w:type="dxa" w:w="113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빨강 (#dc2626)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위임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상위법이 하위법에 규율 권한을 위임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파랑 (#2563eb)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시행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법률의 세부사항을 시행령으로 규정</w:t>
            </w:r>
          </w:p>
        </w:tc>
        <w:tc>
          <w:tcPr>
            <w:tcW w:type="dxa" w:w="113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청록 (#0891b2)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참조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개별법 간 상호 참조 및 연관 규정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회색 (#9ca3af)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관련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정책 영역 간 간접적 연관</w:t>
            </w:r>
          </w:p>
        </w:tc>
        <w:tc>
          <w:tcPr>
            <w:tcW w:type="dxa" w:w="113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보라 (#a855f7)</w:t>
            </w:r>
          </w:p>
        </w:tc>
      </w:tr>
    </w:tbl>
    <w:p>
      <w:r>
        <w:br w:type="page"/>
      </w:r>
    </w:p>
    <w:p>
      <w:pPr>
        <w:pStyle w:val="Heading1"/>
      </w:pPr>
      <w:r>
        <w:t>4. 멀티에이전트 시뮬레이션 설계</w:t>
      </w:r>
    </w:p>
    <w:p>
      <w:pPr>
        <w:pStyle w:val="Heading2"/>
      </w:pPr>
      <w:r>
        <w:t>4.1 에이전트 모델 (MiroFish 패턴)</w:t>
      </w:r>
    </w:p>
    <w:p>
      <w:r>
        <w:t>MiroFish의 멀티에이전트 시뮬레이션 아키텍처를 참고하여, 교육정책의 주요 이해관계자를 6개의 자율 에이전트로 모델링하였다. 각 에이전트는 독립적 성격, 초기 입장(stance), 관심 영역을 갖고 정책 시나리오에 대해 상호작용한다.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에이전트</w:t>
            </w:r>
          </w:p>
        </w:tc>
        <w:tc>
          <w:tcPr>
            <w:tcW w:type="dxa" w:w="1417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701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성격 특성</w:t>
            </w:r>
          </w:p>
        </w:tc>
        <w:tc>
          <w:tcPr>
            <w:tcW w:type="dxa" w:w="1417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초기 입장</w:t>
            </w:r>
          </w:p>
        </w:tc>
        <w:tc>
          <w:tcPr>
            <w:tcW w:type="dxa" w:w="2268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관심 분야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교원 에이전트</w:t>
            </w:r>
          </w:p>
        </w:tc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현장 교사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보수적, 학생 중심</w:t>
            </w:r>
          </w:p>
        </w:tc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0.3 (신중)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교원정책, 교육과정, 평가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학생 에이전트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초중고·대학생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변화 지향, 디지털 친화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0.7 (적극)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AI전략, 교육과정, 평가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학부모 에이전트</w:t>
            </w:r>
          </w:p>
        </w:tc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학부모 집단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자녀 미래 걱정</w:t>
            </w:r>
          </w:p>
        </w:tc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0.5 (중립)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평가, 재정, 복지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교육행정가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교육부·교육청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제도 안정 중시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0.4 (신중)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거버넌스, 재정, 교원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교육연구자</w:t>
            </w:r>
          </w:p>
        </w:tc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교육학 전문가</w:t>
            </w:r>
          </w:p>
        </w:tc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증거 기반 판단</w:t>
            </w:r>
          </w:p>
        </w:tc>
        <w:tc>
          <w:tcPr>
            <w:tcW w:type="dxa" w:w="1417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0.6 (개방)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AI전략, 글로벌, 교육과정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산업계 에이전트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기업·산업계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실무역량 중시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0.8 (적극)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AI전략, 평생교육, 과정</w:t>
            </w:r>
          </w:p>
        </w:tc>
      </w:tr>
    </w:tbl>
    <w:p/>
    <w:p>
      <w:pPr>
        <w:pStyle w:val="Heading2"/>
      </w:pPr>
      <w:r>
        <w:t>4.2 정책 시뮬레이션 시나리오</w:t>
      </w:r>
    </w:p>
    <w:p>
      <w:r>
        <w:t>9개 프로젝트 분야의 핵심 정책 의제를 6개 시나리오로 구성하여, 각 시나리오가 관련 법률과 에이전트에 미치는 영향을 시뮬레이션할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835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402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관련 법률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AI 교육과정 필수화</w:t>
            </w:r>
          </w:p>
        </w:tc>
        <w:tc>
          <w:tcPr>
            <w:tcW w:type="dxa" w:w="2835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초등부터 AI·코딩 교육 필수 교과 편성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초중등교육법, 교육과정 고시, 인공지능기본법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교원 AI 역량 강화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모든 교원 AI 활용 연수 의무화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교원지위법, 시행령, 인공지능기본법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대입제도 개편</w:t>
            </w:r>
          </w:p>
        </w:tc>
        <w:tc>
          <w:tcPr>
            <w:tcW w:type="dxa" w:w="2835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AI 기반 역량평가 도입, 수능 비중 축소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고등교육법, 시행령, 학생평가 훈령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평생학습 학점 인정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온라인 학습·직업훈련 학점 인정 확대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평생교육법, 시행령, 고등교육법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교육재정 재구조화</w:t>
            </w:r>
          </w:p>
        </w:tc>
        <w:tc>
          <w:tcPr>
            <w:tcW w:type="dxa" w:w="2835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AI·디지털 투자 비중 확대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지방교육재정교부금법, 시행령, 지방교육자치법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교육자치 확대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학교 자율권 강화, 국교위 역할 확대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국가교육위원회법, 지방교육자치법, 조례</w:t>
            </w:r>
          </w:p>
        </w:tc>
      </w:tr>
    </w:tbl>
    <w:p>
      <w:r>
        <w:br w:type="page"/>
      </w:r>
    </w:p>
    <w:p>
      <w:pPr>
        <w:pStyle w:val="Heading1"/>
      </w:pPr>
      <w:r>
        <w:t>5. MiroFish 적용전략 로드맵</w:t>
      </w:r>
    </w:p>
    <w:p>
      <w:pPr>
        <w:pStyle w:val="Heading2"/>
      </w:pPr>
      <w:r>
        <w:t>5.1 단계별 적용 전략</w:t>
      </w:r>
    </w:p>
    <w:p>
      <w:r>
        <w:rPr>
          <w:b/>
          <w:color w:val="2E5D8A"/>
          <w:sz w:val="22"/>
        </w:rPr>
        <w:t xml:space="preserve">Phase 1 (즉시 적용): </w:t>
      </w:r>
      <w:r>
        <w:rPr>
          <w:sz w:val="22"/>
        </w:rPr>
        <w:t>React/D3.js 기반 인터랙티브 법률 온톨로지 그래프 배포. 27개 법률 노드, 35개 관계 엣지의 force-directed 시각화. 9개 프로젝트 분야별 필터링 및 법률 상세정보 패널 제공.</w:t>
      </w:r>
    </w:p>
    <w:p>
      <w:r>
        <w:rPr>
          <w:b/>
          <w:color w:val="2E5D8A"/>
          <w:sz w:val="22"/>
        </w:rPr>
        <w:t xml:space="preserve">Phase 2 (1개월 내): </w:t>
      </w:r>
      <w:r>
        <w:rPr>
          <w:sz w:val="22"/>
        </w:rPr>
        <w:t>멀티에이전트 시뮬레이션 엔진 고도화. 6개 이해관계자 에이전트의 정책 반응 시뮬레이션. MiroFish OASIS 패턴의 병렬 에이전트 루프 및 합의 수렴 알고리즘 적용.</w:t>
      </w:r>
    </w:p>
    <w:p>
      <w:r>
        <w:rPr>
          <w:b/>
          <w:color w:val="2E5D8A"/>
          <w:sz w:val="22"/>
        </w:rPr>
        <w:t xml:space="preserve">Phase 3 (3개월 내): </w:t>
      </w:r>
      <w:r>
        <w:rPr>
          <w:sz w:val="22"/>
        </w:rPr>
        <w:t>GraphRAG 파이프라인 구축. 법률 원문 PDF에서 자동 엔티티/관계 추출. MiroFish의 온톨로지 생성 → 그래프 빌딩 5단계 파이프라인 적용. 법률 개정 시 자동 그래프 업데이트.</w:t>
      </w:r>
    </w:p>
    <w:p>
      <w:r>
        <w:rPr>
          <w:b/>
          <w:color w:val="2E5D8A"/>
          <w:sz w:val="22"/>
        </w:rPr>
        <w:t xml:space="preserve">Phase 4 (6개월 내): </w:t>
      </w:r>
      <w:r>
        <w:rPr>
          <w:sz w:val="22"/>
        </w:rPr>
        <w:t>정책 영향 예측 시스템 완성. MiroFish의 Report Agent 패턴을 도입하여 시뮬레이션 결과를 구조화된 정책 영향 보고서로 자동 생성. 반사실적(counterfactual) 시나리오 분석 지원.</w:t>
      </w:r>
    </w:p>
    <w:p/>
    <w:p>
      <w:pPr>
        <w:pStyle w:val="Heading2"/>
      </w:pPr>
      <w:r>
        <w:t>5.2 MiroFish 핵심 자원 활용 계획</w:t>
      </w:r>
    </w:p>
    <w:p>
      <w:r>
        <w:t>MiroFish 레포지토리(github.com/666ghj/MiroFish)에서 활용 가능한 핵심 자원과 본 프로젝트에의 적용 방안은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MiroFish 자원</w:t>
            </w:r>
          </w:p>
        </w:tc>
        <w:tc>
          <w:tcPr>
            <w:tcW w:type="dxa" w:w="2268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984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적용 대상</w:t>
            </w:r>
          </w:p>
        </w:tc>
        <w:tc>
          <w:tcPr>
            <w:tcW w:type="dxa" w:w="1984"/>
            <w:shd w:fill="2E5D8A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GraphPanel.vue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D3.js force-directed 그래프 렌더링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법률 온톨로지 시각화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Phase 1 (즉시)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GraphRAG 모듈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엔티티/관계 추출 파이프라인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법률 텍스트 자동 분석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Phase 3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Agent 프레임워크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에이전트 생성/관리/상호작용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이해관계자 시뮬레이션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Phase 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OASIS 엔진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소셜 상호작용 시뮬레이션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정책 토론 시뮬레이션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Phase 2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Zep Cloud 연동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에이전트 장기기억 관리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에이전트 상태 지속성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Phase 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Report Agent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시뮬레이션 결과 보고서 생성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정책 영향 보고서 자동화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Phase 4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amadad/mirofish</w:t>
            </w:r>
          </w:p>
        </w:tc>
        <w:tc>
          <w:tcPr>
            <w:tcW w:type="dxa" w:w="2268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영문 포크, KuzuDB 그래프 저장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로컬 그래프 DB 구축</w:t>
            </w:r>
          </w:p>
        </w:tc>
        <w:tc>
          <w:tcPr>
            <w:tcW w:type="dxa" w:w="1984"/>
            <w:shd w:fill="F8FAFC" w:val="clear"/>
          </w:tcPr>
          <w:p>
            <w:r/>
            <w:r>
              <w:rPr>
                <w:rFonts w:ascii="Arial" w:hAnsi="Arial"/>
                <w:sz w:val="20"/>
              </w:rPr>
              <w:t>Phase 3</w:t>
            </w:r>
          </w:p>
        </w:tc>
      </w:tr>
    </w:tbl>
    <w:p>
      <w:r>
        <w:br w:type="page"/>
      </w:r>
    </w:p>
    <w:p>
      <w:pPr>
        <w:pStyle w:val="Heading1"/>
      </w:pPr>
      <w:r>
        <w:t>6. 결론 및 기대효과</w:t>
      </w:r>
    </w:p>
    <w:p>
      <w:r>
        <w:t>MiroFish의 GraphRAG + Multi-Agent Simulation 아키텍처를 한국 교육법률 온톨로지 시각화에 적용함으로써, 국가교육발전계획 2028-2037의 9개 분야에 걸친 법률 체계를 체계적으로 시각화하고, 정책 변화가 다양한 이해관계자에게 미치는 영향을 사전에 시뮬레이션할 수 있는 도구를 구축하였다.</w:t>
      </w:r>
    </w:p>
    <w:p>
      <w:r>
        <w:t>주요 기대효과는 다음과 같다. 첫째, 헌법부터 지방조례까지 6단계 교육법률 체계의 온톨로지 기반 시각화를 통해 법률 간 관계와 영향 범위를 직관적으로 파악할 수 있다. 둘째, 6개 이해관계자 에이전트의 멀티에이전트 시뮬레이션을 통해 정책 시나리오별 사회적 반응을 사전 예측할 수 있다. 셋째, MiroFish의 오픈소스 생태계(GraphRAG, OASIS, Report Agent)를 활용하여 향후 법률 개정이나 신규 정책 도입 시 자동 업데이트가 가능한 살아있는 법률 지식그래프를 구축할 수 있다.</w:t>
      </w:r>
    </w:p>
    <w:p>
      <w:r>
        <w:t>본 시스템은 Phase 1의 인터랙티브 시각화 앱(education-law-ontology.jsx)부터 즉시 활용 가능하며, 향후 단계적으로 GraphRAG 파이프라인과 정책 영향 예측 시스템으로 확장해 나갈 예정이다.</w:t>
      </w:r>
    </w:p>
    <w:p/>
    <w:p>
      <w:pPr>
        <w:spacing w:before="480"/>
        <w:pBdr>
          <w:top w:val="single" w:sz="4" w:color="CBD5E1" w:space="8"/>
        </w:pBdr>
      </w:pPr>
      <w:r>
        <w:rPr>
          <w:b/>
          <w:color w:val="64748B"/>
        </w:rPr>
        <w:t>참고 자원</w:t>
      </w:r>
    </w:p>
    <w:p>
      <w:pPr>
        <w:pStyle w:val="ListNumber"/>
      </w:pPr>
      <w:r>
        <w:rPr>
          <w:color w:val="64748B"/>
          <w:sz w:val="20"/>
        </w:rPr>
        <w:t>MiroFish GitHub: github.com/666ghj/MiroFish</w:t>
      </w:r>
    </w:p>
    <w:p>
      <w:pPr>
        <w:pStyle w:val="ListNumber"/>
      </w:pPr>
      <w:r>
        <w:rPr>
          <w:color w:val="64748B"/>
          <w:sz w:val="20"/>
        </w:rPr>
        <w:t>MiroFish English Fork (amadad): github.com/amadad/mirofish</w:t>
      </w:r>
    </w:p>
    <w:p>
      <w:pPr>
        <w:pStyle w:val="ListNumber"/>
      </w:pPr>
      <w:r>
        <w:rPr>
          <w:color w:val="64748B"/>
          <w:sz w:val="20"/>
        </w:rPr>
        <w:t>국가법령정보센터: law.go.kr</w:t>
      </w:r>
    </w:p>
    <w:p>
      <w:pPr>
        <w:pStyle w:val="ListNumber"/>
      </w:pPr>
      <w:r>
        <w:rPr>
          <w:color w:val="64748B"/>
          <w:sz w:val="20"/>
        </w:rPr>
        <w:t>교육기본법 (법률 제5437호)</w:t>
      </w:r>
    </w:p>
    <w:p>
      <w:pPr>
        <w:pStyle w:val="ListNumber"/>
      </w:pPr>
      <w:r>
        <w:rPr>
          <w:color w:val="64748B"/>
          <w:sz w:val="20"/>
        </w:rPr>
        <w:t>한국컴퓨터교육학회 논문지 (2022): 온톨로지 학습 기반 지식 그래프 구축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2E5D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00"/>
      <w:outlineLvl w:val="2"/>
    </w:pPr>
    <w:rPr>
      <w:rFonts w:asciiTheme="majorHAnsi" w:eastAsiaTheme="majorEastAsia" w:hAnsiTheme="majorHAnsi" w:cstheme="majorBidi" w:ascii="Arial" w:hAnsi="Arial"/>
      <w:b/>
      <w:bCs/>
      <w:color w:val="3B82F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