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ПРИГОВОР</w:t>
      </w:r>
    </w:p>
    <w:p>
      <w:r>
        <w:t>Именем Российской Федерации</w:t>
      </w:r>
    </w:p>
    <w:p/>
    <w:p>
      <w:r>
        <w:t>20 марта 2026 года                                                           г. Подольск</w:t>
      </w:r>
    </w:p>
    <w:p/>
    <w:p>
      <w:r>
        <w:t>Подольский городской суд, рассмотрев в открытом судебном заседании уголовное дело в отношении:</w:t>
      </w:r>
    </w:p>
    <w:p/>
    <w:p>
      <w:r>
        <w:t>гражданина Б., ранее судимого, в действиях которого установлен опасный рецидив преступлений,</w:t>
      </w:r>
    </w:p>
    <w:p>
      <w:r>
        <w:t>обвиняемого в совершении преступления, предусмотренного ч. 2 ст. 158 УК РФ,</w:t>
      </w:r>
    </w:p>
    <w:p/>
    <w:p>
      <w:r>
        <w:t>УСТАНОВИЛ:</w:t>
      </w:r>
    </w:p>
    <w:p>
      <w:r>
        <w:t>Подсудимый совершил кражу с незаконным проникновением в помещение. Вину признал частично.</w:t>
      </w:r>
    </w:p>
    <w:p>
      <w:r>
        <w:t>Смягчающих обстоятельств не установлено. Отягчающее обстоятельство: рецидив преступлений.</w:t>
      </w:r>
    </w:p>
    <w:p/>
    <w:p>
      <w:r>
        <w:t>ПРИГОВОРИЛ:</w:t>
      </w:r>
    </w:p>
    <w:p>
      <w:r>
        <w:t>Признать гражданина Б. виновным в совершении преступления, предусмотренного ч. 2 ст. 158 УК РФ,</w:t>
      </w:r>
    </w:p>
    <w:p>
      <w:r>
        <w:t>и назначить ему наказание в виде лишения свободы сроком на 6 лет.</w:t>
      </w:r>
    </w:p>
    <w:p>
      <w:r>
        <w:t>На основании ст. 73 УК РФ назначенное наказание считать условным с испытательным сроком 4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