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ПРИГОВОР</w:t>
      </w:r>
    </w:p>
    <w:p>
      <w:r>
        <w:t>Именем Российской Федерации</w:t>
      </w:r>
    </w:p>
    <w:p/>
    <w:p>
      <w:r>
        <w:t>10 марта 2026 года                                                           г. Москва</w:t>
      </w:r>
    </w:p>
    <w:p/>
    <w:p>
      <w:r>
        <w:t>Ленинский районный суд г. Москвы, рассмотрев в открытом судебном заседании уголовное дело в отношении:</w:t>
      </w:r>
    </w:p>
    <w:p/>
    <w:p>
      <w:r>
        <w:t>гражданина В., ранее не судимого,</w:t>
      </w:r>
    </w:p>
    <w:p>
      <w:r>
        <w:t>обвиняемого в совершении преступления, предусмотренного ч. 2 ст. 158 УК РФ,</w:t>
      </w:r>
    </w:p>
    <w:p/>
    <w:p>
      <w:r>
        <w:t>УСТАНОВИЛ:</w:t>
      </w:r>
    </w:p>
    <w:p>
      <w:r>
        <w:t>Подсудимый совершил покушение на кражу, то есть тайное хищение чужого имущества,</w:t>
      </w:r>
    </w:p>
    <w:p>
      <w:r>
        <w:t>с незаконным проникновением в помещение, однако преступление не было доведено до конца</w:t>
      </w:r>
    </w:p>
    <w:p>
      <w:r>
        <w:t>по не зависящим от него обстоятельствам.</w:t>
      </w:r>
    </w:p>
    <w:p>
      <w:r>
        <w:t>Смягчающих и отягчающих обстоятельств не установлено.</w:t>
      </w:r>
    </w:p>
    <w:p/>
    <w:p>
      <w:r>
        <w:t>ПРИГОВОРИЛ:</w:t>
      </w:r>
    </w:p>
    <w:p>
      <w:r>
        <w:t>Признать гражданина В. виновным в совершении преступления, предусмотренного ч. 2 ст. 158 УК РФ,</w:t>
      </w:r>
    </w:p>
    <w:p>
      <w:r>
        <w:t>и назначить ему наказание в виде лишения свободы сроком на 4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