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6e4a"/>
          <w:sz w:val="32"/>
          <w:szCs w:val="32"/>
        </w:rPr>
        <w:t xml:space="preserve">POLÍTICA DE PRIVACIDADE</w:t>
      </w:r>
    </w:p>
    <w:p>
      <w:pPr>
        <w:spacing w:after="40"/>
        <w:jc w:val="center"/>
      </w:pPr>
      <w:r>
        <w:rPr>
          <w:color w:val="6b7280"/>
          <w:sz w:val="22"/>
          <w:szCs w:val="22"/>
        </w:rPr>
        <w:t xml:space="preserve">Clínica Dra. Anna Carolina Dias — Harmonização Orofacial</w:t>
      </w:r>
    </w:p>
    <w:p>
      <w:pPr>
        <w:spacing w:after="400"/>
        <w:jc w:val="center"/>
      </w:pPr>
      <w:r>
        <w:rPr>
          <w:i/>
          <w:iCs/>
          <w:color w:val="6b7280"/>
          <w:sz w:val="18"/>
          <w:szCs w:val="18"/>
        </w:rPr>
        <w:t xml:space="preserve">Última atualização: 22 de julho de 2026</w:t>
      </w:r>
    </w:p>
    <w:p>
      <w:pPr>
        <w:pStyle w:val="Heading1"/>
        <w:spacing w:after="200" w:before="200"/>
      </w:pPr>
      <w:r>
        <w:t xml:space="preserve">1. Introdução</w:t>
      </w:r>
    </w:p>
    <w:p>
      <w:pPr>
        <w:spacing w:after="160"/>
      </w:pPr>
      <w:r>
        <w:t xml:space="preserve">Esta Política de Privacidade descreve como a Clínica Dra. Anna Carolina Dias ("nós", "clínica") coleta, usa, armazena e protege os dados pessoais de pacientes e visitantes, em conformidade com a Lei Geral de Proteção de Dados Pessoais (Lei nº 13.709/2018 — LGPD).</w:t>
      </w:r>
    </w:p>
    <w:p>
      <w:pPr>
        <w:spacing w:after="160"/>
      </w:pPr>
      <w:r>
        <w:t xml:space="preserve">Ao utilizar nossos serviços, nosso sistema de agendamento online, nossa ficha de anamnese digital ou qualquer outro canal de atendimento, você concorda com as práticas descritas neste documento.</w:t>
      </w:r>
    </w:p>
    <w:p>
      <w:pPr>
        <w:pStyle w:val="Heading1"/>
        <w:spacing w:after="200" w:before="200"/>
      </w:pPr>
      <w:r>
        <w:t xml:space="preserve">2. Quem somos (Controladora dos dados)</w:t>
      </w:r>
    </w:p>
    <w:p>
      <w:pPr>
        <w:spacing w:after="160"/>
      </w:pPr>
      <w:r>
        <w:rPr>
          <w:b/>
          <w:bCs/>
        </w:rPr>
        <w:t xml:space="preserve">Controladora: </w:t>
      </w:r>
      <w:r>
        <w:t xml:space="preserve">Dra. Anna Carolina Dias — CRO 82281 (Harmonização Orofacial)</w:t>
      </w:r>
    </w:p>
    <w:p>
      <w:pPr>
        <w:spacing w:after="160"/>
      </w:pPr>
      <w:r>
        <w:rPr>
          <w:b/>
          <w:bCs/>
        </w:rPr>
        <w:t xml:space="preserve">Endereço: </w:t>
      </w:r>
      <w:r>
        <w:t xml:space="preserve">Rua Capitão Daniel da Cunha Morais, 632, Centro, Tanabi/SP — CEP 15170-027</w:t>
      </w:r>
    </w:p>
    <w:p>
      <w:pPr>
        <w:spacing w:after="160"/>
      </w:pPr>
      <w:r>
        <w:rPr>
          <w:b/>
          <w:bCs/>
        </w:rPr>
        <w:t xml:space="preserve">Telefone/WhatsApp: </w:t>
      </w:r>
      <w:r>
        <w:t xml:space="preserve">(17) 98211-3940</w:t>
      </w:r>
    </w:p>
    <w:p>
      <w:pPr>
        <w:spacing w:after="160"/>
      </w:pPr>
      <w:r>
        <w:rPr>
          <w:b/>
          <w:bCs/>
        </w:rPr>
        <w:t xml:space="preserve">CPF: </w:t>
      </w:r>
      <w:r>
        <w:t xml:space="preserve">296.114.268-79</w:t>
      </w:r>
    </w:p>
    <w:p>
      <w:pPr>
        <w:pStyle w:val="Heading1"/>
        <w:spacing w:after="200" w:before="200"/>
      </w:pPr>
      <w:r>
        <w:t xml:space="preserve">3. Quais dados coletamos</w:t>
      </w:r>
    </w:p>
    <w:p>
      <w:pPr>
        <w:pStyle w:val="Heading2"/>
        <w:spacing w:after="120" w:before="300"/>
      </w:pPr>
      <w:r>
        <w:t xml:space="preserve">3.1 Dados de identificação e contato</w:t>
      </w:r>
    </w:p>
    <w:p>
      <w:pPr>
        <w:spacing w:after="160"/>
      </w:pPr>
      <w:r>
        <w:t xml:space="preserve">Nome completo, apelido/como prefere ser chamado(a), CPF, RG, data de nascimento, sexo, telefone, endereço completo, e-mail, Instagram (quando informado), como conheceu a clínica.</w:t>
      </w:r>
    </w:p>
    <w:p>
      <w:pPr>
        <w:pStyle w:val="Heading2"/>
        <w:spacing w:after="120" w:before="300"/>
      </w:pPr>
      <w:r>
        <w:t xml:space="preserve">3.2 Dados de saúde (dado pessoal sensível — art. 5º, II e art. 11 da LGPD)</w:t>
      </w:r>
    </w:p>
    <w:p>
      <w:pPr>
        <w:spacing w:after="160"/>
      </w:pPr>
      <w:r>
        <w:t xml:space="preserve">Ficha de anamnese (queixa principal, expectativas com o tratamento, sinais vitais, pressão arterial, peso, histórico de saúde relevante), procedimentos realizados, evolução clínica, fotografias de acompanhamento ("antes e depois").</w:t>
      </w:r>
    </w:p>
    <w:p>
      <w:pPr>
        <w:spacing w:after="160"/>
      </w:pPr>
      <w:r>
        <w:t xml:space="preserve">Esses dados recebem tratamento reforçado de segurança e acesso restrito, por se tratarem de dados sensíveis nos termos da LGPD.</w:t>
      </w:r>
    </w:p>
    <w:p>
      <w:pPr>
        <w:pStyle w:val="Heading2"/>
        <w:spacing w:after="120" w:before="300"/>
      </w:pPr>
      <w:r>
        <w:t xml:space="preserve">3.3 Dados financeiros</w:t>
      </w:r>
    </w:p>
    <w:p>
      <w:pPr>
        <w:spacing w:after="160"/>
      </w:pPr>
      <w:r>
        <w:t xml:space="preserve">Histórico de pagamentos, valores de procedimentos, forma de pagamento e eventual inadimplência — usados exclusivamente para controle financeiro interno da clínica.</w:t>
      </w:r>
    </w:p>
    <w:p>
      <w:pPr>
        <w:pStyle w:val="Heading2"/>
        <w:spacing w:after="120" w:before="300"/>
      </w:pPr>
      <w:r>
        <w:t xml:space="preserve">3.4 Dados de acesso ao sistema</w:t>
      </w:r>
    </w:p>
    <w:p>
      <w:pPr>
        <w:spacing w:after="160"/>
      </w:pPr>
      <w:r>
        <w:t xml:space="preserve">Registros técnicos de acesso ao sistema de gestão (data/hora de login), necessários para segurança e auditoria interna. Não fazemos rastreamento de navegação para fins de publicidade.</w:t>
      </w:r>
    </w:p>
    <w:p>
      <w:pPr>
        <w:pStyle w:val="Heading1"/>
        <w:spacing w:after="200" w:before="200"/>
      </w:pPr>
      <w:r>
        <w:t xml:space="preserve">4. Para que usamos seus dados (finalidades e base legal)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4000"/>
      </w:tblGrid>
      <w:tr>
        <w:tc>
          <w:tcPr>
            <w:tcW w:type="dxa" w:w="5400"/>
            <w:shd w:fill="E1F5EE" w:val="clear"/>
          </w:tcPr>
          <w:p>
            <w:r>
              <w:rPr>
                <w:b/>
                <w:bCs/>
                <w:color w:val="1a6e4a"/>
              </w:rPr>
              <w:t xml:space="preserve">Finalidade</w:t>
            </w:r>
          </w:p>
        </w:tc>
        <w:tc>
          <w:tcPr>
            <w:tcW w:type="dxa" w:w="4000"/>
            <w:shd w:fill="E1F5EE" w:val="clear"/>
          </w:tcPr>
          <w:p>
            <w:r>
              <w:rPr>
                <w:b/>
                <w:bCs/>
                <w:color w:val="1a6e4a"/>
              </w:rPr>
              <w:t xml:space="preserve">Base legal (LGPD)</w:t>
            </w:r>
          </w:p>
        </w:tc>
      </w:tr>
      <w:tr>
        <w:tc>
          <w:tcPr>
            <w:tcW w:type="dxa" w:w="5400"/>
          </w:tcPr>
          <w:p>
            <w:r>
              <w:rPr>
                <w:b w:val="false"/>
                <w:bCs w:val="false"/>
              </w:rPr>
              <w:t xml:space="preserve">Atendimento clínico e elaboração do prontuário</w:t>
            </w:r>
          </w:p>
        </w:tc>
        <w:tc>
          <w:tcPr>
            <w:tcW w:type="dxa" w:w="4000"/>
          </w:tcPr>
          <w:p>
            <w:r>
              <w:rPr>
                <w:b w:val="false"/>
                <w:bCs w:val="false"/>
              </w:rPr>
              <w:t xml:space="preserve">Art. 11, II, "a" — tutela da saúde</w:t>
            </w:r>
          </w:p>
        </w:tc>
      </w:tr>
      <w:tr>
        <w:tc>
          <w:tcPr>
            <w:tcW w:type="dxa" w:w="5400"/>
          </w:tcPr>
          <w:p>
            <w:r>
              <w:rPr>
                <w:b w:val="false"/>
                <w:bCs w:val="false"/>
              </w:rPr>
              <w:t xml:space="preserve">Agendamento, confirmação e lembrete de consultas</w:t>
            </w:r>
          </w:p>
        </w:tc>
        <w:tc>
          <w:tcPr>
            <w:tcW w:type="dxa" w:w="4000"/>
          </w:tcPr>
          <w:p>
            <w:r>
              <w:rPr>
                <w:b w:val="false"/>
                <w:bCs w:val="false"/>
              </w:rPr>
              <w:t xml:space="preserve">Art. 7º, V — execução de contrato</w:t>
            </w:r>
          </w:p>
        </w:tc>
      </w:tr>
      <w:tr>
        <w:tc>
          <w:tcPr>
            <w:tcW w:type="dxa" w:w="5400"/>
          </w:tcPr>
          <w:p>
            <w:r>
              <w:rPr>
                <w:b w:val="false"/>
                <w:bCs w:val="false"/>
              </w:rPr>
              <w:t xml:space="preserve">Comunicação via WhatsApp sobre consultas e cobranças</w:t>
            </w:r>
          </w:p>
        </w:tc>
        <w:tc>
          <w:tcPr>
            <w:tcW w:type="dxa" w:w="4000"/>
          </w:tcPr>
          <w:p>
            <w:r>
              <w:rPr>
                <w:b w:val="false"/>
                <w:bCs w:val="false"/>
              </w:rPr>
              <w:t xml:space="preserve">Art. 7º, V e IX — contrato e legítimo interesse</w:t>
            </w:r>
          </w:p>
        </w:tc>
      </w:tr>
      <w:tr>
        <w:tc>
          <w:tcPr>
            <w:tcW w:type="dxa" w:w="5400"/>
          </w:tcPr>
          <w:p>
            <w:r>
              <w:rPr>
                <w:b w:val="false"/>
                <w:bCs w:val="false"/>
              </w:rPr>
              <w:t xml:space="preserve">Controle financeiro e emissão de documentos fiscais</w:t>
            </w:r>
          </w:p>
        </w:tc>
        <w:tc>
          <w:tcPr>
            <w:tcW w:type="dxa" w:w="4000"/>
          </w:tcPr>
          <w:p>
            <w:r>
              <w:rPr>
                <w:b w:val="false"/>
                <w:bCs w:val="false"/>
              </w:rPr>
              <w:t xml:space="preserve">Art. 7º, II — cumprimento de obrigação legal</w:t>
            </w:r>
          </w:p>
        </w:tc>
      </w:tr>
      <w:tr>
        <w:tc>
          <w:tcPr>
            <w:tcW w:type="dxa" w:w="5400"/>
          </w:tcPr>
          <w:p>
            <w:r>
              <w:rPr>
                <w:b w:val="false"/>
                <w:bCs w:val="false"/>
              </w:rPr>
              <w:t xml:space="preserve">Guarda do prontuário pelo prazo exigido pelo CFO</w:t>
            </w:r>
          </w:p>
        </w:tc>
        <w:tc>
          <w:tcPr>
            <w:tcW w:type="dxa" w:w="4000"/>
          </w:tcPr>
          <w:p>
            <w:r>
              <w:rPr>
                <w:b w:val="false"/>
                <w:bCs w:val="false"/>
              </w:rPr>
              <w:t xml:space="preserve">Art. 7º, II — cumprimento de obrigação legal</w:t>
            </w:r>
          </w:p>
        </w:tc>
      </w:tr>
      <w:tr>
        <w:tc>
          <w:tcPr>
            <w:tcW w:type="dxa" w:w="5400"/>
          </w:tcPr>
          <w:p>
            <w:r>
              <w:rPr>
                <w:b w:val="false"/>
                <w:bCs w:val="false"/>
              </w:rPr>
              <w:t xml:space="preserve">Fotografias de acompanhamento do tratamento</w:t>
            </w:r>
          </w:p>
        </w:tc>
        <w:tc>
          <w:tcPr>
            <w:tcW w:type="dxa" w:w="4000"/>
          </w:tcPr>
          <w:p>
            <w:r>
              <w:rPr>
                <w:b w:val="false"/>
                <w:bCs w:val="false"/>
              </w:rPr>
              <w:t xml:space="preserve">Art. 11, II, "a" + consentimento específico</w:t>
            </w:r>
          </w:p>
        </w:tc>
      </w:tr>
    </w:tbl>
    <w:p>
      <w:pPr>
        <w:spacing w:after="160"/>
      </w:pPr>
    </w:p>
    <w:p>
      <w:pPr>
        <w:spacing w:after="160"/>
      </w:pPr>
      <w:r>
        <w:t xml:space="preserve">Não utilizamos seus dados para venda a terceiros, tampouco para publicidade direcionada.</w:t>
      </w:r>
    </w:p>
    <w:p>
      <w:pPr>
        <w:pStyle w:val="Heading1"/>
        <w:spacing w:after="200" w:before="200"/>
      </w:pPr>
      <w:r>
        <w:t xml:space="preserve">5. Com quem compartilhamos seus dados</w:t>
      </w:r>
    </w:p>
    <w:p>
      <w:pPr>
        <w:spacing w:after="160"/>
      </w:pPr>
      <w:r>
        <w:t xml:space="preserve">Não compartilhamos seus dados com terceiros para fins comerciais. Os dados são acessados apenas por:</w:t>
      </w:r>
    </w:p>
    <w:p>
      <w:pPr>
        <w:pStyle w:val="ListParagraph"/>
        <w:numPr>
          <w:ilvl w:val="0"/>
          <w:numId w:val="1"/>
        </w:numPr>
        <w:spacing w:after="100"/>
      </w:pPr>
      <w:r>
        <w:t xml:space="preserve">Equipe autorizada da clínica, mediante login individual e controle de acesso;</w:t>
      </w:r>
    </w:p>
    <w:p>
      <w:pPr>
        <w:pStyle w:val="ListParagraph"/>
        <w:numPr>
          <w:ilvl w:val="0"/>
          <w:numId w:val="1"/>
        </w:numPr>
        <w:spacing w:after="100"/>
      </w:pPr>
      <w:r>
        <w:t xml:space="preserve">Supabase (provedor de banco de dados e infraestrutura), na qualidade de operador (art. 5º, VII, LGPD), responsável por armazenar os dados em servidores localizados no Brasil (região São Paulo), sob acordo de proteção de dados com o fornecedor;</w:t>
      </w:r>
    </w:p>
    <w:p>
      <w:pPr>
        <w:pStyle w:val="ListParagraph"/>
        <w:numPr>
          <w:ilvl w:val="0"/>
          <w:numId w:val="1"/>
        </w:numPr>
        <w:spacing w:after="100"/>
      </w:pPr>
      <w:r>
        <w:t xml:space="preserve">GitHub Pages, para hospedagem do sistema (sem acesso ao banco de dados);</w:t>
      </w:r>
    </w:p>
    <w:p>
      <w:pPr>
        <w:pStyle w:val="ListParagraph"/>
        <w:numPr>
          <w:ilvl w:val="0"/>
          <w:numId w:val="1"/>
        </w:numPr>
        <w:spacing w:after="100"/>
      </w:pPr>
      <w:r>
        <w:t xml:space="preserve">WhatsApp (Meta), quando utilizado para envio de mensagens de confirmação e cobrança — sujeito à política de privacidade própria da plataforma.</w:t>
      </w:r>
    </w:p>
    <w:p>
      <w:pPr>
        <w:pBdr>
          <w:top w:val="single" w:color="EF9F27" w:sz="4"/>
          <w:bottom w:val="single" w:color="EF9F27" w:sz="4"/>
          <w:left w:val="single" w:color="EF9F27" w:sz="4"/>
          <w:right w:val="single" w:color="EF9F27" w:sz="4"/>
        </w:pBdr>
        <w:shd w:fill="FFFBEA" w:val="clear"/>
        <w:spacing w:after="200" w:before="100"/>
        <w:ind w:left="100" w:right="100"/>
      </w:pPr>
      <w:r>
        <w:rPr>
          <w:b/>
          <w:bCs/>
          <w:color w:val="7a5a10"/>
        </w:rPr>
        <w:t xml:space="preserve">Nota para revisão: </w:t>
      </w:r>
      <w:r>
        <w:rPr>
          <w:color w:val="7a5a10"/>
        </w:rPr>
        <w:t xml:space="preserve">o Supabase é uma empresa sediada nos Estados Unidos, ainda que os dados fiquem fisicamente armazenados no Brasil. Vale avaliar se isso configura transferência internacional de dados (art. 33 da LGPD) e, se necessário, ajustar esta cláusula com base nas salvaguardas contratuais do fornecedor.</w:t>
      </w:r>
    </w:p>
    <w:p>
      <w:pPr>
        <w:pStyle w:val="Heading1"/>
        <w:spacing w:after="200" w:before="200"/>
      </w:pPr>
      <w:r>
        <w:t xml:space="preserve">6. Por quanto tempo guardamos seus dados</w:t>
      </w:r>
    </w:p>
    <w:p>
      <w:pPr>
        <w:pStyle w:val="ListParagraph"/>
        <w:numPr>
          <w:ilvl w:val="0"/>
          <w:numId w:val="1"/>
        </w:numPr>
        <w:spacing w:after="100"/>
      </w:pPr>
      <w:r>
        <w:t xml:space="preserve">Prontuário odontológico: pelo prazo mínimo de 20 (vinte) anos a partir do último registro, nos termos da Lei nº 13.787/2018.</w:t>
      </w:r>
    </w:p>
    <w:p>
      <w:pPr>
        <w:pStyle w:val="ListParagraph"/>
        <w:numPr>
          <w:ilvl w:val="0"/>
          <w:numId w:val="1"/>
        </w:numPr>
        <w:spacing w:after="100"/>
      </w:pPr>
      <w:r>
        <w:t xml:space="preserve">Documentos fiscais e financeiros: 5 (cinco) anos, conforme prazo decadencial tributário (art. 173, CTN).</w:t>
      </w:r>
    </w:p>
    <w:p>
      <w:pPr>
        <w:pStyle w:val="ListParagraph"/>
        <w:numPr>
          <w:ilvl w:val="0"/>
          <w:numId w:val="1"/>
        </w:numPr>
        <w:spacing w:after="100"/>
      </w:pPr>
      <w:r>
        <w:t xml:space="preserve">Dados de agendamento online não convertidos em atendimento: até 12 (doze) meses.</w:t>
      </w:r>
    </w:p>
    <w:p>
      <w:pPr>
        <w:spacing w:after="160"/>
      </w:pPr>
      <w:r>
        <w:t xml:space="preserve">Após esses prazos, os dados são eliminados ou anonimizados, exceto quando a manutenção for necessária para cumprimento de obrigação legal ou exercício regular de direitos em processo judicial, administrativo ou arbitral.</w:t>
      </w:r>
    </w:p>
    <w:p>
      <w:pPr>
        <w:pStyle w:val="Heading1"/>
        <w:spacing w:after="200" w:before="200"/>
      </w:pPr>
      <w:r>
        <w:t xml:space="preserve">7. Como protegemos seus dados</w:t>
      </w:r>
    </w:p>
    <w:p>
      <w:pPr>
        <w:spacing w:after="160"/>
      </w:pPr>
      <w:r>
        <w:t xml:space="preserve">Adotamos medidas técnicas e administrativas para proteger seus dados, incluindo: controle de acesso individual por login e senha, criptografia dos dados em trânsito (HTTPS), restrição de acesso a fotografias e documentos sensíveis, cópias de segurança (backup) automatizadas e diárias, e revisões periódicas de segurança do sistema.</w:t>
      </w:r>
    </w:p>
    <w:p>
      <w:pPr>
        <w:spacing w:after="160"/>
      </w:pPr>
      <w:r>
        <w:t xml:space="preserve">Nenhum sistema é 100% livre de risco. Caso ocorra um incidente de segurança que possa acarretar risco relevante aos seus direitos, você será comunicado(a) nos termos do art. 48 da LGPD.</w:t>
      </w:r>
    </w:p>
    <w:p>
      <w:pPr>
        <w:pStyle w:val="Heading1"/>
        <w:spacing w:after="200" w:before="200"/>
      </w:pPr>
      <w:r>
        <w:t xml:space="preserve">8. Seus direitos como titular de dados (art. 18 da LGPD)</w:t>
      </w:r>
    </w:p>
    <w:p>
      <w:pPr>
        <w:spacing w:after="160"/>
      </w:pPr>
      <w:r>
        <w:t xml:space="preserve">Você tem direito a, mediante requisição:</w:t>
      </w:r>
    </w:p>
    <w:p>
      <w:pPr>
        <w:pStyle w:val="ListParagraph"/>
        <w:numPr>
          <w:ilvl w:val="0"/>
          <w:numId w:val="1"/>
        </w:numPr>
        <w:spacing w:after="100"/>
      </w:pPr>
      <w:r>
        <w:t xml:space="preserve">Confirmar a existência de tratamento dos seus dados;</w:t>
      </w:r>
    </w:p>
    <w:p>
      <w:pPr>
        <w:pStyle w:val="ListParagraph"/>
        <w:numPr>
          <w:ilvl w:val="0"/>
          <w:numId w:val="1"/>
        </w:numPr>
        <w:spacing w:after="100"/>
      </w:pPr>
      <w:r>
        <w:t xml:space="preserve">Acessar seus dados;</w:t>
      </w:r>
    </w:p>
    <w:p>
      <w:pPr>
        <w:pStyle w:val="ListParagraph"/>
        <w:numPr>
          <w:ilvl w:val="0"/>
          <w:numId w:val="1"/>
        </w:numPr>
        <w:spacing w:after="100"/>
      </w:pPr>
      <w:r>
        <w:t xml:space="preserve">Corrigir dados incompletos, inexatos ou desatualizados;</w:t>
      </w:r>
    </w:p>
    <w:p>
      <w:pPr>
        <w:pStyle w:val="ListParagraph"/>
        <w:numPr>
          <w:ilvl w:val="0"/>
          <w:numId w:val="1"/>
        </w:numPr>
        <w:spacing w:after="100"/>
      </w:pPr>
      <w:r>
        <w:t xml:space="preserve">Solicitar anonimização, bloqueio ou eliminação de dados desnecessários ou tratados em desconformidade com a lei;</w:t>
      </w:r>
    </w:p>
    <w:p>
      <w:pPr>
        <w:pStyle w:val="ListParagraph"/>
        <w:numPr>
          <w:ilvl w:val="0"/>
          <w:numId w:val="1"/>
        </w:numPr>
        <w:spacing w:after="100"/>
      </w:pPr>
      <w:r>
        <w:t xml:space="preserve">Solicitar a portabilidade dos seus dados a outro fornecedor de serviço;</w:t>
      </w:r>
    </w:p>
    <w:p>
      <w:pPr>
        <w:pStyle w:val="ListParagraph"/>
        <w:numPr>
          <w:ilvl w:val="0"/>
          <w:numId w:val="1"/>
        </w:numPr>
        <w:spacing w:after="100"/>
      </w:pPr>
      <w:r>
        <w:t xml:space="preserve">Ser informado(a) sobre com quem compartilhamos seus dados;</w:t>
      </w:r>
    </w:p>
    <w:p>
      <w:pPr>
        <w:pStyle w:val="ListParagraph"/>
        <w:numPr>
          <w:ilvl w:val="0"/>
          <w:numId w:val="1"/>
        </w:numPr>
        <w:spacing w:after="100"/>
      </w:pPr>
      <w:r>
        <w:t xml:space="preserve">Revogar o consentimento dado, quando aplicável;</w:t>
      </w:r>
    </w:p>
    <w:p>
      <w:pPr>
        <w:pStyle w:val="ListParagraph"/>
        <w:numPr>
          <w:ilvl w:val="0"/>
          <w:numId w:val="1"/>
        </w:numPr>
        <w:spacing w:after="100"/>
      </w:pPr>
      <w:r>
        <w:t xml:space="preserve">Opor-se a tratamento realizado com base em hipótese legal diversa do consentimento.</w:t>
      </w:r>
    </w:p>
    <w:p>
      <w:pPr>
        <w:spacing w:after="160"/>
      </w:pPr>
      <w:r>
        <w:t xml:space="preserve">Ressalva-se que o exercício de alguns desses direitos pode ser limitado quando os dados forem necessários para cumprimento de obrigação legal (ex.: guarda de prontuário pelo prazo regulatório mínimo).</w:t>
      </w:r>
    </w:p>
    <w:p>
      <w:pPr>
        <w:pStyle w:val="Heading1"/>
        <w:spacing w:after="200" w:before="200"/>
      </w:pPr>
      <w:r>
        <w:t xml:space="preserve">9. Como exercer seus direitos</w:t>
      </w:r>
    </w:p>
    <w:p>
      <w:pPr>
        <w:spacing w:after="160"/>
      </w:pPr>
      <w:r>
        <w:t xml:space="preserve">Para exercer qualquer dos direitos acima, ou tirar dúvidas sobre esta política, entre em contato:</w:t>
      </w:r>
    </w:p>
    <w:p>
      <w:pPr>
        <w:spacing w:after="160"/>
      </w:pPr>
      <w:r>
        <w:rPr>
          <w:b/>
          <w:bCs/>
        </w:rPr>
        <w:t xml:space="preserve">Encarregada pelo tratamento de dados (DPO): </w:t>
      </w:r>
      <w:r>
        <w:t xml:space="preserve">Dra. Anna Carolina Dias</w:t>
      </w:r>
    </w:p>
    <w:p>
      <w:pPr>
        <w:spacing w:after="160"/>
      </w:pPr>
      <w:r>
        <w:rPr>
          <w:b/>
          <w:bCs/>
        </w:rPr>
        <w:t xml:space="preserve">WhatsApp: </w:t>
      </w:r>
      <w:r>
        <w:t xml:space="preserve">(17) 98211-3940</w:t>
      </w:r>
    </w:p>
    <w:p>
      <w:pPr>
        <w:pStyle w:val="Heading1"/>
        <w:spacing w:after="200" w:before="200"/>
      </w:pPr>
      <w:r>
        <w:t xml:space="preserve">10. Cookies e tecnologias similares</w:t>
      </w:r>
    </w:p>
    <w:p>
      <w:pPr>
        <w:spacing w:after="160"/>
      </w:pPr>
      <w:r>
        <w:t xml:space="preserve">Nosso sistema utiliza armazenamento local do navegador (localStorage) exclusivamente para manter sua sessão de acesso ativa (quando aplicável) — não utilizamos cookies de rastreamento ou de publicidade de terceiros.</w:t>
      </w:r>
    </w:p>
    <w:p>
      <w:pPr>
        <w:pStyle w:val="Heading1"/>
        <w:spacing w:after="200" w:before="200"/>
      </w:pPr>
      <w:r>
        <w:t xml:space="preserve">11. Alterações nesta política</w:t>
      </w:r>
    </w:p>
    <w:p>
      <w:pPr>
        <w:spacing w:after="160"/>
      </w:pPr>
      <w:r>
        <w:t xml:space="preserve">Esta política pode ser atualizada periodicamente. A data da última atualização estará sempre indicada no topo deste documento. Alterações relevantes serão comunicadas por WhatsApp ou nos canais oficiais da clínica.</w:t>
      </w:r>
    </w:p>
    <w:p>
      <w:pPr>
        <w:pStyle w:val="Heading1"/>
        <w:spacing w:after="200" w:before="200"/>
      </w:pPr>
      <w:r>
        <w:t xml:space="preserve">12. Foro</w:t>
      </w:r>
    </w:p>
    <w:p>
      <w:pPr>
        <w:spacing w:after="160"/>
      </w:pPr>
      <w:r>
        <w:t xml:space="preserve">Fica eleito o foro da comarca de Tanabi/SP para dirimir eventuais controvérsias decorrentes desta política, com renúncia a qualquer outro, por mais privilegiado que seja.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2026-07-22T15:12:53.637Z</dcterms:created>
  <dcterms:modified xsi:type="dcterms:W3CDTF">2026-07-22T15:12:53.667Z</dcterms:modified>
</cp:coreProperties>
</file>

<file path=docProps/custom.xml><?xml version="1.0" encoding="utf-8"?>
<Properties xmlns="http://schemas.openxmlformats.org/officeDocument/2006/custom-properties" xmlns:vt="http://schemas.openxmlformats.org/officeDocument/2006/docPropsVTypes"/>
</file>