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36"/>
          <w:szCs w:val="36"/>
        </w:rPr>
        <w:t xml:space="preserve">Editorial review and revision report</w:t>
      </w:r>
    </w:p>
    <w:p>
      <w:pPr>
        <w:spacing w:after="140" w:line="300"/>
      </w:pPr>
      <w:r>
        <w:rPr>
          <w:b/>
          <w:bCs/>
        </w:rPr>
        <w:t xml:space="preserve">Manuscript: </w:t>
      </w:r>
      <w:r>
        <w:t xml:space="preserve">Metachronous squamous cell carcinoma in albinism: diagnostic and management challenges in a resource-limited setting, a case report (Msangi, Gamba, Gasper, Lusomi, Suleimani, Mwanjamila)</w:t>
      </w:r>
    </w:p>
    <w:p>
      <w:pPr>
        <w:spacing w:after="140" w:line="300"/>
      </w:pPr>
      <w:r>
        <w:rPr>
          <w:b/>
          <w:bCs/>
        </w:rPr>
        <w:t xml:space="preserve">Review date: </w:t>
      </w:r>
      <w:r>
        <w:t xml:space="preserve">29 September 2026</w:t>
      </w:r>
    </w:p>
    <w:p>
      <w:pPr>
        <w:spacing w:after="140" w:line="300"/>
      </w:pPr>
      <w:r>
        <w:rPr>
          <w:b/>
          <w:bCs/>
        </w:rPr>
        <w:t xml:space="preserve">Files delivered: </w:t>
      </w:r>
      <w:r>
        <w:t xml:space="preserve">(1) Msangi_et_al_Metachronous_SCC_OCA_case_report_REVISED.docx, the submission-ready manuscript with numbered Vancouver references; (2) Msangi_et_al_case_report_EndNote_working_copy.docx, the same manuscript with EndNote temporary citations; (3) Msangi_et_al_references_EndNote.ris, the 25 verified references for import into EndNote; (4) figures folder with the three figures as separate files; (5) this report.</w:t>
      </w:r>
    </w:p>
    <w:p>
      <w:pPr>
        <w:pStyle w:val="Heading1"/>
        <w:spacing w:after="160" w:before="360"/>
      </w:pPr>
      <w:r>
        <w:rPr>
          <w:rFonts w:ascii="Times New Roman" w:cs="Times New Roman" w:eastAsia="Times New Roman" w:hAnsi="Times New Roman"/>
          <w:b/>
          <w:bCs/>
          <w:color w:val="1F4E79"/>
          <w:sz w:val="28"/>
          <w:szCs w:val="28"/>
        </w:rPr>
        <w:t xml:space="preserve">1. Overall assessment</w:t>
      </w:r>
    </w:p>
    <w:p>
      <w:pPr>
        <w:spacing w:after="140" w:line="300"/>
      </w:pPr>
      <w:r>
        <w:t xml:space="preserve">The case is worth publishing. A histologically confirmed second primary cutaneous squamous cell carcinoma, SCC, arising three years after an incompletely excised, perineurally invasive eyelid SCC in a Tanzanian woman with oculocutaneous albinism, OCA, with clinical, dermoscopic and histological documentation, is a teachable case with clear relevance to dermatology, pathology, ophthalmology and oncology in sub-Saharan Africa. The clinical reasoning is sound and the images are adequate.</w:t>
      </w:r>
    </w:p>
    <w:p>
      <w:pPr>
        <w:spacing w:after="140" w:line="300"/>
      </w:pPr>
      <w:r>
        <w:t xml:space="preserve">The submitted draft, however, would not have survived peer review in its original form. It contained one internal factual contradiction (the site and side of the new tumour), one laboratory misinterpretation (a normal haemoglobin reported as anaemia), one statistic attributed to a reference that was missing from the list and does not contain it, one wrong reference (a Bowen's disease paper cited for Mohs surgery in invasive SCC), an uncited reference, two author-count mismatches between the text and the list, a weak argument for calling the tumour a second primary, and several missing CARE elements (follow-up, limitations, declarations). The revised manuscript corrects all of these, tightens the argument, removes repetition, converts the text to consistent British English and Vancouver numbered referencing, and adds twelve verified references that carry the argument.</w:t>
      </w:r>
    </w:p>
    <w:p>
      <w:pPr>
        <w:spacing w:after="140" w:line="300"/>
      </w:pPr>
      <w:r>
        <w:t xml:space="preserve">Everything in the revised manuscript is either taken from the original draft, verified against the cited literature, or clearly listed in Section 3 below as a point the authors must confirm from the clinical record. Nothing about the patient has been invented.</w:t>
      </w:r>
    </w:p>
    <w:p>
      <w:pPr>
        <w:pStyle w:val="Heading1"/>
        <w:spacing w:after="160" w:before="360"/>
      </w:pPr>
      <w:r>
        <w:rPr>
          <w:rFonts w:ascii="Times New Roman" w:cs="Times New Roman" w:eastAsia="Times New Roman" w:hAnsi="Times New Roman"/>
          <w:b/>
          <w:bCs/>
          <w:color w:val="1F4E79"/>
          <w:sz w:val="28"/>
          <w:szCs w:val="28"/>
        </w:rPr>
        <w:t xml:space="preserve">2. Critical corrections and why they mattered</w:t>
      </w:r>
    </w:p>
    <w:p>
      <w:pPr>
        <w:pStyle w:val="Heading2"/>
        <w:spacing w:after="120" w:before="240"/>
      </w:pPr>
      <w:r>
        <w:rPr>
          <w:rFonts w:ascii="Times New Roman" w:cs="Times New Roman" w:eastAsia="Times New Roman" w:hAnsi="Times New Roman"/>
          <w:b/>
          <w:bCs/>
          <w:color w:val="2E7D32"/>
          <w:sz w:val="24"/>
          <w:szCs w:val="24"/>
        </w:rPr>
        <w:t xml:space="preserve">2.1 The lesion was described at three different sites</w:t>
      </w:r>
    </w:p>
    <w:p>
      <w:pPr>
        <w:spacing w:after="140" w:line="300"/>
      </w:pPr>
      <w:r>
        <w:t xml:space="preserve">The abstract, the Investigations section and the Figure 3 legend placed the new tumour on the right neck; the History placed it on "the neck"; the Examination paragraph and the Figure 2 legend placed it on the left lower cheek. Reviewers read legends against text, and a laterality error in a case whose whole argument turns on the relationship between the two tumours would have been fatal to credibility.</w:t>
      </w:r>
    </w:p>
    <w:p>
      <w:pPr>
        <w:spacing w:after="140" w:line="300"/>
      </w:pPr>
      <w:r>
        <w:t xml:space="preserve">The clinical photograph settles it. In Figure 2 the patient faces to the left of the frame, so the side visible is her right, and the ulcer lies below the right ear at the level of the angle of the mandible. The revised manuscript therefore uses "right upper lateral neck, in the infra-auricular region just below the angle of the mandible" throughout (abstract, History, Examination, Investigations, both figure legends and the Discussion). Please confirm this against the clinical notes and the histology request form. If the Examination entry was in fact correct and the lesion was on the left, every one of those locations must be changed together; do not change one without the others.</w:t>
      </w:r>
    </w:p>
    <w:p>
      <w:pPr>
        <w:spacing w:after="140" w:line="300"/>
      </w:pPr>
      <w:r>
        <w:t xml:space="preserve">This correction also changes the science. A tumour in the right infra-auricular region lies over the parotid and upper cervical lymph nodes, which drain the periocular skin, and it is ipsilateral to the exenterated orbit. A cutaneous or nodal metastasis from the eyelid SCC was therefore a real differential diagnosis, which the original draft did not consider. The revised Discussion addresses it directly (see 2.4).</w:t>
      </w:r>
    </w:p>
    <w:p>
      <w:pPr>
        <w:pStyle w:val="Heading2"/>
        <w:spacing w:after="120" w:before="240"/>
      </w:pPr>
      <w:r>
        <w:rPr>
          <w:rFonts w:ascii="Times New Roman" w:cs="Times New Roman" w:eastAsia="Times New Roman" w:hAnsi="Times New Roman"/>
          <w:b/>
          <w:bCs/>
          <w:color w:val="2E7D32"/>
          <w:sz w:val="24"/>
          <w:szCs w:val="24"/>
        </w:rPr>
        <w:t xml:space="preserve">2.2 A normal haemoglobin was reported as anaemia</w:t>
      </w:r>
    </w:p>
    <w:p>
      <w:pPr>
        <w:spacing w:after="140" w:line="300"/>
      </w:pPr>
      <w:r>
        <w:t xml:space="preserve">The draft stated "mild anaemia with a haemoglobin of 12.98 g/dL (reference 13.0 to 17.0 g/dL)". That reference range is the adult male range printed by the analyser. For an adult woman the lower limit is about 12.0 g/dL in most laboratories, so 12.98 g/dL is normal. The revised text reports all laboratory results as within normal limits. Units were changed from K/µL to ×10⁹/L, and values were rounded to a clinically meaningful precision (a white cell count of 4.619 K/µL conveys nothing that 4.6 ×10⁹/L does not).</w:t>
      </w:r>
    </w:p>
    <w:p>
      <w:pPr>
        <w:pStyle w:val="Heading2"/>
        <w:spacing w:after="120" w:before="240"/>
      </w:pPr>
      <w:r>
        <w:rPr>
          <w:rFonts w:ascii="Times New Roman" w:cs="Times New Roman" w:eastAsia="Times New Roman" w:hAnsi="Times New Roman"/>
          <w:b/>
          <w:bCs/>
          <w:color w:val="2E7D32"/>
          <w:sz w:val="24"/>
          <w:szCs w:val="24"/>
        </w:rPr>
        <w:t xml:space="preserve">2.3 An unsupported statistic attributed to a reference that was not in the list</w:t>
      </w:r>
    </w:p>
    <w:p>
      <w:pPr>
        <w:spacing w:after="140" w:line="300"/>
      </w:pPr>
      <w:r>
        <w:t xml:space="preserve">"Positive margins in this anatomical site elevate local recurrence rates of up to 30 to 50% (Keohane et al., 2021)" cited the BAD guideline, which was not in the reference list and does not give that figure. It has been replaced with verified data: incomplete excision occurs in about 13% of cSCC excisions and is associated with local recurrence, deep subclinical progression, regional metastasis and higher disease-specific mortality (Genders 2020); re-excision after an involved margin yields residual tumour in roughly three in ten specimens, and recurrence is 29% after a positive re-excision margin versus 5% after a negative one (Bovill and Banwell 2012). The BAD guideline is now cited correctly, together with the 2026 European guideline update, for the recommendation to re-excise or give adjuvant radiotherapy.</w:t>
      </w:r>
    </w:p>
    <w:p>
      <w:pPr>
        <w:pStyle w:val="Heading2"/>
        <w:spacing w:after="120" w:before="240"/>
      </w:pPr>
      <w:r>
        <w:rPr>
          <w:rFonts w:ascii="Times New Roman" w:cs="Times New Roman" w:eastAsia="Times New Roman" w:hAnsi="Times New Roman"/>
          <w:b/>
          <w:bCs/>
          <w:color w:val="2E7D32"/>
          <w:sz w:val="24"/>
          <w:szCs w:val="24"/>
        </w:rPr>
        <w:t xml:space="preserve">2.4 The argument that the tumour was a second primary was too thin</w:t>
      </w:r>
    </w:p>
    <w:p>
      <w:pPr>
        <w:spacing w:after="140" w:line="300"/>
      </w:pPr>
      <w:r>
        <w:t xml:space="preserve">The draft rested the second primary label on "the absence of evidence demonstrating anatomical continuity" and then undermined it by describing the two tumours as showing "identical cytological atypia", which a reviewer would read as a hint of a clonal relationship. Neither point is decisive: separation in space does not exclude metastasis, and hyperchromatic pleomorphic cells with prominent nucleoli are the ordinary features of any keratinising SCC.</w:t>
      </w:r>
    </w:p>
    <w:p>
      <w:pPr>
        <w:spacing w:after="140" w:line="300"/>
      </w:pPr>
      <w:r>
        <w:t xml:space="preserve">The revised Discussion applies the classical Warren and Gates criteria, uses the epidermal origin of the tumour (nests arising from the overlying keratinising epithelium in a field of actinic keratoses) as the discriminating feature against a dermal metastatic deposit, states explicitly that similar cytomorphology does not indicate clonality, and acknowledges in the Limitations that the nodal basins were not imaged and that no immunohistochemical or molecular studies were done. Figure 3B does appear to show the tumour in continuity with the surface epithelium. Dr Mwanjamila should confirm that reading, and the histology paragraph would be strengthened considerably by adding the grade of differentiation, tumour thickness or depth of invasion, perineural and lymphovascular invasion status, and the measured histological clearance of the peripheral and deep margins of the excision specimen.</w:t>
      </w:r>
    </w:p>
    <w:p>
      <w:pPr>
        <w:pStyle w:val="Heading2"/>
        <w:spacing w:after="120" w:before="240"/>
      </w:pPr>
      <w:r>
        <w:rPr>
          <w:rFonts w:ascii="Times New Roman" w:cs="Times New Roman" w:eastAsia="Times New Roman" w:hAnsi="Times New Roman"/>
          <w:b/>
          <w:bCs/>
          <w:color w:val="2E7D32"/>
          <w:sz w:val="24"/>
          <w:szCs w:val="24"/>
        </w:rPr>
        <w:t xml:space="preserve">2.5 Adjuvant chemotherapy was presented as routine</w:t>
      </w:r>
    </w:p>
    <w:p>
      <w:pPr>
        <w:spacing w:after="140" w:line="300"/>
      </w:pPr>
      <w:r>
        <w:t xml:space="preserve">Four cycles of chemotherapy after a resected eyelid SCC is not standard care and a reviewer would ask about it. The revision keeps the fact, notes that adjuvant radiotherapy was appropriate, and states that cytotoxic chemotherapy has no established adjuvant role in cutaneous SCC and is generally reserved, with radiotherapy, for disease that cannot be surgically cleared. If the agents, number of cycles, radiotherapy dose and fractionation can be retrieved from the oncology record, add them to the History paragraph and delete the first sentence of the Limitations.</w:t>
      </w:r>
    </w:p>
    <w:p>
      <w:pPr>
        <w:pStyle w:val="Heading2"/>
        <w:spacing w:after="120" w:before="240"/>
      </w:pPr>
      <w:r>
        <w:rPr>
          <w:rFonts w:ascii="Times New Roman" w:cs="Times New Roman" w:eastAsia="Times New Roman" w:hAnsi="Times New Roman"/>
          <w:b/>
          <w:bCs/>
          <w:color w:val="2E7D32"/>
          <w:sz w:val="24"/>
          <w:szCs w:val="24"/>
        </w:rPr>
        <w:t xml:space="preserve">2.6 Abstract, keywords and title</w:t>
      </w:r>
    </w:p>
    <w:p>
      <w:pPr>
        <w:pStyle w:val="ListParagraph"/>
        <w:numPr>
          <w:ilvl w:val="0"/>
          <w:numId w:val="2"/>
        </w:numPr>
        <w:spacing w:after="80" w:line="300"/>
      </w:pPr>
      <w:r>
        <w:t xml:space="preserve">The abstract now follows the Background, Case presentation, Conclusions structure used by BMC, Oxford and most case report journals, and the irrelevant clause about "molecular testing" has been removed.</w:t>
      </w:r>
    </w:p>
    <w:p>
      <w:pPr>
        <w:pStyle w:val="ListParagraph"/>
        <w:numPr>
          <w:ilvl w:val="0"/>
          <w:numId w:val="2"/>
        </w:numPr>
        <w:spacing w:after="80" w:line="300"/>
      </w:pPr>
      <w:r>
        <w:t xml:space="preserve">"Synchronous tumors" was removed from the keywords: the patient had no synchronous tumours. Keywords are now Medical Subject Headings terms, which improves indexing.</w:t>
      </w:r>
    </w:p>
    <w:p>
      <w:pPr>
        <w:pStyle w:val="ListParagraph"/>
        <w:numPr>
          <w:ilvl w:val="0"/>
          <w:numId w:val="2"/>
        </w:numPr>
        <w:spacing w:after="80" w:line="300"/>
      </w:pPr>
      <w:r>
        <w:t xml:space="preserve">The title now names the tumour type (cutaneous SCC), the disease (oculocutaneous albinism) and the setting, and ends with "A case report" as most journals require.</w:t>
      </w:r>
    </w:p>
    <w:p>
      <w:pPr>
        <w:pStyle w:val="Heading2"/>
        <w:spacing w:after="120" w:before="240"/>
      </w:pPr>
      <w:r>
        <w:rPr>
          <w:rFonts w:ascii="Times New Roman" w:cs="Times New Roman" w:eastAsia="Times New Roman" w:hAnsi="Times New Roman"/>
          <w:b/>
          <w:bCs/>
          <w:color w:val="2E7D32"/>
          <w:sz w:val="24"/>
          <w:szCs w:val="24"/>
        </w:rPr>
        <w:t xml:space="preserve">2.7 Missing CARE elements added</w:t>
      </w:r>
    </w:p>
    <w:p>
      <w:pPr>
        <w:spacing w:after="140" w:line="300"/>
      </w:pPr>
      <w:r>
        <w:t xml:space="preserve">The draft had no Outcome and follow-up section, no Limitations, no Abbreviations list and no Declarations. All have been added, with a statement that the report follows the CARE guidelines. The Declarations use standard BMC wording; the Authors' contributions paragraph was drafted from the affiliations and must be confirmed by all six authors.</w:t>
      </w:r>
    </w:p>
    <w:p>
      <w:pPr>
        <w:pStyle w:val="Heading2"/>
        <w:spacing w:after="120" w:before="240"/>
      </w:pPr>
      <w:r>
        <w:rPr>
          <w:rFonts w:ascii="Times New Roman" w:cs="Times New Roman" w:eastAsia="Times New Roman" w:hAnsi="Times New Roman"/>
          <w:b/>
          <w:bCs/>
          <w:color w:val="2E7D32"/>
          <w:sz w:val="24"/>
          <w:szCs w:val="24"/>
        </w:rPr>
        <w:t xml:space="preserve">2.8 Structure, repetition and argument flow</w:t>
      </w:r>
    </w:p>
    <w:p>
      <w:pPr>
        <w:pStyle w:val="ListParagraph"/>
        <w:numPr>
          <w:ilvl w:val="0"/>
          <w:numId w:val="2"/>
        </w:numPr>
        <w:spacing w:after="80" w:line="300"/>
      </w:pPr>
      <w:r>
        <w:t xml:space="preserve">OCA, ultraviolet damage and SCC predominance were each defined or asserted three times (abstract, Introduction, Discussion). Each is now stated once in the Background and used, not repeated, in the Discussion.</w:t>
      </w:r>
    </w:p>
    <w:p>
      <w:pPr>
        <w:pStyle w:val="ListParagraph"/>
        <w:numPr>
          <w:ilvl w:val="0"/>
          <w:numId w:val="2"/>
        </w:numPr>
        <w:spacing w:after="80" w:line="300"/>
      </w:pPr>
      <w:r>
        <w:t xml:space="preserve">The Discussion is reorganised under six subheadings, each carrying one argument in sequence: burden in the region; why clinical and dermoscopic diagnosis misled; why this is a second primary and why further tumours are likely; the consequences of the incompletely excised, perineurally invasive index tumour; how to achieve margin control without Mohs surgery; and the systemic barriers, ending with Limitations.</w:t>
      </w:r>
    </w:p>
    <w:p>
      <w:pPr>
        <w:pStyle w:val="ListParagraph"/>
        <w:numPr>
          <w:ilvl w:val="0"/>
          <w:numId w:val="2"/>
        </w:numPr>
        <w:spacing w:after="80" w:line="300"/>
      </w:pPr>
      <w:r>
        <w:t xml:space="preserve">The Ryu 2018 dermoscopy study is now quoted for what it actually found (SCC misdiagnosed as BCC more often than the reverse; ulceration and telangiectasia the main confounders), which supports the case far better than the generic statement in the draft.</w:t>
      </w:r>
    </w:p>
    <w:p>
      <w:pPr>
        <w:pStyle w:val="ListParagraph"/>
        <w:numPr>
          <w:ilvl w:val="0"/>
          <w:numId w:val="2"/>
        </w:numPr>
        <w:spacing w:after="80" w:line="300"/>
      </w:pPr>
      <w:r>
        <w:t xml:space="preserve">The Wehner 2015 data are now used precisely: the draft's "up to 40%" was the five-year risk after a first tumour; the 82% five-year risk after a non-first tumour is the figure that applies to this patient and drives the recommendation for whole-skin surveillance.</w:t>
      </w:r>
    </w:p>
    <w:p>
      <w:pPr>
        <w:pStyle w:val="Heading2"/>
        <w:spacing w:after="120" w:before="240"/>
      </w:pPr>
      <w:r>
        <w:rPr>
          <w:rFonts w:ascii="Times New Roman" w:cs="Times New Roman" w:eastAsia="Times New Roman" w:hAnsi="Times New Roman"/>
          <w:b/>
          <w:bCs/>
          <w:color w:val="2E7D32"/>
          <w:sz w:val="24"/>
          <w:szCs w:val="24"/>
        </w:rPr>
        <w:t xml:space="preserve">2.9 Language and presentation</w:t>
      </w:r>
    </w:p>
    <w:p>
      <w:pPr>
        <w:spacing w:after="140" w:line="300"/>
      </w:pPr>
      <w:r>
        <w:t xml:space="preserve">Spelling was mixed (tumor and tumour, hemorrhage and haemorrhage, arborising and cancerization). The manuscript is now consistently British English, which suits Journal of Medical Case Reports, Oxford Medical Case Reports and the Pan African Medical Journal; switch to American spelling only if you target JAAD Case Reports. Representative corrections:</w:t>
      </w:r>
    </w:p>
    <w:p>
      <w:pPr>
        <w:pStyle w:val="ListParagraph"/>
        <w:numPr>
          <w:ilvl w:val="0"/>
          <w:numId w:val="2"/>
        </w:numPr>
        <w:spacing w:after="80" w:line="300"/>
      </w:pPr>
      <w:r>
        <w:t xml:space="preserve">"highlighting the phenomena of severe field cancerization" (singular required): rewritten.</w:t>
      </w:r>
    </w:p>
    <w:p>
      <w:pPr>
        <w:pStyle w:val="ListParagraph"/>
        <w:numPr>
          <w:ilvl w:val="0"/>
          <w:numId w:val="2"/>
        </w:numPr>
        <w:spacing w:after="80" w:line="300"/>
      </w:pPr>
      <w:r>
        <w:t xml:space="preserve">"a diagnosis metachronous a de novo, second primary SCC was established given the patient's profound risks": garbled; rewritten as a reasoned classification.</w:t>
      </w:r>
    </w:p>
    <w:p>
      <w:pPr>
        <w:pStyle w:val="ListParagraph"/>
        <w:numPr>
          <w:ilvl w:val="0"/>
          <w:numId w:val="2"/>
        </w:numPr>
        <w:spacing w:after="80" w:line="300"/>
      </w:pPr>
      <w:r>
        <w:t xml:space="preserve">"increased N ratio" (figure legends): nuclear-to-cytoplasmic ratio.</w:t>
      </w:r>
    </w:p>
    <w:p>
      <w:pPr>
        <w:pStyle w:val="ListParagraph"/>
        <w:numPr>
          <w:ilvl w:val="0"/>
          <w:numId w:val="2"/>
        </w:numPr>
        <w:spacing w:after="80" w:line="300"/>
      </w:pPr>
      <w:r>
        <w:t xml:space="preserve">"left-eye rotary nystagmus": rotatory nystagmus of the remaining left eye; "yellowish-orange irides" corrected to the singular because the right eye had been exenterated.</w:t>
      </w:r>
    </w:p>
    <w:p>
      <w:pPr>
        <w:pStyle w:val="ListParagraph"/>
        <w:numPr>
          <w:ilvl w:val="0"/>
          <w:numId w:val="2"/>
        </w:numPr>
        <w:spacing w:after="80" w:line="300"/>
      </w:pPr>
      <w:r>
        <w:t xml:space="preserve">"PWA" was used without definition; the phrase people with albinism is now written out.</w:t>
      </w:r>
    </w:p>
    <w:p>
      <w:pPr>
        <w:pStyle w:val="ListParagraph"/>
        <w:numPr>
          <w:ilvl w:val="0"/>
          <w:numId w:val="2"/>
        </w:numPr>
        <w:spacing w:after="80" w:line="300"/>
      </w:pPr>
      <w:r>
        <w:t xml:space="preserve">"Histopathological" capitalised mid-sentence, "Doi" capitalised, missing article before "biopsy of new lesion", "dermatology outpatient clinic" with a double space: all corrected.</w:t>
      </w:r>
    </w:p>
    <w:p>
      <w:pPr>
        <w:pStyle w:val="ListParagraph"/>
        <w:numPr>
          <w:ilvl w:val="0"/>
          <w:numId w:val="2"/>
        </w:numPr>
        <w:spacing w:after="80" w:line="300"/>
      </w:pPr>
      <w:r>
        <w:t xml:space="preserve">Em dashes removed throughout; en dashes are used only inside numeric ranges (for example 95% CI 50–77%) and page ranges, as journals require.</w:t>
      </w:r>
    </w:p>
    <w:p>
      <w:pPr>
        <w:pStyle w:val="ListParagraph"/>
        <w:numPr>
          <w:ilvl w:val="0"/>
          <w:numId w:val="2"/>
        </w:numPr>
        <w:spacing w:after="80" w:line="300"/>
      </w:pPr>
      <w:r>
        <w:t xml:space="preserve">Abbreviations are introduced in parentheses at first use, which is the universal journal convention and was kept for that reason.</w:t>
      </w:r>
    </w:p>
    <w:p>
      <w:pPr>
        <w:pStyle w:val="Heading1"/>
        <w:spacing w:after="160" w:before="360"/>
      </w:pPr>
      <w:r>
        <w:rPr>
          <w:rFonts w:ascii="Times New Roman" w:cs="Times New Roman" w:eastAsia="Times New Roman" w:hAnsi="Times New Roman"/>
          <w:b/>
          <w:bCs/>
          <w:color w:val="1F4E79"/>
          <w:sz w:val="28"/>
          <w:szCs w:val="28"/>
        </w:rPr>
        <w:t xml:space="preserve">3. Items the authors must verify or complete before submission</w:t>
      </w:r>
    </w:p>
    <w:p>
      <w:pPr>
        <w:spacing w:after="140" w:line="300"/>
      </w:pPr>
      <w:r>
        <w:t xml:space="preserve">These are the only places where the revised manuscript goes beyond, or interprets, the original draft. Each takes a minute to check against the record.</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2700"/>
        <w:gridCol w:w="2700"/>
        <w:gridCol w:w="3126"/>
      </w:tblGrid>
      <w:tr>
        <w:trPr>
          <w:tblHeader/>
        </w:trPr>
        <w:tc>
          <w:tcPr>
            <w:tcW w:type="dxa" w:w="500"/>
            <w:shd w:fill="DCE6F1" w:color="auto" w:val="clear"/>
            <w:tcMar>
              <w:top w:type="dxa" w:w="60"/>
              <w:left w:type="dxa" w:w="100"/>
              <w:bottom w:type="dxa" w:w="60"/>
              <w:right w:type="dxa" w:w="100"/>
            </w:tcMar>
          </w:tcPr>
          <w:p>
            <w:pPr>
              <w:spacing w:after="60" w:line="260"/>
            </w:pPr>
            <w:r>
              <w:rPr>
                <w:b/>
                <w:bCs/>
                <w:sz w:val="20"/>
                <w:szCs w:val="20"/>
              </w:rPr>
              <w:t xml:space="preserve">#</w:t>
            </w:r>
          </w:p>
        </w:tc>
        <w:tc>
          <w:tcPr>
            <w:tcW w:type="dxa" w:w="2700"/>
            <w:shd w:fill="DCE6F1" w:color="auto" w:val="clear"/>
            <w:tcMar>
              <w:top w:type="dxa" w:w="60"/>
              <w:left w:type="dxa" w:w="100"/>
              <w:bottom w:type="dxa" w:w="60"/>
              <w:right w:type="dxa" w:w="100"/>
            </w:tcMar>
          </w:tcPr>
          <w:p>
            <w:pPr>
              <w:spacing w:after="60" w:line="260"/>
            </w:pPr>
            <w:r>
              <w:rPr>
                <w:b/>
                <w:bCs/>
                <w:sz w:val="20"/>
                <w:szCs w:val="20"/>
              </w:rPr>
              <w:t xml:space="preserve">Item</w:t>
            </w:r>
          </w:p>
        </w:tc>
        <w:tc>
          <w:tcPr>
            <w:tcW w:type="dxa" w:w="2700"/>
            <w:shd w:fill="DCE6F1" w:color="auto" w:val="clear"/>
            <w:tcMar>
              <w:top w:type="dxa" w:w="60"/>
              <w:left w:type="dxa" w:w="100"/>
              <w:bottom w:type="dxa" w:w="60"/>
              <w:right w:type="dxa" w:w="100"/>
            </w:tcMar>
          </w:tcPr>
          <w:p>
            <w:pPr>
              <w:spacing w:after="60" w:line="260"/>
            </w:pPr>
            <w:r>
              <w:rPr>
                <w:b/>
                <w:bCs/>
                <w:sz w:val="20"/>
                <w:szCs w:val="20"/>
              </w:rPr>
              <w:t xml:space="preserve">Where in the revised manuscript</w:t>
            </w:r>
          </w:p>
        </w:tc>
        <w:tc>
          <w:tcPr>
            <w:tcW w:type="dxa" w:w="3126"/>
            <w:shd w:fill="DCE6F1" w:color="auto" w:val="clear"/>
            <w:tcMar>
              <w:top w:type="dxa" w:w="60"/>
              <w:left w:type="dxa" w:w="100"/>
              <w:bottom w:type="dxa" w:w="60"/>
              <w:right w:type="dxa" w:w="100"/>
            </w:tcMar>
          </w:tcPr>
          <w:p>
            <w:pPr>
              <w:spacing w:after="60" w:line="260"/>
            </w:pPr>
            <w:r>
              <w:rPr>
                <w:b/>
                <w:bCs/>
                <w:sz w:val="20"/>
                <w:szCs w:val="20"/>
              </w:rPr>
              <w:t xml:space="preserve">Action</w:t>
            </w:r>
          </w:p>
        </w:tc>
      </w:tr>
      <w:tr>
        <w:tc>
          <w:tcPr>
            <w:tcW w:type="dxa" w:w="500"/>
            <w:tcMar>
              <w:top w:type="dxa" w:w="60"/>
              <w:left w:type="dxa" w:w="100"/>
              <w:bottom w:type="dxa" w:w="60"/>
              <w:right w:type="dxa" w:w="100"/>
            </w:tcMar>
          </w:tcPr>
          <w:p>
            <w:pPr>
              <w:spacing w:after="60" w:line="260"/>
            </w:pPr>
            <w:r>
              <w:rPr>
                <w:b w:val="false"/>
                <w:bCs w:val="false"/>
                <w:sz w:val="20"/>
                <w:szCs w:val="20"/>
              </w:rPr>
              <w:t xml:space="preserve">1</w:t>
            </w:r>
          </w:p>
        </w:tc>
        <w:tc>
          <w:tcPr>
            <w:tcW w:type="dxa" w:w="2700"/>
            <w:tcMar>
              <w:top w:type="dxa" w:w="60"/>
              <w:left w:type="dxa" w:w="100"/>
              <w:bottom w:type="dxa" w:w="60"/>
              <w:right w:type="dxa" w:w="100"/>
            </w:tcMar>
          </w:tcPr>
          <w:p>
            <w:pPr>
              <w:spacing w:after="60" w:line="260"/>
            </w:pPr>
            <w:r>
              <w:rPr>
                <w:b w:val="false"/>
                <w:bCs w:val="false"/>
                <w:sz w:val="20"/>
                <w:szCs w:val="20"/>
              </w:rPr>
              <w:t xml:space="preserve">Side and site of the new tumour (right infra-auricular neck)</w:t>
            </w:r>
          </w:p>
        </w:tc>
        <w:tc>
          <w:tcPr>
            <w:tcW w:type="dxa" w:w="2700"/>
            <w:tcMar>
              <w:top w:type="dxa" w:w="60"/>
              <w:left w:type="dxa" w:w="100"/>
              <w:bottom w:type="dxa" w:w="60"/>
              <w:right w:type="dxa" w:w="100"/>
            </w:tcMar>
          </w:tcPr>
          <w:p>
            <w:pPr>
              <w:spacing w:after="60" w:line="260"/>
            </w:pPr>
            <w:r>
              <w:rPr>
                <w:b w:val="false"/>
                <w:bCs w:val="false"/>
                <w:sz w:val="20"/>
                <w:szCs w:val="20"/>
              </w:rPr>
              <w:t xml:space="preserve">Abstract; History; Examination; Investigations; Figure 2 and 3 legends; Discussion 'A second primary tumour'; Limitations</w:t>
            </w:r>
          </w:p>
        </w:tc>
        <w:tc>
          <w:tcPr>
            <w:tcW w:type="dxa" w:w="3126"/>
            <w:tcMar>
              <w:top w:type="dxa" w:w="60"/>
              <w:left w:type="dxa" w:w="100"/>
              <w:bottom w:type="dxa" w:w="60"/>
              <w:right w:type="dxa" w:w="100"/>
            </w:tcMar>
          </w:tcPr>
          <w:p>
            <w:pPr>
              <w:spacing w:after="60" w:line="260"/>
            </w:pPr>
            <w:r>
              <w:rPr>
                <w:b w:val="false"/>
                <w:bCs w:val="false"/>
                <w:sz w:val="20"/>
                <w:szCs w:val="20"/>
              </w:rPr>
              <w:t xml:space="preserve">Confirm from clinical notes and the histology request form. If wrong, change all locations together.</w:t>
            </w:r>
          </w:p>
        </w:tc>
      </w:tr>
      <w:tr>
        <w:tc>
          <w:tcPr>
            <w:tcW w:type="dxa" w:w="500"/>
            <w:tcMar>
              <w:top w:type="dxa" w:w="60"/>
              <w:left w:type="dxa" w:w="100"/>
              <w:bottom w:type="dxa" w:w="60"/>
              <w:right w:type="dxa" w:w="100"/>
            </w:tcMar>
          </w:tcPr>
          <w:p>
            <w:pPr>
              <w:spacing w:after="60" w:line="260"/>
            </w:pPr>
            <w:r>
              <w:rPr>
                <w:b w:val="false"/>
                <w:bCs w:val="false"/>
                <w:sz w:val="20"/>
                <w:szCs w:val="20"/>
              </w:rPr>
              <w:t xml:space="preserve">2</w:t>
            </w:r>
          </w:p>
        </w:tc>
        <w:tc>
          <w:tcPr>
            <w:tcW w:type="dxa" w:w="2700"/>
            <w:tcMar>
              <w:top w:type="dxa" w:w="60"/>
              <w:left w:type="dxa" w:w="100"/>
              <w:bottom w:type="dxa" w:w="60"/>
              <w:right w:type="dxa" w:w="100"/>
            </w:tcMar>
          </w:tcPr>
          <w:p>
            <w:pPr>
              <w:spacing w:after="60" w:line="260"/>
            </w:pPr>
            <w:r>
              <w:rPr>
                <w:b w:val="false"/>
                <w:bCs w:val="false"/>
                <w:sz w:val="20"/>
                <w:szCs w:val="20"/>
              </w:rPr>
              <w:t xml:space="preserve">Haemoglobin and other laboratory values reported as normal</w:t>
            </w:r>
          </w:p>
        </w:tc>
        <w:tc>
          <w:tcPr>
            <w:tcW w:type="dxa" w:w="2700"/>
            <w:tcMar>
              <w:top w:type="dxa" w:w="60"/>
              <w:left w:type="dxa" w:w="100"/>
              <w:bottom w:type="dxa" w:w="60"/>
              <w:right w:type="dxa" w:w="100"/>
            </w:tcMar>
          </w:tcPr>
          <w:p>
            <w:pPr>
              <w:spacing w:after="60" w:line="260"/>
            </w:pPr>
            <w:r>
              <w:rPr>
                <w:b w:val="false"/>
                <w:bCs w:val="false"/>
                <w:sz w:val="20"/>
                <w:szCs w:val="20"/>
              </w:rPr>
              <w:t xml:space="preserve">Investigations</w:t>
            </w:r>
          </w:p>
        </w:tc>
        <w:tc>
          <w:tcPr>
            <w:tcW w:type="dxa" w:w="3126"/>
            <w:tcMar>
              <w:top w:type="dxa" w:w="60"/>
              <w:left w:type="dxa" w:w="100"/>
              <w:bottom w:type="dxa" w:w="60"/>
              <w:right w:type="dxa" w:w="100"/>
            </w:tcMar>
          </w:tcPr>
          <w:p>
            <w:pPr>
              <w:spacing w:after="60" w:line="260"/>
            </w:pPr>
            <w:r>
              <w:rPr>
                <w:b w:val="false"/>
                <w:bCs w:val="false"/>
                <w:sz w:val="20"/>
                <w:szCs w:val="20"/>
              </w:rPr>
              <w:t xml:space="preserve">Confirm the laboratory's adult female reference range; keep the sentence as written if 12.98 g/dL falls within it.</w:t>
            </w:r>
          </w:p>
        </w:tc>
      </w:tr>
      <w:tr>
        <w:tc>
          <w:tcPr>
            <w:tcW w:type="dxa" w:w="500"/>
            <w:tcMar>
              <w:top w:type="dxa" w:w="60"/>
              <w:left w:type="dxa" w:w="100"/>
              <w:bottom w:type="dxa" w:w="60"/>
              <w:right w:type="dxa" w:w="100"/>
            </w:tcMar>
          </w:tcPr>
          <w:p>
            <w:pPr>
              <w:spacing w:after="60" w:line="260"/>
            </w:pPr>
            <w:r>
              <w:rPr>
                <w:b w:val="false"/>
                <w:bCs w:val="false"/>
                <w:sz w:val="20"/>
                <w:szCs w:val="20"/>
              </w:rPr>
              <w:t xml:space="preserve">3</w:t>
            </w:r>
          </w:p>
        </w:tc>
        <w:tc>
          <w:tcPr>
            <w:tcW w:type="dxa" w:w="2700"/>
            <w:tcMar>
              <w:top w:type="dxa" w:w="60"/>
              <w:left w:type="dxa" w:w="100"/>
              <w:bottom w:type="dxa" w:w="60"/>
              <w:right w:type="dxa" w:w="100"/>
            </w:tcMar>
          </w:tcPr>
          <w:p>
            <w:pPr>
              <w:spacing w:after="60" w:line="260"/>
            </w:pPr>
            <w:r>
              <w:rPr>
                <w:b w:val="false"/>
                <w:bCs w:val="false"/>
                <w:sz w:val="20"/>
                <w:szCs w:val="20"/>
              </w:rPr>
              <w:t xml:space="preserve">Chemotherapy agents, cycles, radiotherapy dose and fractionation</w:t>
            </w:r>
          </w:p>
        </w:tc>
        <w:tc>
          <w:tcPr>
            <w:tcW w:type="dxa" w:w="2700"/>
            <w:tcMar>
              <w:top w:type="dxa" w:w="60"/>
              <w:left w:type="dxa" w:w="100"/>
              <w:bottom w:type="dxa" w:w="60"/>
              <w:right w:type="dxa" w:w="100"/>
            </w:tcMar>
          </w:tcPr>
          <w:p>
            <w:pPr>
              <w:spacing w:after="60" w:line="260"/>
            </w:pPr>
            <w:r>
              <w:rPr>
                <w:b w:val="false"/>
                <w:bCs w:val="false"/>
                <w:sz w:val="20"/>
                <w:szCs w:val="20"/>
              </w:rPr>
              <w:t xml:space="preserve">History; Limitations (first sentence)</w:t>
            </w:r>
          </w:p>
        </w:tc>
        <w:tc>
          <w:tcPr>
            <w:tcW w:type="dxa" w:w="3126"/>
            <w:tcMar>
              <w:top w:type="dxa" w:w="60"/>
              <w:left w:type="dxa" w:w="100"/>
              <w:bottom w:type="dxa" w:w="60"/>
              <w:right w:type="dxa" w:w="100"/>
            </w:tcMar>
          </w:tcPr>
          <w:p>
            <w:pPr>
              <w:spacing w:after="60" w:line="260"/>
            </w:pPr>
            <w:r>
              <w:rPr>
                <w:b w:val="false"/>
                <w:bCs w:val="false"/>
                <w:sz w:val="20"/>
                <w:szCs w:val="20"/>
              </w:rPr>
              <w:t xml:space="preserve">Add if retrievable; otherwise keep the Limitations sentence.</w:t>
            </w:r>
          </w:p>
        </w:tc>
      </w:tr>
      <w:tr>
        <w:tc>
          <w:tcPr>
            <w:tcW w:type="dxa" w:w="500"/>
            <w:tcMar>
              <w:top w:type="dxa" w:w="60"/>
              <w:left w:type="dxa" w:w="100"/>
              <w:bottom w:type="dxa" w:w="60"/>
              <w:right w:type="dxa" w:w="100"/>
            </w:tcMar>
          </w:tcPr>
          <w:p>
            <w:pPr>
              <w:spacing w:after="60" w:line="260"/>
            </w:pPr>
            <w:r>
              <w:rPr>
                <w:b w:val="false"/>
                <w:bCs w:val="false"/>
                <w:sz w:val="20"/>
                <w:szCs w:val="20"/>
              </w:rPr>
              <w:t xml:space="preserve">4</w:t>
            </w:r>
          </w:p>
        </w:tc>
        <w:tc>
          <w:tcPr>
            <w:tcW w:type="dxa" w:w="2700"/>
            <w:tcMar>
              <w:top w:type="dxa" w:w="60"/>
              <w:left w:type="dxa" w:w="100"/>
              <w:bottom w:type="dxa" w:w="60"/>
              <w:right w:type="dxa" w:w="100"/>
            </w:tcMar>
          </w:tcPr>
          <w:p>
            <w:pPr>
              <w:spacing w:after="60" w:line="260"/>
            </w:pPr>
            <w:r>
              <w:rPr>
                <w:b w:val="false"/>
                <w:bCs w:val="false"/>
                <w:sz w:val="20"/>
                <w:szCs w:val="20"/>
              </w:rPr>
              <w:t xml:space="preserve">Histology of the neck tumour: grade, depth or thickness, perineural and lymphovascular invasion, measured margin clearance, continuity with the epidermis, adjacent actinic keratosis</w:t>
            </w:r>
          </w:p>
        </w:tc>
        <w:tc>
          <w:tcPr>
            <w:tcW w:type="dxa" w:w="2700"/>
            <w:tcMar>
              <w:top w:type="dxa" w:w="60"/>
              <w:left w:type="dxa" w:w="100"/>
              <w:bottom w:type="dxa" w:w="60"/>
              <w:right w:type="dxa" w:w="100"/>
            </w:tcMar>
          </w:tcPr>
          <w:p>
            <w:pPr>
              <w:spacing w:after="60" w:line="260"/>
            </w:pPr>
            <w:r>
              <w:rPr>
                <w:b w:val="false"/>
                <w:bCs w:val="false"/>
                <w:sz w:val="20"/>
                <w:szCs w:val="20"/>
              </w:rPr>
              <w:t xml:space="preserve">Investigations; Treatment; Discussion 'A second primary tumour'</w:t>
            </w:r>
          </w:p>
        </w:tc>
        <w:tc>
          <w:tcPr>
            <w:tcW w:type="dxa" w:w="3126"/>
            <w:tcMar>
              <w:top w:type="dxa" w:w="60"/>
              <w:left w:type="dxa" w:w="100"/>
              <w:bottom w:type="dxa" w:w="60"/>
              <w:right w:type="dxa" w:w="100"/>
            </w:tcMar>
          </w:tcPr>
          <w:p>
            <w:pPr>
              <w:spacing w:after="60" w:line="260"/>
            </w:pPr>
            <w:r>
              <w:rPr>
                <w:b w:val="false"/>
                <w:bCs w:val="false"/>
                <w:sz w:val="20"/>
                <w:szCs w:val="20"/>
              </w:rPr>
              <w:t xml:space="preserve">Pathologist to supply. Add one sentence to Investigations and one to Treatment.</w:t>
            </w:r>
          </w:p>
        </w:tc>
      </w:tr>
      <w:tr>
        <w:tc>
          <w:tcPr>
            <w:tcW w:type="dxa" w:w="500"/>
            <w:tcMar>
              <w:top w:type="dxa" w:w="60"/>
              <w:left w:type="dxa" w:w="100"/>
              <w:bottom w:type="dxa" w:w="60"/>
              <w:right w:type="dxa" w:w="100"/>
            </w:tcMar>
          </w:tcPr>
          <w:p>
            <w:pPr>
              <w:spacing w:after="60" w:line="260"/>
            </w:pPr>
            <w:r>
              <w:rPr>
                <w:b w:val="false"/>
                <w:bCs w:val="false"/>
                <w:sz w:val="20"/>
                <w:szCs w:val="20"/>
              </w:rPr>
              <w:t xml:space="preserve">5</w:t>
            </w:r>
          </w:p>
        </w:tc>
        <w:tc>
          <w:tcPr>
            <w:tcW w:type="dxa" w:w="2700"/>
            <w:tcMar>
              <w:top w:type="dxa" w:w="60"/>
              <w:left w:type="dxa" w:w="100"/>
              <w:bottom w:type="dxa" w:w="60"/>
              <w:right w:type="dxa" w:w="100"/>
            </w:tcMar>
          </w:tcPr>
          <w:p>
            <w:pPr>
              <w:spacing w:after="60" w:line="260"/>
            </w:pPr>
            <w:r>
              <w:rPr>
                <w:b w:val="false"/>
                <w:bCs w:val="false"/>
                <w:sz w:val="20"/>
                <w:szCs w:val="20"/>
              </w:rPr>
              <w:t xml:space="preserve">Regional lymph node examination and absence of nodal imaging</w:t>
            </w:r>
          </w:p>
        </w:tc>
        <w:tc>
          <w:tcPr>
            <w:tcW w:type="dxa" w:w="2700"/>
            <w:tcMar>
              <w:top w:type="dxa" w:w="60"/>
              <w:left w:type="dxa" w:w="100"/>
              <w:bottom w:type="dxa" w:w="60"/>
              <w:right w:type="dxa" w:w="100"/>
            </w:tcMar>
          </w:tcPr>
          <w:p>
            <w:pPr>
              <w:spacing w:after="60" w:line="260"/>
            </w:pPr>
            <w:r>
              <w:rPr>
                <w:b w:val="false"/>
                <w:bCs w:val="false"/>
                <w:sz w:val="20"/>
                <w:szCs w:val="20"/>
              </w:rPr>
              <w:t xml:space="preserve">Examination ('Systemic examination was otherwise unremarkable'); Limitations</w:t>
            </w:r>
          </w:p>
        </w:tc>
        <w:tc>
          <w:tcPr>
            <w:tcW w:type="dxa" w:w="3126"/>
            <w:tcMar>
              <w:top w:type="dxa" w:w="60"/>
              <w:left w:type="dxa" w:w="100"/>
              <w:bottom w:type="dxa" w:w="60"/>
              <w:right w:type="dxa" w:w="100"/>
            </w:tcMar>
          </w:tcPr>
          <w:p>
            <w:pPr>
              <w:spacing w:after="60" w:line="260"/>
            </w:pPr>
            <w:r>
              <w:rPr>
                <w:b w:val="false"/>
                <w:bCs w:val="false"/>
                <w:sz w:val="20"/>
                <w:szCs w:val="20"/>
              </w:rPr>
              <w:t xml:space="preserve">State explicitly that no cervical or parotid lymphadenopathy was palpable if that was documented. Confirm that no ultrasound or CT of the neck was done; if it was, report the result and delete the Limitations sentence.</w:t>
            </w:r>
          </w:p>
        </w:tc>
      </w:tr>
      <w:tr>
        <w:tc>
          <w:tcPr>
            <w:tcW w:type="dxa" w:w="500"/>
            <w:tcMar>
              <w:top w:type="dxa" w:w="60"/>
              <w:left w:type="dxa" w:w="100"/>
              <w:bottom w:type="dxa" w:w="60"/>
              <w:right w:type="dxa" w:w="100"/>
            </w:tcMar>
          </w:tcPr>
          <w:p>
            <w:pPr>
              <w:spacing w:after="60" w:line="260"/>
            </w:pPr>
            <w:r>
              <w:rPr>
                <w:b w:val="false"/>
                <w:bCs w:val="false"/>
                <w:sz w:val="20"/>
                <w:szCs w:val="20"/>
              </w:rPr>
              <w:t xml:space="preserve">6</w:t>
            </w:r>
          </w:p>
        </w:tc>
        <w:tc>
          <w:tcPr>
            <w:tcW w:type="dxa" w:w="2700"/>
            <w:tcMar>
              <w:top w:type="dxa" w:w="60"/>
              <w:left w:type="dxa" w:w="100"/>
              <w:bottom w:type="dxa" w:w="60"/>
              <w:right w:type="dxa" w:w="100"/>
            </w:tcMar>
          </w:tcPr>
          <w:p>
            <w:pPr>
              <w:spacing w:after="60" w:line="260"/>
            </w:pPr>
            <w:r>
              <w:rPr>
                <w:b w:val="false"/>
                <w:bCs w:val="false"/>
                <w:sz w:val="20"/>
                <w:szCs w:val="20"/>
              </w:rPr>
              <w:t xml:space="preserve">Orbital MRI and ophthalmology review results; duration of follow-up</w:t>
            </w:r>
          </w:p>
        </w:tc>
        <w:tc>
          <w:tcPr>
            <w:tcW w:type="dxa" w:w="2700"/>
            <w:tcMar>
              <w:top w:type="dxa" w:w="60"/>
              <w:left w:type="dxa" w:w="100"/>
              <w:bottom w:type="dxa" w:w="60"/>
              <w:right w:type="dxa" w:w="100"/>
            </w:tcMar>
          </w:tcPr>
          <w:p>
            <w:pPr>
              <w:spacing w:after="60" w:line="260"/>
            </w:pPr>
            <w:r>
              <w:rPr>
                <w:b w:val="false"/>
                <w:bCs w:val="false"/>
                <w:sz w:val="20"/>
                <w:szCs w:val="20"/>
              </w:rPr>
              <w:t xml:space="preserve">Outcome and follow-up; Limitations</w:t>
            </w:r>
          </w:p>
        </w:tc>
        <w:tc>
          <w:tcPr>
            <w:tcW w:type="dxa" w:w="3126"/>
            <w:tcMar>
              <w:top w:type="dxa" w:w="60"/>
              <w:left w:type="dxa" w:w="100"/>
              <w:bottom w:type="dxa" w:w="60"/>
              <w:right w:type="dxa" w:w="100"/>
            </w:tcMar>
          </w:tcPr>
          <w:p>
            <w:pPr>
              <w:spacing w:after="60" w:line="260"/>
            </w:pPr>
            <w:r>
              <w:rPr>
                <w:b w:val="false"/>
                <w:bCs w:val="false"/>
                <w:sz w:val="20"/>
                <w:szCs w:val="20"/>
              </w:rPr>
              <w:t xml:space="preserve">If results are now available, report them and the follow-up interval (journals and reviewers ask for this).</w:t>
            </w:r>
          </w:p>
        </w:tc>
      </w:tr>
      <w:tr>
        <w:tc>
          <w:tcPr>
            <w:tcW w:type="dxa" w:w="500"/>
            <w:tcMar>
              <w:top w:type="dxa" w:w="60"/>
              <w:left w:type="dxa" w:w="100"/>
              <w:bottom w:type="dxa" w:w="60"/>
              <w:right w:type="dxa" w:w="100"/>
            </w:tcMar>
          </w:tcPr>
          <w:p>
            <w:pPr>
              <w:spacing w:after="60" w:line="260"/>
            </w:pPr>
            <w:r>
              <w:rPr>
                <w:b w:val="false"/>
                <w:bCs w:val="false"/>
                <w:sz w:val="20"/>
                <w:szCs w:val="20"/>
              </w:rPr>
              <w:t xml:space="preserve">7</w:t>
            </w:r>
          </w:p>
        </w:tc>
        <w:tc>
          <w:tcPr>
            <w:tcW w:type="dxa" w:w="2700"/>
            <w:tcMar>
              <w:top w:type="dxa" w:w="60"/>
              <w:left w:type="dxa" w:w="100"/>
              <w:bottom w:type="dxa" w:w="60"/>
              <w:right w:type="dxa" w:w="100"/>
            </w:tcMar>
          </w:tcPr>
          <w:p>
            <w:pPr>
              <w:spacing w:after="60" w:line="260"/>
            </w:pPr>
            <w:r>
              <w:rPr>
                <w:b w:val="false"/>
                <w:bCs w:val="false"/>
                <w:sz w:val="20"/>
                <w:szCs w:val="20"/>
              </w:rPr>
              <w:t xml:space="preserve">Type of biopsy (punch, incisional, excisional) and method of wound closure</w:t>
            </w:r>
          </w:p>
        </w:tc>
        <w:tc>
          <w:tcPr>
            <w:tcW w:type="dxa" w:w="2700"/>
            <w:tcMar>
              <w:top w:type="dxa" w:w="60"/>
              <w:left w:type="dxa" w:w="100"/>
              <w:bottom w:type="dxa" w:w="60"/>
              <w:right w:type="dxa" w:w="100"/>
            </w:tcMar>
          </w:tcPr>
          <w:p>
            <w:pPr>
              <w:spacing w:after="60" w:line="260"/>
            </w:pPr>
            <w:r>
              <w:rPr>
                <w:b w:val="false"/>
                <w:bCs w:val="false"/>
                <w:sz w:val="20"/>
                <w:szCs w:val="20"/>
              </w:rPr>
              <w:t xml:space="preserve">Investigations; Treatment</w:t>
            </w:r>
          </w:p>
        </w:tc>
        <w:tc>
          <w:tcPr>
            <w:tcW w:type="dxa" w:w="3126"/>
            <w:tcMar>
              <w:top w:type="dxa" w:w="60"/>
              <w:left w:type="dxa" w:w="100"/>
              <w:bottom w:type="dxa" w:w="60"/>
              <w:right w:type="dxa" w:w="100"/>
            </w:tcMar>
          </w:tcPr>
          <w:p>
            <w:pPr>
              <w:spacing w:after="60" w:line="260"/>
            </w:pPr>
            <w:r>
              <w:rPr>
                <w:b w:val="false"/>
                <w:bCs w:val="false"/>
                <w:sz w:val="20"/>
                <w:szCs w:val="20"/>
              </w:rPr>
              <w:t xml:space="preserve">Add if known.</w:t>
            </w:r>
          </w:p>
        </w:tc>
      </w:tr>
      <w:tr>
        <w:tc>
          <w:tcPr>
            <w:tcW w:type="dxa" w:w="500"/>
            <w:tcMar>
              <w:top w:type="dxa" w:w="60"/>
              <w:left w:type="dxa" w:w="100"/>
              <w:bottom w:type="dxa" w:w="60"/>
              <w:right w:type="dxa" w:w="100"/>
            </w:tcMar>
          </w:tcPr>
          <w:p>
            <w:pPr>
              <w:spacing w:after="60" w:line="260"/>
            </w:pPr>
            <w:r>
              <w:rPr>
                <w:b w:val="false"/>
                <w:bCs w:val="false"/>
                <w:sz w:val="20"/>
                <w:szCs w:val="20"/>
              </w:rPr>
              <w:t xml:space="preserve">8</w:t>
            </w:r>
          </w:p>
        </w:tc>
        <w:tc>
          <w:tcPr>
            <w:tcW w:type="dxa" w:w="2700"/>
            <w:tcMar>
              <w:top w:type="dxa" w:w="60"/>
              <w:left w:type="dxa" w:w="100"/>
              <w:bottom w:type="dxa" w:w="60"/>
              <w:right w:type="dxa" w:w="100"/>
            </w:tcMar>
          </w:tcPr>
          <w:p>
            <w:pPr>
              <w:spacing w:after="60" w:line="260"/>
            </w:pPr>
            <w:r>
              <w:rPr>
                <w:b w:val="false"/>
                <w:bCs w:val="false"/>
                <w:sz w:val="20"/>
                <w:szCs w:val="20"/>
              </w:rPr>
              <w:t xml:space="preserve">Figure resolution and magnification</w:t>
            </w:r>
          </w:p>
        </w:tc>
        <w:tc>
          <w:tcPr>
            <w:tcW w:type="dxa" w:w="2700"/>
            <w:tcMar>
              <w:top w:type="dxa" w:w="60"/>
              <w:left w:type="dxa" w:w="100"/>
              <w:bottom w:type="dxa" w:w="60"/>
              <w:right w:type="dxa" w:w="100"/>
            </w:tcMar>
          </w:tcPr>
          <w:p>
            <w:pPr>
              <w:spacing w:after="60" w:line="260"/>
            </w:pPr>
            <w:r>
              <w:rPr>
                <w:b w:val="false"/>
                <w:bCs w:val="false"/>
                <w:sz w:val="20"/>
                <w:szCs w:val="20"/>
              </w:rPr>
              <w:t xml:space="preserve">Figures 1 and 3</w:t>
            </w:r>
          </w:p>
        </w:tc>
        <w:tc>
          <w:tcPr>
            <w:tcW w:type="dxa" w:w="3126"/>
            <w:tcMar>
              <w:top w:type="dxa" w:w="60"/>
              <w:left w:type="dxa" w:w="100"/>
              <w:bottom w:type="dxa" w:w="60"/>
              <w:right w:type="dxa" w:w="100"/>
            </w:tcMar>
          </w:tcPr>
          <w:p>
            <w:pPr>
              <w:spacing w:after="60" w:line="260"/>
            </w:pPr>
            <w:r>
              <w:rPr>
                <w:b w:val="false"/>
                <w:bCs w:val="false"/>
                <w:sz w:val="20"/>
                <w:szCs w:val="20"/>
              </w:rPr>
              <w:t xml:space="preserve">The histology images embedded in the draft are 475 × 327 and 446 × 309 pixels. Journals require 300 dpi (at least about 1,000 pixels wide). Re-export from the microscope camera and add the original magnifications (for example ×40, ×400) to the legends.</w:t>
            </w:r>
          </w:p>
        </w:tc>
      </w:tr>
      <w:tr>
        <w:tc>
          <w:tcPr>
            <w:tcW w:type="dxa" w:w="500"/>
            <w:tcMar>
              <w:top w:type="dxa" w:w="60"/>
              <w:left w:type="dxa" w:w="100"/>
              <w:bottom w:type="dxa" w:w="60"/>
              <w:right w:type="dxa" w:w="100"/>
            </w:tcMar>
          </w:tcPr>
          <w:p>
            <w:pPr>
              <w:spacing w:after="60" w:line="260"/>
            </w:pPr>
            <w:r>
              <w:rPr>
                <w:b w:val="false"/>
                <w:bCs w:val="false"/>
                <w:sz w:val="20"/>
                <w:szCs w:val="20"/>
              </w:rPr>
              <w:t xml:space="preserve">9</w:t>
            </w:r>
          </w:p>
        </w:tc>
        <w:tc>
          <w:tcPr>
            <w:tcW w:type="dxa" w:w="2700"/>
            <w:tcMar>
              <w:top w:type="dxa" w:w="60"/>
              <w:left w:type="dxa" w:w="100"/>
              <w:bottom w:type="dxa" w:w="60"/>
              <w:right w:type="dxa" w:w="100"/>
            </w:tcMar>
          </w:tcPr>
          <w:p>
            <w:pPr>
              <w:spacing w:after="60" w:line="260"/>
            </w:pPr>
            <w:r>
              <w:rPr>
                <w:b w:val="false"/>
                <w:bCs w:val="false"/>
                <w:sz w:val="20"/>
                <w:szCs w:val="20"/>
              </w:rPr>
              <w:t xml:space="preserve">Patient identifiability</w:t>
            </w:r>
          </w:p>
        </w:tc>
        <w:tc>
          <w:tcPr>
            <w:tcW w:type="dxa" w:w="2700"/>
            <w:tcMar>
              <w:top w:type="dxa" w:w="60"/>
              <w:left w:type="dxa" w:w="100"/>
              <w:bottom w:type="dxa" w:w="60"/>
              <w:right w:type="dxa" w:w="100"/>
            </w:tcMar>
          </w:tcPr>
          <w:p>
            <w:pPr>
              <w:spacing w:after="60" w:line="260"/>
            </w:pPr>
            <w:r>
              <w:rPr>
                <w:b w:val="false"/>
                <w:bCs w:val="false"/>
                <w:sz w:val="20"/>
                <w:szCs w:val="20"/>
              </w:rPr>
              <w:t xml:space="preserve">Figure 2</w:t>
            </w:r>
          </w:p>
        </w:tc>
        <w:tc>
          <w:tcPr>
            <w:tcW w:type="dxa" w:w="3126"/>
            <w:tcMar>
              <w:top w:type="dxa" w:w="60"/>
              <w:left w:type="dxa" w:w="100"/>
              <w:bottom w:type="dxa" w:w="60"/>
              <w:right w:type="dxa" w:w="100"/>
            </w:tcMar>
          </w:tcPr>
          <w:p>
            <w:pPr>
              <w:spacing w:after="60" w:line="260"/>
            </w:pPr>
            <w:r>
              <w:rPr>
                <w:b w:val="false"/>
                <w:bCs w:val="false"/>
                <w:sz w:val="20"/>
                <w:szCs w:val="20"/>
              </w:rPr>
              <w:t xml:space="preserve">The clinical photograph shows the ear, hairline and clothing. Consent for publication has been obtained; consider cropping to the neck alone.</w:t>
            </w:r>
          </w:p>
        </w:tc>
      </w:tr>
      <w:tr>
        <w:tc>
          <w:tcPr>
            <w:tcW w:type="dxa" w:w="500"/>
            <w:tcMar>
              <w:top w:type="dxa" w:w="60"/>
              <w:left w:type="dxa" w:w="100"/>
              <w:bottom w:type="dxa" w:w="60"/>
              <w:right w:type="dxa" w:w="100"/>
            </w:tcMar>
          </w:tcPr>
          <w:p>
            <w:pPr>
              <w:spacing w:after="60" w:line="260"/>
            </w:pPr>
            <w:r>
              <w:rPr>
                <w:b w:val="false"/>
                <w:bCs w:val="false"/>
                <w:sz w:val="20"/>
                <w:szCs w:val="20"/>
              </w:rPr>
              <w:t xml:space="preserve">10</w:t>
            </w:r>
          </w:p>
        </w:tc>
        <w:tc>
          <w:tcPr>
            <w:tcW w:type="dxa" w:w="2700"/>
            <w:tcMar>
              <w:top w:type="dxa" w:w="60"/>
              <w:left w:type="dxa" w:w="100"/>
              <w:bottom w:type="dxa" w:w="60"/>
              <w:right w:type="dxa" w:w="100"/>
            </w:tcMar>
          </w:tcPr>
          <w:p>
            <w:pPr>
              <w:spacing w:after="60" w:line="260"/>
            </w:pPr>
            <w:r>
              <w:rPr>
                <w:b w:val="false"/>
                <w:bCs w:val="false"/>
                <w:sz w:val="20"/>
                <w:szCs w:val="20"/>
              </w:rPr>
              <w:t xml:space="preserve">Authors' contributions</w:t>
            </w:r>
          </w:p>
        </w:tc>
        <w:tc>
          <w:tcPr>
            <w:tcW w:type="dxa" w:w="2700"/>
            <w:tcMar>
              <w:top w:type="dxa" w:w="60"/>
              <w:left w:type="dxa" w:w="100"/>
              <w:bottom w:type="dxa" w:w="60"/>
              <w:right w:type="dxa" w:w="100"/>
            </w:tcMar>
          </w:tcPr>
          <w:p>
            <w:pPr>
              <w:spacing w:after="60" w:line="260"/>
            </w:pPr>
            <w:r>
              <w:rPr>
                <w:b w:val="false"/>
                <w:bCs w:val="false"/>
                <w:sz w:val="20"/>
                <w:szCs w:val="20"/>
              </w:rPr>
              <w:t xml:space="preserve">Declarations</w:t>
            </w:r>
          </w:p>
        </w:tc>
        <w:tc>
          <w:tcPr>
            <w:tcW w:type="dxa" w:w="3126"/>
            <w:tcMar>
              <w:top w:type="dxa" w:w="60"/>
              <w:left w:type="dxa" w:w="100"/>
              <w:bottom w:type="dxa" w:w="60"/>
              <w:right w:type="dxa" w:w="100"/>
            </w:tcMar>
          </w:tcPr>
          <w:p>
            <w:pPr>
              <w:spacing w:after="60" w:line="260"/>
            </w:pPr>
            <w:r>
              <w:rPr>
                <w:b w:val="false"/>
                <w:bCs w:val="false"/>
                <w:sz w:val="20"/>
                <w:szCs w:val="20"/>
              </w:rPr>
              <w:t xml:space="preserve">Drafted from affiliations; all authors to confirm. Consider adding ORCID identifiers.</w:t>
            </w:r>
          </w:p>
        </w:tc>
      </w:tr>
      <w:tr>
        <w:tc>
          <w:tcPr>
            <w:tcW w:type="dxa" w:w="500"/>
            <w:tcMar>
              <w:top w:type="dxa" w:w="60"/>
              <w:left w:type="dxa" w:w="100"/>
              <w:bottom w:type="dxa" w:w="60"/>
              <w:right w:type="dxa" w:w="100"/>
            </w:tcMar>
          </w:tcPr>
          <w:p>
            <w:pPr>
              <w:spacing w:after="60" w:line="260"/>
            </w:pPr>
            <w:r>
              <w:rPr>
                <w:b w:val="false"/>
                <w:bCs w:val="false"/>
                <w:sz w:val="20"/>
                <w:szCs w:val="20"/>
              </w:rPr>
              <w:t xml:space="preserve">11</w:t>
            </w:r>
          </w:p>
        </w:tc>
        <w:tc>
          <w:tcPr>
            <w:tcW w:type="dxa" w:w="2700"/>
            <w:tcMar>
              <w:top w:type="dxa" w:w="60"/>
              <w:left w:type="dxa" w:w="100"/>
              <w:bottom w:type="dxa" w:w="60"/>
              <w:right w:type="dxa" w:w="100"/>
            </w:tcMar>
          </w:tcPr>
          <w:p>
            <w:pPr>
              <w:spacing w:after="60" w:line="260"/>
            </w:pPr>
            <w:r>
              <w:rPr>
                <w:b w:val="false"/>
                <w:bCs w:val="false"/>
                <w:sz w:val="20"/>
                <w:szCs w:val="20"/>
              </w:rPr>
              <w:t xml:space="preserve">Ethics statement</w:t>
            </w:r>
          </w:p>
        </w:tc>
        <w:tc>
          <w:tcPr>
            <w:tcW w:type="dxa" w:w="2700"/>
            <w:tcMar>
              <w:top w:type="dxa" w:w="60"/>
              <w:left w:type="dxa" w:w="100"/>
              <w:bottom w:type="dxa" w:w="60"/>
              <w:right w:type="dxa" w:w="100"/>
            </w:tcMar>
          </w:tcPr>
          <w:p>
            <w:pPr>
              <w:spacing w:after="60" w:line="260"/>
            </w:pPr>
            <w:r>
              <w:rPr>
                <w:b w:val="false"/>
                <w:bCs w:val="false"/>
                <w:sz w:val="20"/>
                <w:szCs w:val="20"/>
              </w:rPr>
              <w:t xml:space="preserve">Declarations</w:t>
            </w:r>
          </w:p>
        </w:tc>
        <w:tc>
          <w:tcPr>
            <w:tcW w:type="dxa" w:w="3126"/>
            <w:tcMar>
              <w:top w:type="dxa" w:w="60"/>
              <w:left w:type="dxa" w:w="100"/>
              <w:bottom w:type="dxa" w:w="60"/>
              <w:right w:type="dxa" w:w="100"/>
            </w:tcMar>
          </w:tcPr>
          <w:p>
            <w:pPr>
              <w:spacing w:after="60" w:line="260"/>
            </w:pPr>
            <w:r>
              <w:rPr>
                <w:b w:val="false"/>
                <w:bCs w:val="false"/>
                <w:sz w:val="20"/>
                <w:szCs w:val="20"/>
              </w:rPr>
              <w:t xml:space="preserve">Confirm whether MUHAS or Muhimbili National Hospital requires institutional permission for case report publication; if so, cite the permission and replace 'Not applicable'.</w:t>
            </w:r>
          </w:p>
        </w:tc>
      </w:tr>
      <w:tr>
        <w:tc>
          <w:tcPr>
            <w:tcW w:type="dxa" w:w="500"/>
            <w:tcMar>
              <w:top w:type="dxa" w:w="60"/>
              <w:left w:type="dxa" w:w="100"/>
              <w:bottom w:type="dxa" w:w="60"/>
              <w:right w:type="dxa" w:w="100"/>
            </w:tcMar>
          </w:tcPr>
          <w:p>
            <w:pPr>
              <w:spacing w:after="60" w:line="260"/>
            </w:pPr>
            <w:r>
              <w:rPr>
                <w:b w:val="false"/>
                <w:bCs w:val="false"/>
                <w:sz w:val="20"/>
                <w:szCs w:val="20"/>
              </w:rPr>
              <w:t xml:space="preserve">12</w:t>
            </w:r>
          </w:p>
        </w:tc>
        <w:tc>
          <w:tcPr>
            <w:tcW w:type="dxa" w:w="2700"/>
            <w:tcMar>
              <w:top w:type="dxa" w:w="60"/>
              <w:left w:type="dxa" w:w="100"/>
              <w:bottom w:type="dxa" w:w="60"/>
              <w:right w:type="dxa" w:w="100"/>
            </w:tcMar>
          </w:tcPr>
          <w:p>
            <w:pPr>
              <w:spacing w:after="60" w:line="260"/>
            </w:pPr>
            <w:r>
              <w:rPr>
                <w:b w:val="false"/>
                <w:bCs w:val="false"/>
                <w:sz w:val="20"/>
                <w:szCs w:val="20"/>
              </w:rPr>
              <w:t xml:space="preserve">Corresponding author details</w:t>
            </w:r>
          </w:p>
        </w:tc>
        <w:tc>
          <w:tcPr>
            <w:tcW w:type="dxa" w:w="2700"/>
            <w:tcMar>
              <w:top w:type="dxa" w:w="60"/>
              <w:left w:type="dxa" w:w="100"/>
              <w:bottom w:type="dxa" w:w="60"/>
              <w:right w:type="dxa" w:w="100"/>
            </w:tcMar>
          </w:tcPr>
          <w:p>
            <w:pPr>
              <w:spacing w:after="60" w:line="260"/>
            </w:pPr>
            <w:r>
              <w:rPr>
                <w:b w:val="false"/>
                <w:bCs w:val="false"/>
                <w:sz w:val="20"/>
                <w:szCs w:val="20"/>
              </w:rPr>
              <w:t xml:space="preserve">Title page</w:t>
            </w:r>
          </w:p>
        </w:tc>
        <w:tc>
          <w:tcPr>
            <w:tcW w:type="dxa" w:w="3126"/>
            <w:tcMar>
              <w:top w:type="dxa" w:w="60"/>
              <w:left w:type="dxa" w:w="100"/>
              <w:bottom w:type="dxa" w:w="60"/>
              <w:right w:type="dxa" w:w="100"/>
            </w:tcMar>
          </w:tcPr>
          <w:p>
            <w:pPr>
              <w:spacing w:after="60" w:line="260"/>
            </w:pPr>
            <w:r>
              <w:rPr>
                <w:b w:val="false"/>
                <w:bCs w:val="false"/>
                <w:sz w:val="20"/>
                <w:szCs w:val="20"/>
              </w:rPr>
              <w:t xml:space="preserve">An institutional email address is preferred by most journals over a personal Gmail address; add a postal address and telephone number if the journal asks.</w:t>
            </w:r>
          </w:p>
        </w:tc>
      </w:tr>
    </w:tbl>
    <w:p>
      <w:pPr>
        <w:pStyle w:val="Heading1"/>
        <w:spacing w:after="160" w:before="360"/>
      </w:pPr>
      <w:r>
        <w:rPr>
          <w:rFonts w:ascii="Times New Roman" w:cs="Times New Roman" w:eastAsia="Times New Roman" w:hAnsi="Times New Roman"/>
          <w:b/>
          <w:bCs/>
          <w:color w:val="1F4E79"/>
          <w:sz w:val="28"/>
          <w:szCs w:val="28"/>
        </w:rPr>
        <w:t xml:space="preserve">4. Reference audit</w:t>
      </w:r>
    </w:p>
    <w:p>
      <w:pPr>
        <w:spacing w:after="140" w:line="300"/>
      </w:pPr>
      <w:r>
        <w:t xml:space="preserve">Every reference in the revised list was checked against the publisher, PubMed Central or repository record for author list, title, journal, year, volume, issue, pages and DOI. Where the original draft quoted a number from a paper, the number was checked against the paper's abstract. The list grew from eleven references (one uncited, one missing, one wrong) to twenty-five, all cited and all verified. In the table, numbers are the citation numbers in the revised manuscript.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50"/>
        <w:gridCol w:w="3900"/>
        <w:gridCol w:w="1350"/>
        <w:gridCol w:w="3326"/>
      </w:tblGrid>
      <w:tr>
        <w:trPr>
          <w:tblHeader/>
        </w:trPr>
        <w:tc>
          <w:tcPr>
            <w:tcW w:type="dxa" w:w="450"/>
            <w:shd w:fill="DCE6F1" w:color="auto" w:val="clear"/>
            <w:tcMar>
              <w:top w:type="dxa" w:w="60"/>
              <w:left w:type="dxa" w:w="100"/>
              <w:bottom w:type="dxa" w:w="60"/>
              <w:right w:type="dxa" w:w="100"/>
            </w:tcMar>
          </w:tcPr>
          <w:p>
            <w:pPr>
              <w:spacing w:after="60" w:line="260"/>
            </w:pPr>
            <w:r>
              <w:rPr>
                <w:b/>
                <w:bCs/>
                <w:sz w:val="20"/>
                <w:szCs w:val="20"/>
              </w:rPr>
              <w:t xml:space="preserve">#</w:t>
            </w:r>
          </w:p>
        </w:tc>
        <w:tc>
          <w:tcPr>
            <w:tcW w:type="dxa" w:w="3900"/>
            <w:shd w:fill="DCE6F1" w:color="auto" w:val="clear"/>
            <w:tcMar>
              <w:top w:type="dxa" w:w="60"/>
              <w:left w:type="dxa" w:w="100"/>
              <w:bottom w:type="dxa" w:w="60"/>
              <w:right w:type="dxa" w:w="100"/>
            </w:tcMar>
          </w:tcPr>
          <w:p>
            <w:pPr>
              <w:spacing w:after="60" w:line="260"/>
            </w:pPr>
            <w:r>
              <w:rPr>
                <w:b/>
                <w:bCs/>
                <w:sz w:val="20"/>
                <w:szCs w:val="20"/>
              </w:rPr>
              <w:t xml:space="preserve">Reference (Vancouver)</w:t>
            </w:r>
          </w:p>
        </w:tc>
        <w:tc>
          <w:tcPr>
            <w:tcW w:type="dxa" w:w="1350"/>
            <w:shd w:fill="DCE6F1" w:color="auto" w:val="clear"/>
            <w:tcMar>
              <w:top w:type="dxa" w:w="60"/>
              <w:left w:type="dxa" w:w="100"/>
              <w:bottom w:type="dxa" w:w="60"/>
              <w:right w:type="dxa" w:w="100"/>
            </w:tcMar>
          </w:tcPr>
          <w:p>
            <w:pPr>
              <w:spacing w:after="60" w:line="260"/>
            </w:pPr>
            <w:r>
              <w:rPr>
                <w:b/>
                <w:bCs/>
                <w:sz w:val="20"/>
                <w:szCs w:val="20"/>
              </w:rPr>
              <w:t xml:space="preserve">Status</w:t>
            </w:r>
          </w:p>
        </w:tc>
        <w:tc>
          <w:tcPr>
            <w:tcW w:type="dxa" w:w="3326"/>
            <w:shd w:fill="DCE6F1" w:color="auto" w:val="clear"/>
            <w:tcMar>
              <w:top w:type="dxa" w:w="60"/>
              <w:left w:type="dxa" w:w="100"/>
              <w:bottom w:type="dxa" w:w="60"/>
              <w:right w:type="dxa" w:w="100"/>
            </w:tcMar>
          </w:tcPr>
          <w:p>
            <w:pPr>
              <w:spacing w:after="60" w:line="260"/>
            </w:pPr>
            <w:r>
              <w:rPr>
                <w:b/>
                <w:bCs/>
                <w:sz w:val="20"/>
                <w:szCs w:val="20"/>
              </w:rPr>
              <w:t xml:space="preserve">Note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w:t>
            </w:r>
          </w:p>
        </w:tc>
        <w:tc>
          <w:tcPr>
            <w:tcW w:type="dxa" w:w="3900"/>
            <w:tcMar>
              <w:top w:type="dxa" w:w="60"/>
              <w:left w:type="dxa" w:w="100"/>
              <w:bottom w:type="dxa" w:w="60"/>
              <w:right w:type="dxa" w:w="100"/>
            </w:tcMar>
          </w:tcPr>
          <w:p>
            <w:pPr>
              <w:spacing w:after="60" w:line="260"/>
            </w:pPr>
            <w:r>
              <w:rPr>
                <w:b w:val="false"/>
                <w:bCs w:val="false"/>
                <w:sz w:val="20"/>
                <w:szCs w:val="20"/>
              </w:rPr>
              <w:t xml:space="preserve">Fernández A, Hayashi M, Garrido G, Montero A, Guardia A, Suzuki T, et al. Genetics of non-syndromic and syndromic oculocutaneous albinism in human and mouse. Pigment Cell Melanoma Res. 2021;34(4):786-799.</w:t>
            </w:r>
          </w:p>
        </w:tc>
        <w:tc>
          <w:tcPr>
            <w:tcW w:type="dxa" w:w="1350"/>
            <w:tcMar>
              <w:top w:type="dxa" w:w="60"/>
              <w:left w:type="dxa" w:w="100"/>
              <w:bottom w:type="dxa" w:w="60"/>
              <w:right w:type="dxa" w:w="100"/>
            </w:tcMar>
          </w:tcPr>
          <w:p>
            <w:pPr>
              <w:spacing w:after="60" w:line="260"/>
            </w:pPr>
            <w:r>
              <w:rPr>
                <w:b w:val="false"/>
                <w:bCs w:val="false"/>
                <w:sz w:val="20"/>
                <w:szCs w:val="20"/>
              </w:rPr>
              <w:t xml:space="preserve">Kept, corrected</w:t>
            </w:r>
          </w:p>
        </w:tc>
        <w:tc>
          <w:tcPr>
            <w:tcW w:type="dxa" w:w="3326"/>
            <w:tcMar>
              <w:top w:type="dxa" w:w="60"/>
              <w:left w:type="dxa" w:w="100"/>
              <w:bottom w:type="dxa" w:w="60"/>
              <w:right w:type="dxa" w:w="100"/>
            </w:tcMar>
          </w:tcPr>
          <w:p>
            <w:pPr>
              <w:spacing w:after="60" w:line="260"/>
            </w:pPr>
            <w:r>
              <w:rPr>
                <w:b w:val="false"/>
                <w:bCs w:val="false"/>
                <w:sz w:val="20"/>
                <w:szCs w:val="20"/>
              </w:rPr>
              <w:t xml:space="preserve">In-text citation gave three authors; the paper has seven (Fernández et al.). Details verified.</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w:t>
            </w:r>
          </w:p>
        </w:tc>
        <w:tc>
          <w:tcPr>
            <w:tcW w:type="dxa" w:w="3900"/>
            <w:tcMar>
              <w:top w:type="dxa" w:w="60"/>
              <w:left w:type="dxa" w:w="100"/>
              <w:bottom w:type="dxa" w:w="60"/>
              <w:right w:type="dxa" w:w="100"/>
            </w:tcMar>
          </w:tcPr>
          <w:p>
            <w:pPr>
              <w:spacing w:after="60" w:line="260"/>
            </w:pPr>
            <w:r>
              <w:rPr>
                <w:b w:val="false"/>
                <w:bCs w:val="false"/>
                <w:sz w:val="20"/>
                <w:szCs w:val="20"/>
              </w:rPr>
              <w:t xml:space="preserve">Wright CY, Norval M, Hertle RW. Oculocutaneous albinism in sub-Saharan Africa: adverse sun-associated health effects and photoprotection. Photochem Photobiol. 2015;91(1):27-32.</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Photoprotection and sun-related harm in OCA in sub-Saharan Africa; supports the photoprotection recommendations.</w:t>
            </w:r>
          </w:p>
        </w:tc>
      </w:tr>
      <w:tr>
        <w:tc>
          <w:tcPr>
            <w:tcW w:type="dxa" w:w="450"/>
            <w:tcMar>
              <w:top w:type="dxa" w:w="60"/>
              <w:left w:type="dxa" w:w="100"/>
              <w:bottom w:type="dxa" w:w="60"/>
              <w:right w:type="dxa" w:w="100"/>
            </w:tcMar>
          </w:tcPr>
          <w:p>
            <w:pPr>
              <w:spacing w:after="60" w:line="260"/>
            </w:pPr>
            <w:r>
              <w:rPr>
                <w:b w:val="false"/>
                <w:bCs w:val="false"/>
                <w:sz w:val="20"/>
                <w:szCs w:val="20"/>
              </w:rPr>
              <w:t xml:space="preserve">3</w:t>
            </w:r>
          </w:p>
        </w:tc>
        <w:tc>
          <w:tcPr>
            <w:tcW w:type="dxa" w:w="3900"/>
            <w:tcMar>
              <w:top w:type="dxa" w:w="60"/>
              <w:left w:type="dxa" w:w="100"/>
              <w:bottom w:type="dxa" w:w="60"/>
              <w:right w:type="dxa" w:w="100"/>
            </w:tcMar>
          </w:tcPr>
          <w:p>
            <w:pPr>
              <w:spacing w:after="60" w:line="260"/>
            </w:pPr>
            <w:r>
              <w:rPr>
                <w:b w:val="false"/>
                <w:bCs w:val="false"/>
                <w:sz w:val="20"/>
                <w:szCs w:val="20"/>
              </w:rPr>
              <w:t xml:space="preserve">Kromberg JGR, Flynn KA, Kerr RA. Determining a worldwide prevalence of oculocutaneous albinism: a systematic review. Invest Ophthalmol Vis Sci. 2023;64(10):14.</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Systematic review of OCA prevalence worldwide; replaces the unsupported "1:1,000 in some populations" claim with the published African range.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4</w:t>
            </w:r>
          </w:p>
        </w:tc>
        <w:tc>
          <w:tcPr>
            <w:tcW w:type="dxa" w:w="3900"/>
            <w:tcMar>
              <w:top w:type="dxa" w:w="60"/>
              <w:left w:type="dxa" w:w="100"/>
              <w:bottom w:type="dxa" w:w="60"/>
              <w:right w:type="dxa" w:w="100"/>
            </w:tcMar>
          </w:tcPr>
          <w:p>
            <w:pPr>
              <w:spacing w:after="60" w:line="260"/>
            </w:pPr>
            <w:r>
              <w:rPr>
                <w:b w:val="false"/>
                <w:bCs w:val="false"/>
                <w:sz w:val="20"/>
                <w:szCs w:val="20"/>
              </w:rPr>
              <w:t xml:space="preserve">Luande J, Henschke CI, Mohammed N. The Tanzanian human albino skin. Natural history. Cancer. 1985;55(8):1823-1828.</w:t>
            </w:r>
          </w:p>
        </w:tc>
        <w:tc>
          <w:tcPr>
            <w:tcW w:type="dxa" w:w="1350"/>
            <w:tcMar>
              <w:top w:type="dxa" w:w="60"/>
              <w:left w:type="dxa" w:w="100"/>
              <w:bottom w:type="dxa" w:w="60"/>
              <w:right w:type="dxa" w:w="100"/>
            </w:tcMar>
          </w:tcPr>
          <w:p>
            <w:pPr>
              <w:spacing w:after="60" w:line="260"/>
            </w:pPr>
            <w:r>
              <w:rPr>
                <w:b w:val="false"/>
                <w:bCs w:val="false"/>
                <w:sz w:val="20"/>
                <w:szCs w:val="20"/>
              </w:rPr>
              <w:t xml:space="preserve">Kept, now cited</w:t>
            </w:r>
          </w:p>
        </w:tc>
        <w:tc>
          <w:tcPr>
            <w:tcW w:type="dxa" w:w="3326"/>
            <w:tcMar>
              <w:top w:type="dxa" w:w="60"/>
              <w:left w:type="dxa" w:w="100"/>
              <w:bottom w:type="dxa" w:w="60"/>
              <w:right w:type="dxa" w:w="100"/>
            </w:tcMar>
          </w:tcPr>
          <w:p>
            <w:pPr>
              <w:spacing w:after="60" w:line="260"/>
            </w:pPr>
            <w:r>
              <w:rPr>
                <w:b w:val="false"/>
                <w:bCs w:val="false"/>
                <w:sz w:val="20"/>
                <w:szCs w:val="20"/>
              </w:rPr>
              <w:t xml:space="preserve">Was in the original list but never cited in the text. Now supports the Tanzanian prevalence estimate (about 1 in 1,400).</w:t>
            </w:r>
          </w:p>
        </w:tc>
      </w:tr>
      <w:tr>
        <w:tc>
          <w:tcPr>
            <w:tcW w:type="dxa" w:w="450"/>
            <w:tcMar>
              <w:top w:type="dxa" w:w="60"/>
              <w:left w:type="dxa" w:w="100"/>
              <w:bottom w:type="dxa" w:w="60"/>
              <w:right w:type="dxa" w:w="100"/>
            </w:tcMar>
          </w:tcPr>
          <w:p>
            <w:pPr>
              <w:spacing w:after="60" w:line="260"/>
            </w:pPr>
            <w:r>
              <w:rPr>
                <w:b w:val="false"/>
                <w:bCs w:val="false"/>
                <w:sz w:val="20"/>
                <w:szCs w:val="20"/>
              </w:rPr>
              <w:t xml:space="preserve">5</w:t>
            </w:r>
          </w:p>
        </w:tc>
        <w:tc>
          <w:tcPr>
            <w:tcW w:type="dxa" w:w="3900"/>
            <w:tcMar>
              <w:top w:type="dxa" w:w="60"/>
              <w:left w:type="dxa" w:w="100"/>
              <w:bottom w:type="dxa" w:w="60"/>
              <w:right w:type="dxa" w:w="100"/>
            </w:tcMar>
          </w:tcPr>
          <w:p>
            <w:pPr>
              <w:spacing w:after="60" w:line="260"/>
            </w:pPr>
            <w:r>
              <w:rPr>
                <w:b w:val="false"/>
                <w:bCs w:val="false"/>
                <w:sz w:val="20"/>
                <w:szCs w:val="20"/>
              </w:rPr>
              <w:t xml:space="preserve">Mabula JB, Chalya PL, Mchembe MD, Jaka H, Giiti G, Rambau P, et al. Skin cancers among albinos at a university teaching hospital in Northwestern Tanzania: a retrospective review of 64 cases. BMC Dermatol. 2012;12:5.</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All figures quoted (75% SCC, 93.8% surgery, 37.5% radiotherapy, 42.2% did not complete treatment, 61.7% follow-up, 30.0% local recurrence, median 24 months to presentation) verified against the abstract.</w:t>
            </w:r>
          </w:p>
        </w:tc>
      </w:tr>
      <w:tr>
        <w:tc>
          <w:tcPr>
            <w:tcW w:type="dxa" w:w="450"/>
            <w:tcMar>
              <w:top w:type="dxa" w:w="60"/>
              <w:left w:type="dxa" w:w="100"/>
              <w:bottom w:type="dxa" w:w="60"/>
              <w:right w:type="dxa" w:w="100"/>
            </w:tcMar>
          </w:tcPr>
          <w:p>
            <w:pPr>
              <w:spacing w:after="60" w:line="260"/>
            </w:pPr>
            <w:r>
              <w:rPr>
                <w:b w:val="false"/>
                <w:bCs w:val="false"/>
                <w:sz w:val="20"/>
                <w:szCs w:val="20"/>
              </w:rPr>
              <w:t xml:space="preserve">6</w:t>
            </w:r>
          </w:p>
        </w:tc>
        <w:tc>
          <w:tcPr>
            <w:tcW w:type="dxa" w:w="3900"/>
            <w:tcMar>
              <w:top w:type="dxa" w:w="60"/>
              <w:left w:type="dxa" w:w="100"/>
              <w:bottom w:type="dxa" w:w="60"/>
              <w:right w:type="dxa" w:w="100"/>
            </w:tcMar>
          </w:tcPr>
          <w:p>
            <w:pPr>
              <w:spacing w:after="60" w:line="260"/>
            </w:pPr>
            <w:r>
              <w:rPr>
                <w:b w:val="false"/>
                <w:bCs w:val="false"/>
                <w:sz w:val="20"/>
                <w:szCs w:val="20"/>
              </w:rPr>
              <w:t xml:space="preserve">Hong ES, Zeeb H, Repacholi MH. Albinism in Africa as a public health issue. BMC Public Health. 2006;6:212.</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Albinism in Africa as a public health issue; supports the contextual statements on barriers to care.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7</w:t>
            </w:r>
          </w:p>
        </w:tc>
        <w:tc>
          <w:tcPr>
            <w:tcW w:type="dxa" w:w="3900"/>
            <w:tcMar>
              <w:top w:type="dxa" w:w="60"/>
              <w:left w:type="dxa" w:w="100"/>
              <w:bottom w:type="dxa" w:w="60"/>
              <w:right w:type="dxa" w:w="100"/>
            </w:tcMar>
          </w:tcPr>
          <w:p>
            <w:pPr>
              <w:spacing w:after="60" w:line="260"/>
            </w:pPr>
            <w:r>
              <w:rPr>
                <w:b w:val="false"/>
                <w:bCs w:val="false"/>
                <w:sz w:val="20"/>
                <w:szCs w:val="20"/>
              </w:rPr>
              <w:t xml:space="preserve">Kromberg JGR, Kerr R. Oculocutaneous albinism in southern Africa: historical background, genetic, clinical and psychosocial issues. Afr J Disabil. 2022;11:a877.</w:t>
            </w:r>
          </w:p>
        </w:tc>
        <w:tc>
          <w:tcPr>
            <w:tcW w:type="dxa" w:w="1350"/>
            <w:tcMar>
              <w:top w:type="dxa" w:w="60"/>
              <w:left w:type="dxa" w:w="100"/>
              <w:bottom w:type="dxa" w:w="60"/>
              <w:right w:type="dxa" w:w="100"/>
            </w:tcMar>
          </w:tcPr>
          <w:p>
            <w:pPr>
              <w:spacing w:after="60" w:line="260"/>
            </w:pPr>
            <w:r>
              <w:rPr>
                <w:b w:val="false"/>
                <w:bCs w:val="false"/>
                <w:sz w:val="20"/>
                <w:szCs w:val="20"/>
              </w:rPr>
              <w:t xml:space="preserve">Kept, corrected</w:t>
            </w:r>
          </w:p>
        </w:tc>
        <w:tc>
          <w:tcPr>
            <w:tcW w:type="dxa" w:w="3326"/>
            <w:tcMar>
              <w:top w:type="dxa" w:w="60"/>
              <w:left w:type="dxa" w:w="100"/>
              <w:bottom w:type="dxa" w:w="60"/>
              <w:right w:type="dxa" w:w="100"/>
            </w:tcMar>
          </w:tcPr>
          <w:p>
            <w:pPr>
              <w:spacing w:after="60" w:line="260"/>
            </w:pPr>
            <w:r>
              <w:rPr>
                <w:b w:val="false"/>
                <w:bCs w:val="false"/>
                <w:sz w:val="20"/>
                <w:szCs w:val="20"/>
              </w:rPr>
              <w:t xml:space="preserve">Original in-text citation read "Kromberg et al., 2022" but the paper has two authors (Kromberg and Kerr). Now cited for psychosocial and access context rather than for the prevalence figure.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8</w:t>
            </w:r>
          </w:p>
        </w:tc>
        <w:tc>
          <w:tcPr>
            <w:tcW w:type="dxa" w:w="3900"/>
            <w:tcMar>
              <w:top w:type="dxa" w:w="60"/>
              <w:left w:type="dxa" w:w="100"/>
              <w:bottom w:type="dxa" w:w="60"/>
              <w:right w:type="dxa" w:w="100"/>
            </w:tcMar>
          </w:tcPr>
          <w:p>
            <w:pPr>
              <w:spacing w:after="60" w:line="260"/>
            </w:pPr>
            <w:r>
              <w:rPr>
                <w:b w:val="false"/>
                <w:bCs w:val="false"/>
                <w:sz w:val="20"/>
                <w:szCs w:val="20"/>
              </w:rPr>
              <w:t xml:space="preserve">Kiprono SK, Chaula BM, Beltraminelli H. Histological review of skin cancers in African albinos: a 10-year retrospective review. BMC Cancer. 2014;14:157.</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134 skin cancers from 86 patients in Moshi; head and neck 56%; SCC to BCC ratio 1.2 to 1. Figures added to the Discussion.</w:t>
            </w:r>
          </w:p>
        </w:tc>
      </w:tr>
      <w:tr>
        <w:tc>
          <w:tcPr>
            <w:tcW w:type="dxa" w:w="450"/>
            <w:tcMar>
              <w:top w:type="dxa" w:w="60"/>
              <w:left w:type="dxa" w:w="100"/>
              <w:bottom w:type="dxa" w:w="60"/>
              <w:right w:type="dxa" w:w="100"/>
            </w:tcMar>
          </w:tcPr>
          <w:p>
            <w:pPr>
              <w:spacing w:after="60" w:line="260"/>
            </w:pPr>
            <w:r>
              <w:rPr>
                <w:b w:val="false"/>
                <w:bCs w:val="false"/>
                <w:sz w:val="20"/>
                <w:szCs w:val="20"/>
              </w:rPr>
              <w:t xml:space="preserve">9</w:t>
            </w:r>
          </w:p>
        </w:tc>
        <w:tc>
          <w:tcPr>
            <w:tcW w:type="dxa" w:w="3900"/>
            <w:tcMar>
              <w:top w:type="dxa" w:w="60"/>
              <w:left w:type="dxa" w:w="100"/>
              <w:bottom w:type="dxa" w:w="60"/>
              <w:right w:type="dxa" w:w="100"/>
            </w:tcMar>
          </w:tcPr>
          <w:p>
            <w:pPr>
              <w:spacing w:after="60" w:line="260"/>
            </w:pPr>
            <w:r>
              <w:rPr>
                <w:b w:val="false"/>
                <w:bCs w:val="false"/>
                <w:sz w:val="20"/>
                <w:szCs w:val="20"/>
              </w:rPr>
              <w:t xml:space="preserve">Onyishi NT, Ohayi SR. Prevalence of squamous and basal cell carcinomas in African albino skin cancer lesions: a systematic review and meta-analysis of proportion. J Skin Cancer. 2022;2022:5014610.</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23 studies, 695 lesions, 540 patients, 419 SCC, 249 BCC, pooled 64% (95% CI 50 to 77%) and 31% (19 to 45%), I² = 89%. All correct. The review's finding that BCC predominates in surveillance programmes has been added.</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10</w:t>
            </w:r>
          </w:p>
        </w:tc>
        <w:tc>
          <w:tcPr>
            <w:tcW w:type="dxa" w:w="3900"/>
            <w:tcMar>
              <w:top w:type="dxa" w:w="60"/>
              <w:left w:type="dxa" w:w="100"/>
              <w:bottom w:type="dxa" w:w="60"/>
              <w:right w:type="dxa" w:w="100"/>
            </w:tcMar>
          </w:tcPr>
          <w:p>
            <w:pPr>
              <w:spacing w:after="60" w:line="260"/>
            </w:pPr>
            <w:r>
              <w:rPr>
                <w:b w:val="false"/>
                <w:bCs w:val="false"/>
                <w:sz w:val="20"/>
                <w:szCs w:val="20"/>
              </w:rPr>
              <w:t xml:space="preserve">Lekalakala PT, Khammissa RAG, Kramer B, Ayo-Yusuf OA, Lemmer J, Feller L. Oculocutaneous albinism and squamous cell carcinoma of the skin of the head and neck in sub-Saharan Africa. J Skin Cancer. 2015;2015:167847.</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Review of OCA and head and neck SCC in sub-Saharan Africa; source for the roughly 1,000-fold risk and the aggressive, recurrent course.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11</w:t>
            </w:r>
          </w:p>
        </w:tc>
        <w:tc>
          <w:tcPr>
            <w:tcW w:type="dxa" w:w="3900"/>
            <w:tcMar>
              <w:top w:type="dxa" w:w="60"/>
              <w:left w:type="dxa" w:w="100"/>
              <w:bottom w:type="dxa" w:w="60"/>
              <w:right w:type="dxa" w:w="100"/>
            </w:tcMar>
          </w:tcPr>
          <w:p>
            <w:pPr>
              <w:spacing w:after="60" w:line="260"/>
            </w:pPr>
            <w:r>
              <w:rPr>
                <w:b w:val="false"/>
                <w:bCs w:val="false"/>
                <w:sz w:val="20"/>
                <w:szCs w:val="20"/>
              </w:rPr>
              <w:t xml:space="preserve">Slaughter DP, Southwick HW, Smejkal W. "Field cancerization" in oral stratified squamous epithelium; clinical implications of multicentric origin. Cancer. 1953;6(5):963-968.</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Original description of field cancerisation. Correct.</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12</w:t>
            </w:r>
          </w:p>
        </w:tc>
        <w:tc>
          <w:tcPr>
            <w:tcW w:type="dxa" w:w="3900"/>
            <w:tcMar>
              <w:top w:type="dxa" w:w="60"/>
              <w:left w:type="dxa" w:w="100"/>
              <w:bottom w:type="dxa" w:w="60"/>
              <w:right w:type="dxa" w:w="100"/>
            </w:tcMar>
          </w:tcPr>
          <w:p>
            <w:pPr>
              <w:spacing w:after="60" w:line="260"/>
            </w:pPr>
            <w:r>
              <w:rPr>
                <w:b w:val="false"/>
                <w:bCs w:val="false"/>
                <w:sz w:val="20"/>
                <w:szCs w:val="20"/>
              </w:rPr>
              <w:t xml:space="preserve">Riley DS, Barber MS, Kienle GS, Aronson JK, von Schoen-Angerer T, Tugwell P, et al. CARE guidelines for case reports: explanation and elaboration document. J Clin Epidemiol. 2017;89:218-235.</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CARE guidelines for case reports; the manuscript now states that it follows them.</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13</w:t>
            </w:r>
          </w:p>
        </w:tc>
        <w:tc>
          <w:tcPr>
            <w:tcW w:type="dxa" w:w="3900"/>
            <w:tcMar>
              <w:top w:type="dxa" w:w="60"/>
              <w:left w:type="dxa" w:w="100"/>
              <w:bottom w:type="dxa" w:w="60"/>
              <w:right w:type="dxa" w:w="100"/>
            </w:tcMar>
          </w:tcPr>
          <w:p>
            <w:pPr>
              <w:spacing w:after="60" w:line="260"/>
            </w:pPr>
            <w:r>
              <w:rPr>
                <w:b w:val="false"/>
                <w:bCs w:val="false"/>
                <w:sz w:val="20"/>
                <w:szCs w:val="20"/>
              </w:rPr>
              <w:t xml:space="preserve">Ryu TH, Kye H, Choi JE, Ahn HH, Kye YC, Seo SH. Features causing confusion between basal cell carcinoma and squamous cell carcinoma in clinical diagnosis. Ann Dermatol. 2018;30(1):64-70.</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154 cases; SCC misdiagnosed as BCC more often than the reverse; ulceration, telangiectasia and translucency confuse; dermoscopy improved accuracy (odds ratio 2.86). Findings now quoted accurately.</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14</w:t>
            </w:r>
          </w:p>
        </w:tc>
        <w:tc>
          <w:tcPr>
            <w:tcW w:type="dxa" w:w="3900"/>
            <w:tcMar>
              <w:top w:type="dxa" w:w="60"/>
              <w:left w:type="dxa" w:w="100"/>
              <w:bottom w:type="dxa" w:w="60"/>
              <w:right w:type="dxa" w:w="100"/>
            </w:tcMar>
          </w:tcPr>
          <w:p>
            <w:pPr>
              <w:spacing w:after="60" w:line="260"/>
            </w:pPr>
            <w:r>
              <w:rPr>
                <w:b w:val="false"/>
                <w:bCs w:val="false"/>
                <w:sz w:val="20"/>
                <w:szCs w:val="20"/>
              </w:rPr>
              <w:t xml:space="preserve">Keohane SG, Botting J, Budny PG, Dolan OM, Fife K, Harwood CA, et al. British Association of Dermatologists guidelines for the management of people with cutaneous squamous cell carcinoma 2020. Br J Dermatol. 2021;184(3):401-414.</w:t>
            </w:r>
          </w:p>
        </w:tc>
        <w:tc>
          <w:tcPr>
            <w:tcW w:type="dxa" w:w="1350"/>
            <w:tcMar>
              <w:top w:type="dxa" w:w="60"/>
              <w:left w:type="dxa" w:w="100"/>
              <w:bottom w:type="dxa" w:w="60"/>
              <w:right w:type="dxa" w:w="100"/>
            </w:tcMar>
          </w:tcPr>
          <w:p>
            <w:pPr>
              <w:spacing w:after="60" w:line="260"/>
            </w:pPr>
            <w:r>
              <w:rPr>
                <w:b w:val="false"/>
                <w:bCs w:val="false"/>
                <w:sz w:val="20"/>
                <w:szCs w:val="20"/>
              </w:rPr>
              <w:t xml:space="preserve">Added (was cited but missing from the list)</w:t>
            </w:r>
          </w:p>
        </w:tc>
        <w:tc>
          <w:tcPr>
            <w:tcW w:type="dxa" w:w="3326"/>
            <w:tcMar>
              <w:top w:type="dxa" w:w="60"/>
              <w:left w:type="dxa" w:w="100"/>
              <w:bottom w:type="dxa" w:w="60"/>
              <w:right w:type="dxa" w:w="100"/>
            </w:tcMar>
          </w:tcPr>
          <w:p>
            <w:pPr>
              <w:spacing w:after="60" w:line="260"/>
            </w:pPr>
            <w:r>
              <w:rPr>
                <w:b w:val="false"/>
                <w:bCs w:val="false"/>
                <w:sz w:val="20"/>
                <w:szCs w:val="20"/>
              </w:rPr>
              <w:t xml:space="preserve">British Association of Dermatologists, BAD, 2020 cSCC guideline. The "30 to 50% recurrence" figure attributed to it in the original could not be found in the guideline and has been removed.</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15</w:t>
            </w:r>
          </w:p>
        </w:tc>
        <w:tc>
          <w:tcPr>
            <w:tcW w:type="dxa" w:w="3900"/>
            <w:tcMar>
              <w:top w:type="dxa" w:w="60"/>
              <w:left w:type="dxa" w:w="100"/>
              <w:bottom w:type="dxa" w:w="60"/>
              <w:right w:type="dxa" w:w="100"/>
            </w:tcMar>
          </w:tcPr>
          <w:p>
            <w:pPr>
              <w:spacing w:after="60" w:line="260"/>
            </w:pPr>
            <w:r>
              <w:rPr>
                <w:b w:val="false"/>
                <w:bCs w:val="false"/>
                <w:sz w:val="20"/>
                <w:szCs w:val="20"/>
              </w:rPr>
              <w:t xml:space="preserve">Stratigos AJ, Dessinioti C, Garbe C, Lebbe C, Amaral T, Bataille V, et al. European consensus-based interdisciplinary guideline for invasive cutaneous squamous cell carcinoma: Part 2. Treatment - update 2026. Eur J Cancer. 2026;243:116764.</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European interdisciplinary cSCC guideline, treatment update 2026 (published July 2026). Current source for margins, margin control and adjuvant therapy.</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16</w:t>
            </w:r>
          </w:p>
        </w:tc>
        <w:tc>
          <w:tcPr>
            <w:tcW w:type="dxa" w:w="3900"/>
            <w:tcMar>
              <w:top w:type="dxa" w:w="60"/>
              <w:left w:type="dxa" w:w="100"/>
              <w:bottom w:type="dxa" w:w="60"/>
              <w:right w:type="dxa" w:w="100"/>
            </w:tcMar>
          </w:tcPr>
          <w:p>
            <w:pPr>
              <w:spacing w:after="60" w:line="260"/>
            </w:pPr>
            <w:r>
              <w:rPr>
                <w:b w:val="false"/>
                <w:bCs w:val="false"/>
                <w:sz w:val="20"/>
                <w:szCs w:val="20"/>
              </w:rPr>
              <w:t xml:space="preserve">Warren S, Gates O. Multiple primary malignant tumors: a survey of the literature and a statistical study. Am J Cancer. 1932;16:1358-1414.</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Classical criteria for multiple primary malignancies, used to justify the label "second primary".</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17</w:t>
            </w:r>
          </w:p>
        </w:tc>
        <w:tc>
          <w:tcPr>
            <w:tcW w:type="dxa" w:w="3900"/>
            <w:tcMar>
              <w:top w:type="dxa" w:w="60"/>
              <w:left w:type="dxa" w:w="100"/>
              <w:bottom w:type="dxa" w:w="60"/>
              <w:right w:type="dxa" w:w="100"/>
            </w:tcMar>
          </w:tcPr>
          <w:p>
            <w:pPr>
              <w:spacing w:after="60" w:line="260"/>
            </w:pPr>
            <w:r>
              <w:rPr>
                <w:b w:val="false"/>
                <w:bCs w:val="false"/>
                <w:sz w:val="20"/>
                <w:szCs w:val="20"/>
              </w:rPr>
              <w:t xml:space="preserve">Wehner MR, Linos E, Parvataneni R, Stuart SE, Boscardin WJ, Chren MM. Timing of subsequent new tumors in patients who present with basal cell carcinoma or cutaneous squamous cell carcinoma. JAMA Dermatol. 2015;151(4):382-388.</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The "up to 40%" claim is correct (40.7% at five years after a first keratinocyte carcinoma); the 82% five-year risk after a non-first tumour has been added because it applies directly to this patient.</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18</w:t>
            </w:r>
          </w:p>
        </w:tc>
        <w:tc>
          <w:tcPr>
            <w:tcW w:type="dxa" w:w="3900"/>
            <w:tcMar>
              <w:top w:type="dxa" w:w="60"/>
              <w:left w:type="dxa" w:w="100"/>
              <w:bottom w:type="dxa" w:w="60"/>
              <w:right w:type="dxa" w:w="100"/>
            </w:tcMar>
          </w:tcPr>
          <w:p>
            <w:pPr>
              <w:spacing w:after="60" w:line="260"/>
            </w:pPr>
            <w:r>
              <w:rPr>
                <w:b w:val="false"/>
                <w:bCs w:val="false"/>
                <w:sz w:val="20"/>
                <w:szCs w:val="20"/>
              </w:rPr>
              <w:t xml:space="preserve">Tong JY, Huilgol SC, James C, Rajak S, Selva D. Perineural invasion and perineural spread in periocular squamous cell carcinoma. Eye (Lond). 2023;37(5):875-884.</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Review of perineural invasion and perineural spread in periocular SCC; supports the discussion of the index tumour and the rationale for MRI.</w:t>
            </w:r>
          </w:p>
        </w:tc>
      </w:tr>
      <w:tr>
        <w:tc>
          <w:tcPr>
            <w:tcW w:type="dxa" w:w="450"/>
            <w:tcMar>
              <w:top w:type="dxa" w:w="60"/>
              <w:left w:type="dxa" w:w="100"/>
              <w:bottom w:type="dxa" w:w="60"/>
              <w:right w:type="dxa" w:w="100"/>
            </w:tcMar>
          </w:tcPr>
          <w:p>
            <w:pPr>
              <w:spacing w:after="60" w:line="260"/>
            </w:pPr>
            <w:r>
              <w:rPr>
                <w:b w:val="false"/>
                <w:bCs w:val="false"/>
                <w:sz w:val="20"/>
                <w:szCs w:val="20"/>
              </w:rPr>
              <w:t xml:space="preserve">19</w:t>
            </w:r>
          </w:p>
        </w:tc>
        <w:tc>
          <w:tcPr>
            <w:tcW w:type="dxa" w:w="3900"/>
            <w:tcMar>
              <w:top w:type="dxa" w:w="60"/>
              <w:left w:type="dxa" w:w="100"/>
              <w:bottom w:type="dxa" w:w="60"/>
              <w:right w:type="dxa" w:w="100"/>
            </w:tcMar>
          </w:tcPr>
          <w:p>
            <w:pPr>
              <w:spacing w:after="60" w:line="260"/>
            </w:pPr>
            <w:r>
              <w:rPr>
                <w:b w:val="false"/>
                <w:bCs w:val="false"/>
                <w:sz w:val="20"/>
                <w:szCs w:val="20"/>
              </w:rPr>
              <w:t xml:space="preserve">Genders RE, Marsidi N, Michi M, Henny EP, Goeman JJ, van Kester MS. Incomplete excision of cutaneous squamous cell carcinoma; systematic review of the literature. Acta Derm Venereol. 2020;100(6):adv00084.</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Systematic review of incomplete excision of cSCC (pooled 13%); replaces the unsupported recurrence statistic.</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20</w:t>
            </w:r>
          </w:p>
        </w:tc>
        <w:tc>
          <w:tcPr>
            <w:tcW w:type="dxa" w:w="3900"/>
            <w:tcMar>
              <w:top w:type="dxa" w:w="60"/>
              <w:left w:type="dxa" w:w="100"/>
              <w:bottom w:type="dxa" w:w="60"/>
              <w:right w:type="dxa" w:w="100"/>
            </w:tcMar>
          </w:tcPr>
          <w:p>
            <w:pPr>
              <w:spacing w:after="60" w:line="260"/>
            </w:pPr>
            <w:r>
              <w:rPr>
                <w:b w:val="false"/>
                <w:bCs w:val="false"/>
                <w:sz w:val="20"/>
                <w:szCs w:val="20"/>
              </w:rPr>
              <w:t xml:space="preserve">Bovill ES, Banwell PE. Re-excision of incompletely excised cutaneous squamous cell carcinoma: histological findings influence prognosis. J Plast Reconstr Aesthet Surg. 2012;65:1390-1395.</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Residual tumour and recurrence after re-excision of incompletely excised cSCC (29% versus 5%).</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21</w:t>
            </w:r>
          </w:p>
        </w:tc>
        <w:tc>
          <w:tcPr>
            <w:tcW w:type="dxa" w:w="3900"/>
            <w:tcMar>
              <w:top w:type="dxa" w:w="60"/>
              <w:left w:type="dxa" w:w="100"/>
              <w:bottom w:type="dxa" w:w="60"/>
              <w:right w:type="dxa" w:w="100"/>
            </w:tcMar>
          </w:tcPr>
          <w:p>
            <w:pPr>
              <w:spacing w:after="60" w:line="260"/>
            </w:pPr>
            <w:r>
              <w:rPr>
                <w:b w:val="false"/>
                <w:bCs w:val="false"/>
                <w:sz w:val="20"/>
                <w:szCs w:val="20"/>
              </w:rPr>
              <w:t xml:space="preserve">Alam M, Armstrong A, Baum C, Bordeaux JS, Brown M, Busam KJ, et al. Guidelines of care for the management of cutaneous squamous cell carcinoma. J Am Acad Dermatol. 2018;78(3):560-578.</w:t>
            </w:r>
          </w:p>
        </w:tc>
        <w:tc>
          <w:tcPr>
            <w:tcW w:type="dxa" w:w="1350"/>
            <w:tcMar>
              <w:top w:type="dxa" w:w="60"/>
              <w:left w:type="dxa" w:w="100"/>
              <w:bottom w:type="dxa" w:w="60"/>
              <w:right w:type="dxa" w:w="100"/>
            </w:tcMar>
          </w:tcPr>
          <w:p>
            <w:pPr>
              <w:spacing w:after="60" w:line="260"/>
            </w:pPr>
            <w:r>
              <w:rPr>
                <w:b w:val="false"/>
                <w:bCs w:val="false"/>
                <w:sz w:val="20"/>
                <w:szCs w:val="20"/>
              </w:rPr>
              <w:t xml:space="preserve">Kept, verified</w:t>
            </w:r>
          </w:p>
        </w:tc>
        <w:tc>
          <w:tcPr>
            <w:tcW w:type="dxa" w:w="3326"/>
            <w:tcMar>
              <w:top w:type="dxa" w:w="60"/>
              <w:left w:type="dxa" w:w="100"/>
              <w:bottom w:type="dxa" w:w="60"/>
              <w:right w:type="dxa" w:w="100"/>
            </w:tcMar>
          </w:tcPr>
          <w:p>
            <w:pPr>
              <w:spacing w:after="60" w:line="260"/>
            </w:pPr>
            <w:r>
              <w:rPr>
                <w:b w:val="false"/>
                <w:bCs w:val="false"/>
                <w:sz w:val="20"/>
                <w:szCs w:val="20"/>
              </w:rPr>
              <w:t xml:space="preserve">American Academy of Dermatology cSCC guideline. Author listing follows the Work Group masthead (Alam M et al.); PubMed indexes it under Kim JYS et al. Either form is acceptable.</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22</w:t>
            </w:r>
          </w:p>
        </w:tc>
        <w:tc>
          <w:tcPr>
            <w:tcW w:type="dxa" w:w="3900"/>
            <w:tcMar>
              <w:top w:type="dxa" w:w="60"/>
              <w:left w:type="dxa" w:w="100"/>
              <w:bottom w:type="dxa" w:w="60"/>
              <w:right w:type="dxa" w:w="100"/>
            </w:tcMar>
          </w:tcPr>
          <w:p>
            <w:pPr>
              <w:spacing w:after="60" w:line="260"/>
            </w:pPr>
            <w:r>
              <w:rPr>
                <w:b w:val="false"/>
                <w:bCs w:val="false"/>
                <w:sz w:val="20"/>
                <w:szCs w:val="20"/>
              </w:rPr>
              <w:t xml:space="preserve">Lansbury L, Bath-Hextall F, Perkins W, Stanton W, Leonardi-Bee J. Interventions for non-metastatic squamous cell carcinoma of the skin: systematic review and pooled analysis of observational studies. BMJ. 2013;347:f6153.</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BMJ systematic review: pooled local recurrence 3.0% after Mohs surgery versus 5.4% after standard excision.</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23</w:t>
            </w:r>
          </w:p>
        </w:tc>
        <w:tc>
          <w:tcPr>
            <w:tcW w:type="dxa" w:w="3900"/>
            <w:tcMar>
              <w:top w:type="dxa" w:w="60"/>
              <w:left w:type="dxa" w:w="100"/>
              <w:bottom w:type="dxa" w:w="60"/>
              <w:right w:type="dxa" w:w="100"/>
            </w:tcMar>
          </w:tcPr>
          <w:p>
            <w:pPr>
              <w:spacing w:after="60" w:line="260"/>
            </w:pPr>
            <w:r>
              <w:rPr>
                <w:b w:val="false"/>
                <w:bCs w:val="false"/>
                <w:sz w:val="20"/>
                <w:szCs w:val="20"/>
              </w:rPr>
              <w:t xml:space="preserve">Leibovitch I, Huilgol SC, Selva D, Hill D, Richards S, Paver R. Cutaneous squamous cell carcinoma treated with Mohs micrographic surgery in Australia I. Experience over 10 years. J Am Acad Dermatol. 2005;53(2):253-260.</w:t>
            </w:r>
          </w:p>
        </w:tc>
        <w:tc>
          <w:tcPr>
            <w:tcW w:type="dxa" w:w="1350"/>
            <w:tcMar>
              <w:top w:type="dxa" w:w="60"/>
              <w:left w:type="dxa" w:w="100"/>
              <w:bottom w:type="dxa" w:w="60"/>
              <w:right w:type="dxa" w:w="100"/>
            </w:tcMar>
          </w:tcPr>
          <w:p>
            <w:pPr>
              <w:spacing w:after="60" w:line="260"/>
            </w:pPr>
            <w:r>
              <w:rPr>
                <w:b w:val="false"/>
                <w:bCs w:val="false"/>
                <w:sz w:val="20"/>
                <w:szCs w:val="20"/>
              </w:rPr>
              <w:t xml:space="preserve">Replaced</w:t>
            </w:r>
          </w:p>
        </w:tc>
        <w:tc>
          <w:tcPr>
            <w:tcW w:type="dxa" w:w="3326"/>
            <w:tcMar>
              <w:top w:type="dxa" w:w="60"/>
              <w:left w:type="dxa" w:w="100"/>
              <w:bottom w:type="dxa" w:w="60"/>
              <w:right w:type="dxa" w:w="100"/>
            </w:tcMar>
          </w:tcPr>
          <w:p>
            <w:pPr>
              <w:spacing w:after="60" w:line="260"/>
            </w:pPr>
            <w:r>
              <w:rPr>
                <w:b w:val="false"/>
                <w:bCs w:val="false"/>
                <w:sz w:val="20"/>
                <w:szCs w:val="20"/>
              </w:rPr>
              <w:t xml:space="preserve">The original list cited Leibovitch et al. 2005 on Bowen's disease (JAAD 52:997-1002) for Mohs surgery in invasive SCC. Replaced with the correct companion paper on invasive cSCC treated with Mohs surgery (JAAD 53:253-260).</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24</w:t>
            </w:r>
          </w:p>
        </w:tc>
        <w:tc>
          <w:tcPr>
            <w:tcW w:type="dxa" w:w="3900"/>
            <w:tcMar>
              <w:top w:type="dxa" w:w="60"/>
              <w:left w:type="dxa" w:w="100"/>
              <w:bottom w:type="dxa" w:w="60"/>
              <w:right w:type="dxa" w:w="100"/>
            </w:tcMar>
          </w:tcPr>
          <w:p>
            <w:pPr>
              <w:spacing w:after="60" w:line="260"/>
            </w:pPr>
            <w:r>
              <w:rPr>
                <w:b w:val="false"/>
                <w:bCs w:val="false"/>
                <w:sz w:val="20"/>
                <w:szCs w:val="20"/>
              </w:rPr>
              <w:t xml:space="preserve">Newlands C, Currie R, Memon A, Whitaker S, Woolford T. Non-melanoma skin cancer: United Kingdom National Multidisciplinary Guidelines. J Laryngol Otol. 2016;130(S2):S125-S132.</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UK national multidisciplinary guideline: at least 6 mm margins for high-risk cSCC and delayed reconstruction.</w:t>
            </w:r>
          </w:p>
        </w:tc>
      </w:tr>
      <w:tr>
        <w:tc>
          <w:tcPr>
            <w:tcW w:type="dxa" w:w="450"/>
            <w:tcMar>
              <w:top w:type="dxa" w:w="60"/>
              <w:left w:type="dxa" w:w="100"/>
              <w:bottom w:type="dxa" w:w="60"/>
              <w:right w:type="dxa" w:w="100"/>
            </w:tcMar>
          </w:tcPr>
          <w:p>
            <w:pPr>
              <w:spacing w:after="60" w:line="260"/>
            </w:pPr>
            <w:r>
              <w:rPr>
                <w:b w:val="false"/>
                <w:bCs w:val="false"/>
                <w:sz w:val="20"/>
                <w:szCs w:val="20"/>
              </w:rPr>
              <w:t xml:space="preserve">25</w:t>
            </w:r>
          </w:p>
        </w:tc>
        <w:tc>
          <w:tcPr>
            <w:tcW w:type="dxa" w:w="3900"/>
            <w:tcMar>
              <w:top w:type="dxa" w:w="60"/>
              <w:left w:type="dxa" w:w="100"/>
              <w:bottom w:type="dxa" w:w="60"/>
              <w:right w:type="dxa" w:w="100"/>
            </w:tcMar>
          </w:tcPr>
          <w:p>
            <w:pPr>
              <w:spacing w:after="60" w:line="260"/>
            </w:pPr>
            <w:r>
              <w:rPr>
                <w:b w:val="false"/>
                <w:bCs w:val="false"/>
                <w:sz w:val="20"/>
                <w:szCs w:val="20"/>
              </w:rPr>
              <w:t xml:space="preserve">Lookingbill DP, Lookingbill GL, Leppard B. Actinic damage and skin cancer in albinos in northern Tanzania: findings in 164 patients enrolled in an outreach skin care program. J Am Acad Dermatol. 1995;32(4):653-658.</w:t>
            </w:r>
          </w:p>
        </w:tc>
        <w:tc>
          <w:tcPr>
            <w:tcW w:type="dxa" w:w="1350"/>
            <w:tcMar>
              <w:top w:type="dxa" w:w="60"/>
              <w:left w:type="dxa" w:w="100"/>
              <w:bottom w:type="dxa" w:w="60"/>
              <w:right w:type="dxa" w:w="100"/>
            </w:tcMar>
          </w:tcPr>
          <w:p>
            <w:pPr>
              <w:spacing w:after="60" w:line="260"/>
            </w:pPr>
            <w:r>
              <w:rPr>
                <w:b w:val="false"/>
                <w:bCs w:val="false"/>
                <w:sz w:val="20"/>
                <w:szCs w:val="20"/>
              </w:rPr>
              <w:t xml:space="preserve">Added</w:t>
            </w:r>
          </w:p>
        </w:tc>
        <w:tc>
          <w:tcPr>
            <w:tcW w:type="dxa" w:w="3326"/>
            <w:tcMar>
              <w:top w:type="dxa" w:w="60"/>
              <w:left w:type="dxa" w:w="100"/>
              <w:bottom w:type="dxa" w:w="60"/>
              <w:right w:type="dxa" w:w="100"/>
            </w:tcMar>
          </w:tcPr>
          <w:p>
            <w:pPr>
              <w:spacing w:after="60" w:line="260"/>
            </w:pPr>
            <w:r>
              <w:rPr>
                <w:b w:val="false"/>
                <w:bCs w:val="false"/>
                <w:sz w:val="20"/>
                <w:szCs w:val="20"/>
              </w:rPr>
              <w:t xml:space="preserve">Outreach skin-care programme for people with albinism in northern Tanzania; supports the community-based screening recommendation.</w:t>
            </w:r>
          </w:p>
        </w:tc>
      </w:tr>
    </w:tbl>
    <w:p>
      <w:pPr>
        <w:spacing w:after="140" w:line="300"/>
      </w:pPr>
      <w:r>
        <w:t xml:space="preserve"/>
      </w:r>
    </w:p>
    <w:p>
      <w:pPr>
        <w:spacing w:after="140" w:line="300"/>
      </w:pPr>
      <w:r>
        <w:rPr>
          <w:b/>
          <w:bCs/>
        </w:rPr>
        <w:t xml:space="preserve">Removed: </w:t>
      </w:r>
      <w:r>
        <w:t xml:space="preserve">Leibovitch I, Huilgol SC, Selva D, Richards S, Paver R. Cutaneous squamous carcinoma in situ (Bowen's disease): treatment with Mohs micrographic surgery. J Am Acad Dermatol 2005;52(6):997-1002. Wrong paper for the claim; replaced by reference 23.</w:t>
      </w:r>
    </w:p>
    <w:p>
      <w:pPr>
        <w:spacing w:after="140" w:line="300"/>
      </w:pPr>
      <w:r>
        <w:rPr>
          <w:b/>
          <w:bCs/>
        </w:rPr>
        <w:t xml:space="preserve">Note on currency: </w:t>
      </w:r>
      <w:r>
        <w:t xml:space="preserve">the European cSCC guideline was updated in July 2026 (reference 15). If your target journal's editorial timeline is long, check whether the BAD guideline (reference 14) has also been updated before final submission.</w:t>
      </w:r>
    </w:p>
    <w:p>
      <w:pPr>
        <w:pStyle w:val="Heading1"/>
        <w:spacing w:after="160" w:before="360"/>
      </w:pPr>
      <w:r>
        <w:rPr>
          <w:rFonts w:ascii="Times New Roman" w:cs="Times New Roman" w:eastAsia="Times New Roman" w:hAnsi="Times New Roman"/>
          <w:b/>
          <w:bCs/>
          <w:color w:val="1F4E79"/>
          <w:sz w:val="28"/>
          <w:szCs w:val="28"/>
        </w:rPr>
        <w:t xml:space="preserve">5. Using the EndNote files</w:t>
      </w:r>
    </w:p>
    <w:p>
      <w:pPr>
        <w:spacing w:after="140" w:line="300"/>
      </w:pPr>
      <w:r>
        <w:t xml:space="preserve">Two ways of working are provided so that the referencing is EndNote-compatible whichever the corresponding author prefers.</w:t>
      </w:r>
    </w:p>
    <w:p>
      <w:pPr>
        <w:pStyle w:val="Heading2"/>
        <w:spacing w:after="120" w:before="240"/>
      </w:pPr>
      <w:r>
        <w:rPr>
          <w:rFonts w:ascii="Times New Roman" w:cs="Times New Roman" w:eastAsia="Times New Roman" w:hAnsi="Times New Roman"/>
          <w:b/>
          <w:bCs/>
          <w:color w:val="2E7D32"/>
          <w:sz w:val="24"/>
          <w:szCs w:val="24"/>
        </w:rPr>
        <w:t xml:space="preserve">Option A: keep the formatted manuscript</w:t>
      </w:r>
    </w:p>
    <w:p>
      <w:pPr>
        <w:spacing w:after="140" w:line="300"/>
      </w:pPr>
      <w:r>
        <w:t xml:space="preserve">The REVISED manuscript already contains numbered Vancouver citations and a Vancouver reference list with DOIs, produced from the verified database. It can be submitted as it stands. If the journal wants superscript numbers or a different style, EndNote is not needed; a find-and-replace on the bracketed numbers is enough.</w:t>
      </w:r>
    </w:p>
    <w:p>
      <w:pPr>
        <w:pStyle w:val="Heading2"/>
        <w:spacing w:after="120" w:before="240"/>
      </w:pPr>
      <w:r>
        <w:rPr>
          <w:rFonts w:ascii="Times New Roman" w:cs="Times New Roman" w:eastAsia="Times New Roman" w:hAnsi="Times New Roman"/>
          <w:b/>
          <w:bCs/>
          <w:color w:val="2E7D32"/>
          <w:sz w:val="24"/>
          <w:szCs w:val="24"/>
        </w:rPr>
        <w:t xml:space="preserve">Option B: let EndNote manage the citations</w:t>
      </w:r>
    </w:p>
    <w:p>
      <w:pPr>
        <w:pStyle w:val="ListParagraph"/>
        <w:numPr>
          <w:ilvl w:val="0"/>
          <w:numId w:val="3"/>
        </w:numPr>
        <w:spacing w:after="100" w:line="300"/>
      </w:pPr>
      <w:r>
        <w:t xml:space="preserve">In EndNote, create a new, empty library (File &gt; New). This matters: the record numbers in the working copy are 1 to 25 in import order, and they will only match if the library is empty.</w:t>
      </w:r>
    </w:p>
    <w:p>
      <w:pPr>
        <w:pStyle w:val="ListParagraph"/>
        <w:numPr>
          <w:ilvl w:val="0"/>
          <w:numId w:val="3"/>
        </w:numPr>
        <w:spacing w:after="100" w:line="300"/>
      </w:pPr>
      <w:r>
        <w:t xml:space="preserve">File &gt; Import &gt; File. Choose Msangi_et_al_references_EndNote.ris, set Import Option to Reference Manager (RIS), Duplicates to Import All, Text Translation to UTF-8. Twenty-five records appear, numbered 1 to 25.</w:t>
      </w:r>
    </w:p>
    <w:p>
      <w:pPr>
        <w:pStyle w:val="ListParagraph"/>
        <w:numPr>
          <w:ilvl w:val="0"/>
          <w:numId w:val="3"/>
        </w:numPr>
        <w:spacing w:after="100" w:line="300"/>
      </w:pPr>
      <w:r>
        <w:t xml:space="preserve">Open Msangi_et_al_case_report_EndNote_working_copy.docx in Word. The in-text citations are EndNote temporary citations, for example {Fernández, 2021 #1} and {Luande, 1985 #4; Mabula, 2012 #5}.</w:t>
      </w:r>
    </w:p>
    <w:p>
      <w:pPr>
        <w:pStyle w:val="ListParagraph"/>
        <w:numPr>
          <w:ilvl w:val="0"/>
          <w:numId w:val="3"/>
        </w:numPr>
        <w:spacing w:after="100" w:line="300"/>
      </w:pPr>
      <w:r>
        <w:t xml:space="preserve">On the EndNote tab in Word, choose the output style (Vancouver, or the journal's own style downloaded from EndNote's style repository), then click Update Citations and Bibliography. EndNote converts every temporary citation to a formatted citation and builds the reference list at the end of the document.</w:t>
      </w:r>
    </w:p>
    <w:p>
      <w:pPr>
        <w:pStyle w:val="ListParagraph"/>
        <w:numPr>
          <w:ilvl w:val="0"/>
          <w:numId w:val="3"/>
        </w:numPr>
        <w:spacing w:after="100" w:line="300"/>
      </w:pPr>
      <w:r>
        <w:t xml:space="preserve">If you import the RIS file into an existing library instead, the record numbers will differ. EndNote will then open a dialogue for each citation asking you to pick the matching record; author and year are unique within this set, so the choice is unambiguous. Alternatively, select all citations and use Edit and Manage Citations to re-link them.</w:t>
      </w:r>
    </w:p>
    <w:p>
      <w:pPr>
        <w:pStyle w:val="ListParagraph"/>
        <w:numPr>
          <w:ilvl w:val="0"/>
          <w:numId w:val="3"/>
        </w:numPr>
        <w:spacing w:after="100" w:line="300"/>
      </w:pPr>
      <w:r>
        <w:t xml:space="preserve">After formatting, delete the bracketed note under the References heading and the italic note on the title page; both were placed there only to explain the working copy.</w:t>
      </w:r>
    </w:p>
    <w:p>
      <w:pPr>
        <w:pStyle w:val="Heading1"/>
        <w:spacing w:after="160" w:before="360"/>
      </w:pPr>
      <w:r>
        <w:rPr>
          <w:rFonts w:ascii="Times New Roman" w:cs="Times New Roman" w:eastAsia="Times New Roman" w:hAnsi="Times New Roman"/>
          <w:b/>
          <w:bCs/>
          <w:color w:val="1F4E79"/>
          <w:sz w:val="28"/>
          <w:szCs w:val="28"/>
        </w:rPr>
        <w:t xml:space="preserve">6. Suggested target journals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3300"/>
        <w:gridCol w:w="3426"/>
      </w:tblGrid>
      <w:tr>
        <w:trPr>
          <w:tblHeader/>
        </w:trPr>
        <w:tc>
          <w:tcPr>
            <w:tcW w:type="dxa" w:w="2300"/>
            <w:shd w:fill="DCE6F1" w:color="auto" w:val="clear"/>
            <w:tcMar>
              <w:top w:type="dxa" w:w="60"/>
              <w:left w:type="dxa" w:w="100"/>
              <w:bottom w:type="dxa" w:w="60"/>
              <w:right w:type="dxa" w:w="100"/>
            </w:tcMar>
          </w:tcPr>
          <w:p>
            <w:pPr>
              <w:spacing w:after="60" w:line="260"/>
            </w:pPr>
            <w:r>
              <w:rPr>
                <w:b/>
                <w:bCs/>
                <w:sz w:val="20"/>
                <w:szCs w:val="20"/>
              </w:rPr>
              <w:t xml:space="preserve">Journal</w:t>
            </w:r>
          </w:p>
        </w:tc>
        <w:tc>
          <w:tcPr>
            <w:tcW w:type="dxa" w:w="3300"/>
            <w:shd w:fill="DCE6F1" w:color="auto" w:val="clear"/>
            <w:tcMar>
              <w:top w:type="dxa" w:w="60"/>
              <w:left w:type="dxa" w:w="100"/>
              <w:bottom w:type="dxa" w:w="60"/>
              <w:right w:type="dxa" w:w="100"/>
            </w:tcMar>
          </w:tcPr>
          <w:p>
            <w:pPr>
              <w:spacing w:after="60" w:line="260"/>
            </w:pPr>
            <w:r>
              <w:rPr>
                <w:b/>
                <w:bCs/>
                <w:sz w:val="20"/>
                <w:szCs w:val="20"/>
              </w:rPr>
              <w:t xml:space="preserve">Fit</w:t>
            </w:r>
          </w:p>
        </w:tc>
        <w:tc>
          <w:tcPr>
            <w:tcW w:type="dxa" w:w="3426"/>
            <w:shd w:fill="DCE6F1" w:color="auto" w:val="clear"/>
            <w:tcMar>
              <w:top w:type="dxa" w:w="60"/>
              <w:left w:type="dxa" w:w="100"/>
              <w:bottom w:type="dxa" w:w="60"/>
              <w:right w:type="dxa" w:w="100"/>
            </w:tcMar>
          </w:tcPr>
          <w:p>
            <w:pPr>
              <w:spacing w:after="60" w:line="260"/>
            </w:pPr>
            <w:r>
              <w:rPr>
                <w:b/>
                <w:bCs/>
                <w:sz w:val="20"/>
                <w:szCs w:val="20"/>
              </w:rPr>
              <w:t xml:space="preserve">Formatting notes</w:t>
            </w:r>
          </w:p>
        </w:tc>
      </w:tr>
      <w:tr>
        <w:tc>
          <w:tcPr>
            <w:tcW w:type="dxa" w:w="2300"/>
            <w:tcMar>
              <w:top w:type="dxa" w:w="60"/>
              <w:left w:type="dxa" w:w="100"/>
              <w:bottom w:type="dxa" w:w="60"/>
              <w:right w:type="dxa" w:w="100"/>
            </w:tcMar>
          </w:tcPr>
          <w:p>
            <w:pPr>
              <w:spacing w:after="60" w:line="260"/>
            </w:pPr>
            <w:r>
              <w:rPr>
                <w:b w:val="false"/>
                <w:bCs w:val="false"/>
                <w:sz w:val="20"/>
                <w:szCs w:val="20"/>
              </w:rPr>
              <w:t xml:space="preserve">Journal of Medical Case Reports (BMC)</w:t>
            </w:r>
          </w:p>
        </w:tc>
        <w:tc>
          <w:tcPr>
            <w:tcW w:type="dxa" w:w="3300"/>
            <w:tcMar>
              <w:top w:type="dxa" w:w="60"/>
              <w:left w:type="dxa" w:w="100"/>
              <w:bottom w:type="dxa" w:w="60"/>
              <w:right w:type="dxa" w:w="100"/>
            </w:tcMar>
          </w:tcPr>
          <w:p>
            <w:pPr>
              <w:spacing w:after="60" w:line="260"/>
            </w:pPr>
            <w:r>
              <w:rPr>
                <w:b w:val="false"/>
                <w:bCs w:val="false"/>
                <w:sz w:val="20"/>
                <w:szCs w:val="20"/>
              </w:rPr>
              <w:t xml:space="preserve">Strong. CARE-compliant, indexed in PubMed, publishes cases from low- and middle-income settings that carry a health-systems message.</w:t>
            </w:r>
          </w:p>
        </w:tc>
        <w:tc>
          <w:tcPr>
            <w:tcW w:type="dxa" w:w="3426"/>
            <w:tcMar>
              <w:top w:type="dxa" w:w="60"/>
              <w:left w:type="dxa" w:w="100"/>
              <w:bottom w:type="dxa" w:w="60"/>
              <w:right w:type="dxa" w:w="100"/>
            </w:tcMar>
          </w:tcPr>
          <w:p>
            <w:pPr>
              <w:spacing w:after="60" w:line="260"/>
            </w:pPr>
            <w:r>
              <w:rPr>
                <w:b w:val="false"/>
                <w:bCs w:val="false"/>
                <w:sz w:val="20"/>
                <w:szCs w:val="20"/>
              </w:rPr>
              <w:t xml:space="preserve">Structure and Declarations in the revised manuscript already follow its template. Vancouver, British or American spelling accepted if consistent. Article processing charge applies; check the current waiver and discount policy for corresponding authors based in Tanzania.</w:t>
            </w:r>
          </w:p>
        </w:tc>
      </w:tr>
      <w:tr>
        <w:tc>
          <w:tcPr>
            <w:tcW w:type="dxa" w:w="2300"/>
            <w:tcMar>
              <w:top w:type="dxa" w:w="60"/>
              <w:left w:type="dxa" w:w="100"/>
              <w:bottom w:type="dxa" w:w="60"/>
              <w:right w:type="dxa" w:w="100"/>
            </w:tcMar>
          </w:tcPr>
          <w:p>
            <w:pPr>
              <w:spacing w:after="60" w:line="260"/>
            </w:pPr>
            <w:r>
              <w:rPr>
                <w:b w:val="false"/>
                <w:bCs w:val="false"/>
                <w:sz w:val="20"/>
                <w:szCs w:val="20"/>
              </w:rPr>
              <w:t xml:space="preserve">Oxford Medical Case Reports</w:t>
            </w:r>
          </w:p>
        </w:tc>
        <w:tc>
          <w:tcPr>
            <w:tcW w:type="dxa" w:w="3300"/>
            <w:tcMar>
              <w:top w:type="dxa" w:w="60"/>
              <w:left w:type="dxa" w:w="100"/>
              <w:bottom w:type="dxa" w:w="60"/>
              <w:right w:type="dxa" w:w="100"/>
            </w:tcMar>
          </w:tcPr>
          <w:p>
            <w:pPr>
              <w:spacing w:after="60" w:line="260"/>
            </w:pPr>
            <w:r>
              <w:rPr>
                <w:b w:val="false"/>
                <w:bCs w:val="false"/>
                <w:sz w:val="20"/>
                <w:szCs w:val="20"/>
              </w:rPr>
              <w:t xml:space="preserve">Good. Broad clinical readership, PubMed indexed.</w:t>
            </w:r>
          </w:p>
        </w:tc>
        <w:tc>
          <w:tcPr>
            <w:tcW w:type="dxa" w:w="3426"/>
            <w:tcMar>
              <w:top w:type="dxa" w:w="60"/>
              <w:left w:type="dxa" w:w="100"/>
              <w:bottom w:type="dxa" w:w="60"/>
              <w:right w:type="dxa" w:w="100"/>
            </w:tcMar>
          </w:tcPr>
          <w:p>
            <w:pPr>
              <w:spacing w:after="60" w:line="260"/>
            </w:pPr>
            <w:r>
              <w:rPr>
                <w:b w:val="false"/>
                <w:bCs w:val="false"/>
                <w:sz w:val="20"/>
                <w:szCs w:val="20"/>
              </w:rPr>
              <w:t xml:space="preserve">Vancouver numbered; word limits are generous for this length. Requires consent form on request.</w:t>
            </w:r>
          </w:p>
        </w:tc>
      </w:tr>
      <w:tr>
        <w:tc>
          <w:tcPr>
            <w:tcW w:type="dxa" w:w="2300"/>
            <w:tcMar>
              <w:top w:type="dxa" w:w="60"/>
              <w:left w:type="dxa" w:w="100"/>
              <w:bottom w:type="dxa" w:w="60"/>
              <w:right w:type="dxa" w:w="100"/>
            </w:tcMar>
          </w:tcPr>
          <w:p>
            <w:pPr>
              <w:spacing w:after="60" w:line="260"/>
            </w:pPr>
            <w:r>
              <w:rPr>
                <w:b w:val="false"/>
                <w:bCs w:val="false"/>
                <w:sz w:val="20"/>
                <w:szCs w:val="20"/>
              </w:rPr>
              <w:t xml:space="preserve">Clinical Case Reports (Wiley)</w:t>
            </w:r>
          </w:p>
        </w:tc>
        <w:tc>
          <w:tcPr>
            <w:tcW w:type="dxa" w:w="3300"/>
            <w:tcMar>
              <w:top w:type="dxa" w:w="60"/>
              <w:left w:type="dxa" w:w="100"/>
              <w:bottom w:type="dxa" w:w="60"/>
              <w:right w:type="dxa" w:w="100"/>
            </w:tcMar>
          </w:tcPr>
          <w:p>
            <w:pPr>
              <w:spacing w:after="60" w:line="260"/>
            </w:pPr>
            <w:r>
              <w:rPr>
                <w:b w:val="false"/>
                <w:bCs w:val="false"/>
                <w:sz w:val="20"/>
                <w:szCs w:val="20"/>
              </w:rPr>
              <w:t xml:space="preserve">Good. Open access, values educational cases with high-quality images.</w:t>
            </w:r>
          </w:p>
        </w:tc>
        <w:tc>
          <w:tcPr>
            <w:tcW w:type="dxa" w:w="3426"/>
            <w:tcMar>
              <w:top w:type="dxa" w:w="60"/>
              <w:left w:type="dxa" w:w="100"/>
              <w:bottom w:type="dxa" w:w="60"/>
              <w:right w:type="dxa" w:w="100"/>
            </w:tcMar>
          </w:tcPr>
          <w:p>
            <w:pPr>
              <w:spacing w:after="60" w:line="260"/>
            </w:pPr>
            <w:r>
              <w:rPr>
                <w:b w:val="false"/>
                <w:bCs w:val="false"/>
                <w:sz w:val="20"/>
                <w:szCs w:val="20"/>
              </w:rPr>
              <w:t xml:space="preserve">Asks for a 'key clinical message'; the first sentence of the Conclusions can be used. Figure resolution requirement is strict.</w:t>
            </w:r>
          </w:p>
        </w:tc>
      </w:tr>
      <w:tr>
        <w:tc>
          <w:tcPr>
            <w:tcW w:type="dxa" w:w="2300"/>
            <w:tcMar>
              <w:top w:type="dxa" w:w="60"/>
              <w:left w:type="dxa" w:w="100"/>
              <w:bottom w:type="dxa" w:w="60"/>
              <w:right w:type="dxa" w:w="100"/>
            </w:tcMar>
          </w:tcPr>
          <w:p>
            <w:pPr>
              <w:spacing w:after="60" w:line="260"/>
            </w:pPr>
            <w:r>
              <w:rPr>
                <w:b w:val="false"/>
                <w:bCs w:val="false"/>
                <w:sz w:val="20"/>
                <w:szCs w:val="20"/>
              </w:rPr>
              <w:t xml:space="preserve">Pan African Medical Journal</w:t>
            </w:r>
          </w:p>
        </w:tc>
        <w:tc>
          <w:tcPr>
            <w:tcW w:type="dxa" w:w="3300"/>
            <w:tcMar>
              <w:top w:type="dxa" w:w="60"/>
              <w:left w:type="dxa" w:w="100"/>
              <w:bottom w:type="dxa" w:w="60"/>
              <w:right w:type="dxa" w:w="100"/>
            </w:tcMar>
          </w:tcPr>
          <w:p>
            <w:pPr>
              <w:spacing w:after="60" w:line="260"/>
            </w:pPr>
            <w:r>
              <w:rPr>
                <w:b w:val="false"/>
                <w:bCs w:val="false"/>
                <w:sz w:val="20"/>
                <w:szCs w:val="20"/>
              </w:rPr>
              <w:t xml:space="preserve">Good regional fit and lower cost; widely read in East Africa.</w:t>
            </w:r>
          </w:p>
        </w:tc>
        <w:tc>
          <w:tcPr>
            <w:tcW w:type="dxa" w:w="3426"/>
            <w:tcMar>
              <w:top w:type="dxa" w:w="60"/>
              <w:left w:type="dxa" w:w="100"/>
              <w:bottom w:type="dxa" w:w="60"/>
              <w:right w:type="dxa" w:w="100"/>
            </w:tcMar>
          </w:tcPr>
          <w:p>
            <w:pPr>
              <w:spacing w:after="60" w:line="260"/>
            </w:pPr>
            <w:r>
              <w:rPr>
                <w:b w:val="false"/>
                <w:bCs w:val="false"/>
                <w:sz w:val="20"/>
                <w:szCs w:val="20"/>
              </w:rPr>
              <w:t xml:space="preserve">Vancouver numbered; British spelling; case report word limit is compatible with this manuscript.</w:t>
            </w:r>
          </w:p>
        </w:tc>
      </w:tr>
      <w:tr>
        <w:tc>
          <w:tcPr>
            <w:tcW w:type="dxa" w:w="2300"/>
            <w:tcMar>
              <w:top w:type="dxa" w:w="60"/>
              <w:left w:type="dxa" w:w="100"/>
              <w:bottom w:type="dxa" w:w="60"/>
              <w:right w:type="dxa" w:w="100"/>
            </w:tcMar>
          </w:tcPr>
          <w:p>
            <w:pPr>
              <w:spacing w:after="60" w:line="260"/>
            </w:pPr>
            <w:r>
              <w:rPr>
                <w:b w:val="false"/>
                <w:bCs w:val="false"/>
                <w:sz w:val="20"/>
                <w:szCs w:val="20"/>
              </w:rPr>
              <w:t xml:space="preserve">JAAD Case Reports</w:t>
            </w:r>
          </w:p>
        </w:tc>
        <w:tc>
          <w:tcPr>
            <w:tcW w:type="dxa" w:w="3300"/>
            <w:tcMar>
              <w:top w:type="dxa" w:w="60"/>
              <w:left w:type="dxa" w:w="100"/>
              <w:bottom w:type="dxa" w:w="60"/>
              <w:right w:type="dxa" w:w="100"/>
            </w:tcMar>
          </w:tcPr>
          <w:p>
            <w:pPr>
              <w:spacing w:after="60" w:line="260"/>
            </w:pPr>
            <w:r>
              <w:rPr>
                <w:b w:val="false"/>
                <w:bCs w:val="false"/>
                <w:sz w:val="20"/>
                <w:szCs w:val="20"/>
              </w:rPr>
              <w:t xml:space="preserve">Possible. Dermatology-specific and widely read, but the manuscript would need shortening (about 1,000 words of text) and American spelling.</w:t>
            </w:r>
          </w:p>
        </w:tc>
        <w:tc>
          <w:tcPr>
            <w:tcW w:type="dxa" w:w="3426"/>
            <w:tcMar>
              <w:top w:type="dxa" w:w="60"/>
              <w:left w:type="dxa" w:w="100"/>
              <w:bottom w:type="dxa" w:w="60"/>
              <w:right w:type="dxa" w:w="100"/>
            </w:tcMar>
          </w:tcPr>
          <w:p>
            <w:pPr>
              <w:spacing w:after="60" w:line="260"/>
            </w:pPr>
            <w:r>
              <w:rPr>
                <w:b w:val="false"/>
                <w:bCs w:val="false"/>
                <w:sz w:val="20"/>
                <w:szCs w:val="20"/>
              </w:rPr>
              <w:t xml:space="preserve">Superscript citations; strict figure requirements; 3 figures allowed.</w:t>
            </w:r>
          </w:p>
        </w:tc>
      </w:tr>
    </w:tbl>
    <w:p>
      <w:pPr>
        <w:pStyle w:val="Heading1"/>
        <w:spacing w:after="160" w:before="360"/>
      </w:pPr>
      <w:r>
        <w:rPr>
          <w:rFonts w:ascii="Times New Roman" w:cs="Times New Roman" w:eastAsia="Times New Roman" w:hAnsi="Times New Roman"/>
          <w:b/>
          <w:bCs/>
          <w:color w:val="1F4E79"/>
          <w:sz w:val="28"/>
          <w:szCs w:val="28"/>
        </w:rPr>
        <w:t xml:space="preserve">7. Closing note</w:t>
      </w:r>
    </w:p>
    <w:p>
      <w:pPr>
        <w:spacing w:after="140" w:line="300"/>
      </w:pPr>
      <w:r>
        <w:t xml:space="preserve">The revised manuscript is written to be submitted without further editing once the twelve items in Section 3 have been checked. The most important of them are items 1 (site), 4 (histological detail) and 6 (follow-up result), because they are the three things a referee is most likely to ask about. If the orbital MRI has been done, its result would make a considerably stronger Outcome section and should be added before submission.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Editorial review report,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Editorial review</dc:creator>
  <cp:lastModifiedBy>Un-named</cp:lastModifiedBy>
  <cp:revision>1</cp:revision>
  <dcterms:created xsi:type="dcterms:W3CDTF">2026-09-29T04:19:12.873Z</dcterms:created>
  <dcterms:modified xsi:type="dcterms:W3CDTF">2026-09-29T04:19:12.883Z</dcterms:modified>
</cp:coreProperties>
</file>

<file path=docProps/custom.xml><?xml version="1.0" encoding="utf-8"?>
<Properties xmlns="http://schemas.openxmlformats.org/officeDocument/2006/custom-properties" xmlns:vt="http://schemas.openxmlformats.org/officeDocument/2006/docPropsVTypes"/>
</file>