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left"/>
      </w:pPr>
      <w:r>
        <w:rPr>
          <w:b/>
          <w:bCs/>
          <w:sz w:val="24"/>
          <w:szCs w:val="24"/>
        </w:rPr>
        <w:t xml:space="preserve">Case report</w:t>
      </w:r>
    </w:p>
    <w:p>
      <w:pPr>
        <w:spacing w:after="240" w:line="360"/>
      </w:pPr>
      <w:r>
        <w:rPr>
          <w:b/>
          <w:bCs/>
          <w:sz w:val="28"/>
          <w:szCs w:val="28"/>
        </w:rPr>
        <w:t xml:space="preserve">Metachronous cutaneous squamous cell carcinoma in a Tanzanian woman with oculocutaneous albinism: diagnostic and management challenges in a resource-limited setting. A case report</w:t>
      </w:r>
    </w:p>
    <w:p>
      <w:pPr>
        <w:spacing w:after="200" w:line="360"/>
      </w:pPr>
      <w:r>
        <w:t xml:space="preserve">Elizabeth Msangi</w:t>
      </w:r>
      <w:r>
        <w:rPr>
          <w:vertAlign w:val="superscript"/>
        </w:rPr>
        <w:t xml:space="preserve">1,2</w:t>
      </w:r>
      <w:r>
        <w:t xml:space="preserve">, </w:t>
      </w:r>
      <w:r>
        <w:t xml:space="preserve">Silas Frank Gamba</w:t>
      </w:r>
      <w:r>
        <w:rPr>
          <w:vertAlign w:val="superscript"/>
        </w:rPr>
        <w:t xml:space="preserve">1</w:t>
      </w:r>
      <w:r>
        <w:t xml:space="preserve">, </w:t>
      </w:r>
      <w:r>
        <w:t xml:space="preserve">Evelyna Gasper</w:t>
      </w:r>
      <w:r>
        <w:rPr>
          <w:vertAlign w:val="superscript"/>
        </w:rPr>
        <w:t xml:space="preserve">1*</w:t>
      </w:r>
      <w:r>
        <w:t xml:space="preserve">, </w:t>
      </w:r>
      <w:r>
        <w:t xml:space="preserve">Emmanuel Lusomi</w:t>
      </w:r>
      <w:r>
        <w:rPr>
          <w:vertAlign w:val="superscript"/>
        </w:rPr>
        <w:t xml:space="preserve">1</w:t>
      </w:r>
      <w:r>
        <w:t xml:space="preserve">, </w:t>
      </w:r>
      <w:r>
        <w:t xml:space="preserve">Halima O. Suleimani</w:t>
      </w:r>
      <w:r>
        <w:rPr>
          <w:vertAlign w:val="superscript"/>
        </w:rPr>
        <w:t xml:space="preserve">1</w:t>
      </w:r>
      <w:r>
        <w:t xml:space="preserve">, </w:t>
      </w:r>
      <w:r>
        <w:t xml:space="preserve">Deogratias Mwanjamila</w:t>
      </w:r>
      <w:r>
        <w:rPr>
          <w:vertAlign w:val="superscript"/>
        </w:rPr>
        <w:t xml:space="preserve">3</w:t>
      </w:r>
    </w:p>
    <w:p>
      <w:pPr>
        <w:spacing w:after="60" w:line="300"/>
      </w:pPr>
      <w:r>
        <w:rPr>
          <w:vertAlign w:val="superscript"/>
        </w:rPr>
        <w:t xml:space="preserve">1</w:t>
      </w:r>
      <w:r>
        <w:t xml:space="preserve"> Department of Internal Medicine, Muhimbili University of Health and Allied Sciences, Dar es Salaam, Tanzania</w:t>
      </w:r>
    </w:p>
    <w:p>
      <w:pPr>
        <w:spacing w:after="60" w:line="300"/>
      </w:pPr>
      <w:r>
        <w:rPr>
          <w:vertAlign w:val="superscript"/>
        </w:rPr>
        <w:t xml:space="preserve">2</w:t>
      </w:r>
      <w:r>
        <w:t xml:space="preserve"> Department of Dermatology, Muhimbili National Hospital, Dar es Salaam, Tanzania</w:t>
      </w:r>
    </w:p>
    <w:p>
      <w:pPr>
        <w:spacing w:after="60" w:line="300"/>
      </w:pPr>
      <w:r>
        <w:rPr>
          <w:vertAlign w:val="superscript"/>
        </w:rPr>
        <w:t xml:space="preserve">3</w:t>
      </w:r>
      <w:r>
        <w:t xml:space="preserve"> Department of Pathology, Muhimbili University of Health and Allied Sciences, Dar es Salaam, Tanzania</w:t>
      </w:r>
    </w:p>
    <w:p>
      <w:pPr>
        <w:spacing w:after="60" w:before="200" w:line="300"/>
      </w:pPr>
      <w:r>
        <w:t xml:space="preserve">*Corresponding author: Evelyna Gasper, Department of Internal Medicine, Muhimbili University of Health and Allied Sciences, Dar es Salaam, Tanzania. Email: evegasper21@gmail.com</w:t>
      </w:r>
    </w:p>
    <w:p>
      <w:pPr>
        <w:spacing w:after="60" w:before="200" w:line="300"/>
      </w:pPr>
      <w:r>
        <w:t xml:space="preserve">Word count: abstract 321; main text (Background to Conclusions) 2726. Figures: 3. Tables: 0. References: 25.</w:t>
      </w:r>
    </w:p>
    <w:p>
      <w:r>
        <w:br w:type="page"/>
      </w:r>
    </w:p>
    <w:p>
      <w:pPr>
        <w:pStyle w:val="Heading1"/>
        <w:spacing w:after="160" w:before="320"/>
      </w:pPr>
      <w:r>
        <w:rPr>
          <w:rFonts w:ascii="Times New Roman" w:cs="Times New Roman" w:eastAsia="Times New Roman" w:hAnsi="Times New Roman"/>
          <w:b/>
          <w:bCs/>
          <w:color w:val="000000"/>
          <w:sz w:val="26"/>
          <w:szCs w:val="26"/>
        </w:rPr>
        <w:t xml:space="preserve">Abstract</w:t>
      </w:r>
    </w:p>
    <w:p>
      <w:pPr>
        <w:spacing w:after="160" w:line="360"/>
      </w:pPr>
      <w:r>
        <w:rPr>
          <w:b/>
          <w:bCs/>
        </w:rPr>
        <w:t xml:space="preserve">Background: </w:t>
      </w:r>
      <w:r>
        <w:t xml:space="preserve">Oculocutaneous albinism (OCA) is a group of autosomal recessive disorders of melanin biosynthesis that leaves the skin highly vulnerable to ultraviolet-induced keratinocyte carcinoma. In sub-Saharan Africa, where the prevalence of OCA is among the highest in the world, squamous cell carcinoma (SCC) is the predominant skin cancer in people with albinism; it arises early, is often multiple and is a leading cause of premature death. Second primary tumours are common, yet follow-up in the region is frequently lesion-focused and incomplete.</w:t>
      </w:r>
    </w:p>
    <w:p>
      <w:pPr>
        <w:spacing w:after="160" w:line="360"/>
      </w:pPr>
      <w:r>
        <w:rPr>
          <w:b/>
          <w:bCs/>
        </w:rPr>
        <w:t xml:space="preserve">Case presentation: </w:t>
      </w:r>
      <w:r>
        <w:t xml:space="preserve">A 48-year-old Tanzanian woman with OCA and prolonged occupational sun exposure presented with a five-month history of a non-healing ulcerated plaque on the right upper lateral neck, on a background of a three-year history of progressive actinic keratoses on sun-exposed skin. Three years earlier she had undergone right orbital exenteration for an eyelid SCC with perineural invasion and involved surgical margins, followed by four cycles of chemotherapy and external-beam radiotherapy, without margin re-excision or post-treatment imaging. Clinical examination and dermoscopy of the new lesion, which showed ulceration, a rolled border, arborising vessels and shiny white structures, suggested nodular basal cell carcinoma, but histopathology demonstrated an invasive keratinising SCC arising from the overlying epidermis. Because Mohs micrographic surgery is unavailable, the tumour was excised with a 6 mm peripheral margin and histologically clear margins, the surrounding actinic keratoses were treated with cryotherapy, and magnetic resonance imaging of the orbits and ophthalmological review were arranged to assess for residual periocular disease.</w:t>
      </w:r>
    </w:p>
    <w:p>
      <w:pPr>
        <w:spacing w:after="160" w:line="360"/>
      </w:pPr>
      <w:r>
        <w:rPr>
          <w:b/>
          <w:bCs/>
        </w:rPr>
        <w:t xml:space="preserve">Conclusions: </w:t>
      </w:r>
      <w:r>
        <w:t xml:space="preserve">In people with albinism, a first SCC marks a chronically ultraviolet-damaged, field-cancerised skin in which further primary tumours are expected, and any new indurated or ulcerated lesion warrants biopsy regardless of its clinical or dermoscopic appearance. Where margin-controlled surgery is unavailable, histologically confirmed clearance with guideline-based margins, delayed reconstruction when needed, and structured whole-skin surveillance are the realistic priorities. Photoprotection programmes, community-level early detection and multidisciplinary cancer care pathways for people with albinism are urgently needed in Tanzania and across sub-Saharan Africa.</w:t>
      </w:r>
    </w:p>
    <w:p>
      <w:pPr>
        <w:spacing w:after="160" w:line="360"/>
      </w:pPr>
      <w:r>
        <w:rPr>
          <w:b/>
          <w:bCs/>
        </w:rPr>
        <w:t xml:space="preserve">Keywords: </w:t>
      </w:r>
      <w:r>
        <w:t xml:space="preserve">Albinism, oculocutaneous; Carcinoma, squamous cell; Neoplasms, second primary; Field cancerisation; Dermoscopy; Perineural invasion; Tanzania; Case report</w:t>
      </w:r>
    </w:p>
    <w:p>
      <w:pPr>
        <w:pStyle w:val="Heading1"/>
        <w:spacing w:after="160" w:before="320"/>
      </w:pPr>
      <w:r>
        <w:rPr>
          <w:rFonts w:ascii="Times New Roman" w:cs="Times New Roman" w:eastAsia="Times New Roman" w:hAnsi="Times New Roman"/>
          <w:b/>
          <w:bCs/>
          <w:color w:val="000000"/>
          <w:sz w:val="26"/>
          <w:szCs w:val="26"/>
        </w:rPr>
        <w:t xml:space="preserve">Background</w:t>
      </w:r>
    </w:p>
    <w:p>
      <w:pPr>
        <w:spacing w:after="160" w:line="360"/>
      </w:pPr>
      <w:r>
        <w:t xml:space="preserve">Oculocutaneous albinism (OCA) comprises a genetically heterogeneous group of autosomal recessive disorders characterised by markedly reduced or absent melanin in the skin, hair and eyes </w:t>
      </w:r>
      <w:r>
        <w:t xml:space="preserve">[1]</w:t>
      </w:r>
      <w:r>
        <w:t xml:space="preserve">. Melanin is the principal endogenous photoprotectant, and its absence exposes the epidermis to cumulative ultraviolet (UV)-induced DNA damage and a substantially increased risk of keratinocyte carcinoma </w:t>
      </w:r>
      <w:r>
        <w:t xml:space="preserve">[2]</w:t>
      </w:r>
      <w:r>
        <w:t xml:space="preserve">. The prevalence of OCA in African countries averages around 1 in 4,000 (range 1 in 1,755 to 1 in 7,900) and is far higher in some population isolates </w:t>
      </w:r>
      <w:r>
        <w:t xml:space="preserve">[3]</w:t>
      </w:r>
      <w:r>
        <w:t xml:space="preserve">; in Tanzania, estimates of 1 in 1,400 to 1 in 2,500 are among the highest reported anywhere </w:t>
      </w:r>
      <w:r>
        <w:t xml:space="preserve">[4, 5]</w:t>
      </w:r>
      <w:r>
        <w:t xml:space="preserve">. Intense equatorial UV radiation, outdoor livelihoods, poverty, limited access to photoprotection and a scarcity of dermatological services combine to produce early-onset, multiple and often advanced skin cancers </w:t>
      </w:r>
      <w:r>
        <w:t xml:space="preserve">[6, 7]</w:t>
      </w:r>
      <w:r>
        <w:t xml:space="preserve">, of which squamous cell carcinoma (SCC) is the most frequent </w:t>
      </w:r>
      <w:r>
        <w:t xml:space="preserve">[8, 9]</w:t>
      </w:r>
      <w:r>
        <w:t xml:space="preserve">. Skin cancer is thought to be the major cause of premature death among people with albinism in Africa </w:t>
      </w:r>
      <w:r>
        <w:t xml:space="preserve">[5, 10]</w:t>
      </w:r>
      <w:r>
        <w:t xml:space="preserve">.</w:t>
      </w:r>
    </w:p>
    <w:p>
      <w:pPr>
        <w:spacing w:after="160" w:line="360"/>
      </w:pPr>
      <w:r>
        <w:t xml:space="preserve">A single keratinocyte carcinoma is rarely an isolated event. Chronically UV-exposed skin harbours multiple genetically altered keratinocyte clones, the field cancerisation first described by Slaughter and colleagues in 1953 </w:t>
      </w:r>
      <w:r>
        <w:t xml:space="preserve">[11]</w:t>
      </w:r>
      <w:r>
        <w:t xml:space="preserve">, from which further independent tumours arise. Multiple keratinocyte carcinomas occurring simultaneously (synchronous) or sequentially (metachronous) are well recognised in people with albinism but remain sparsely documented in East Africa, and the practical questions they raise, in particular how to distinguish a new primary tumour from recurrence or metastasis and how to manage high-risk tumours without margin-controlled surgery, are rarely discussed.</w:t>
      </w:r>
    </w:p>
    <w:p>
      <w:pPr>
        <w:spacing w:after="160" w:line="360"/>
      </w:pPr>
      <w:r>
        <w:t xml:space="preserve">We describe a Tanzanian woman with OCA who developed a second, anatomically distinct cutaneous SCC three years after an incompletely excised, perineurally invasive eyelid SCC. The new lesion was clinically and dermoscopically suggestive of basal cell carcinoma (BCC) but proved histologically to be SCC. The case illustrates the diagnostic pitfalls of keratinocyte carcinoma in field-cancerised skin, the long shadow cast by involved margins in a high-risk site, and the need for lifelong whole-skin surveillance rather than lesion-focused follow-up. This report was prepared in accordance with the CARE guidelines for case reports </w:t>
      </w:r>
      <w:r>
        <w:t xml:space="preserve">[12]</w:t>
      </w:r>
      <w:r>
        <w:t xml:space="preserve">.</w:t>
      </w:r>
    </w:p>
    <w:p>
      <w:pPr>
        <w:pStyle w:val="Heading1"/>
        <w:spacing w:after="160" w:before="320"/>
      </w:pPr>
      <w:r>
        <w:rPr>
          <w:rFonts w:ascii="Times New Roman" w:cs="Times New Roman" w:eastAsia="Times New Roman" w:hAnsi="Times New Roman"/>
          <w:b/>
          <w:bCs/>
          <w:color w:val="000000"/>
          <w:sz w:val="26"/>
          <w:szCs w:val="26"/>
        </w:rPr>
        <w:t xml:space="preserve">Case presentation</w:t>
      </w:r>
    </w:p>
    <w:p>
      <w:pPr>
        <w:pStyle w:val="Heading2"/>
        <w:spacing w:after="120" w:before="200"/>
      </w:pPr>
      <w:r>
        <w:rPr>
          <w:rFonts w:ascii="Times New Roman" w:cs="Times New Roman" w:eastAsia="Times New Roman" w:hAnsi="Times New Roman"/>
          <w:b/>
          <w:bCs/>
          <w:i/>
          <w:iCs/>
          <w:color w:val="000000"/>
          <w:sz w:val="24"/>
          <w:szCs w:val="24"/>
        </w:rPr>
        <w:t xml:space="preserve">History</w:t>
      </w:r>
    </w:p>
    <w:p>
      <w:pPr>
        <w:spacing w:after="160" w:line="360"/>
      </w:pPr>
      <w:r>
        <w:t xml:space="preserve">A 48-year-old Tanzanian woman with OCA, a subsistence farmer with prolonged daily sun exposure, presented to the dermatology outpatient clinic of our tertiary hospital. She reported inconsistent use of sun-protective clothing and sunscreen and had never been enrolled in a skin surveillance programme, a profile typical of people with albinism at risk in our setting. She did not smoke or drink alcohol, and an HIV test performed two months earlier was negative.</w:t>
      </w:r>
    </w:p>
    <w:p>
      <w:pPr>
        <w:spacing w:after="160" w:line="360"/>
      </w:pPr>
      <w:r>
        <w:t xml:space="preserve">She gave a three-year history of multiple, progressively enlarging skin lesions on the face, neck and the extensor surfaces of the upper and lower limbs. The lesions had begun as small, pruritic, scaly brown papules and had steadily increased in number and extent. Over the preceding five months, one lesion on the right side of the neck had become indurated and then ulcerated. She denied bleeding, discharge or constitutional symptoms.</w:t>
      </w:r>
    </w:p>
    <w:p>
      <w:pPr>
        <w:spacing w:after="160" w:line="360"/>
      </w:pPr>
      <w:r>
        <w:t xml:space="preserve">Her oncological history was notable for a malignancy of the right eye region diagnosed three years earlier, for which a right orbital exenteration had been performed. Histopathological examination of the exenteration specimen had confirmed a keratinising SCC of the eyelid with perineural invasion and tumour at the surgical resection margin (Figure 1). She had subsequently received four cycles of chemotherapy and a course of external-beam radiotherapy as adjuvant treatment. Margin re-excision and post-treatment cross-sectional imaging had not been undertaken because of social and financial constraints, and she had been placed on annual clinical follow-up.</w:t>
      </w:r>
    </w:p>
    <w:p>
      <w:pPr>
        <w:pStyle w:val="Heading2"/>
        <w:spacing w:after="120" w:before="200"/>
      </w:pPr>
      <w:r>
        <w:rPr>
          <w:rFonts w:ascii="Times New Roman" w:cs="Times New Roman" w:eastAsia="Times New Roman" w:hAnsi="Times New Roman"/>
          <w:b/>
          <w:bCs/>
          <w:i/>
          <w:iCs/>
          <w:color w:val="000000"/>
          <w:sz w:val="24"/>
          <w:szCs w:val="24"/>
        </w:rPr>
        <w:t xml:space="preserve">Examination</w:t>
      </w:r>
    </w:p>
    <w:p>
      <w:pPr>
        <w:spacing w:after="160" w:line="360"/>
      </w:pPr>
      <w:r>
        <w:t xml:space="preserve">On examination she had the classical phenotype of OCA, with straw-coloured hair, hypopigmented eyebrows, a yellowish-orange iris and a rotatory nystagmus of the remaining left eye. The right orbital cavity was well healed. The skin of the nape showed coarse wrinkling with a leathery, mottled texture consistent with chronic actinic damage and solar elastosis. Multiple rough, scaly, erythematous papules and indurated hyperkeratotic plaques were distributed over the face and the extensor surfaces of all four limbs, consistent with extensive actinic keratoses and field cancerisation.</w:t>
      </w:r>
    </w:p>
    <w:p>
      <w:pPr>
        <w:spacing w:after="160" w:line="360"/>
      </w:pPr>
      <w:r>
        <w:t xml:space="preserve">On the right upper lateral neck, in the infra-auricular region just below the angle of the mandible, there was an indurated, ulcerated plaque measuring 2 × 2 cm with an irregular, rolled border and an erythematous base; it was firm, non-tender and mobile over the underlying tissues, and a crusted satellite plaque with surrounding erythema lay nearby (Figure 2). Dermoscopy of the ulcer showed a central ulcer with a moist pink base, yellow-amber serous crust at the periphery, arborising vessels with pinpoint haemorrhages, and shiny white structures. These features initially favoured a clinical diagnosis of nodular BCC. Systemic examination was otherwise unremarkable.</w:t>
      </w:r>
    </w:p>
    <w:p>
      <w:pPr>
        <w:pStyle w:val="Heading2"/>
        <w:spacing w:after="120" w:before="200"/>
      </w:pPr>
      <w:r>
        <w:rPr>
          <w:rFonts w:ascii="Times New Roman" w:cs="Times New Roman" w:eastAsia="Times New Roman" w:hAnsi="Times New Roman"/>
          <w:b/>
          <w:bCs/>
          <w:i/>
          <w:iCs/>
          <w:color w:val="000000"/>
          <w:sz w:val="24"/>
          <w:szCs w:val="24"/>
        </w:rPr>
        <w:t xml:space="preserve">Investigations</w:t>
      </w:r>
    </w:p>
    <w:p>
      <w:pPr>
        <w:spacing w:after="160" w:line="360"/>
      </w:pPr>
      <w:r>
        <w:t xml:space="preserve">Full blood count, renal function, coagulation profile, lipid profile and random blood glucose were within normal limits (haemoglobin 13.0 g/dL, white cell count 4.6 × 10⁹/L, platelets 297 × 10⁹/L, creatinine 73 µmol/L, random glucose 6.1 mmol/L).</w:t>
      </w:r>
    </w:p>
    <w:p>
      <w:pPr>
        <w:spacing w:after="160" w:line="360"/>
      </w:pPr>
      <w:r>
        <w:t xml:space="preserve">A diagnostic biopsy of the neck lesion established the diagnosis of invasive SCC, overturning the clinical suspicion of BCC (Figure 3). Low-power sections showed keratinising stratified squamous epithelium giving rise to nests of tumour that infiltrated the underlying dermis, with keratin pearl formation. At high power the tumour was composed of atypical polygonal squamous cells with intercellular bridges, a feature that excludes BCC; the cells were hyperchromatic and pleomorphic, with an increased nuclear-to-cytoplasmic ratio, vesicular chromatin and prominent nucleoli, closely resembling the cytomorphology of the earlier eyelid tumour. Given the distinct anatomical site, the interval of three years, the origin of the tumour from the overlying epidermis and its emergence within a field of actinic keratoses, the lesion was classified as a metachronous second primary cutaneous SCC rather than a recurrence of the eyelid tumour. Nonetheless, the involved margins and perineural invasion of the index tumour meant that persistent or recurrent periocular disease remained a clinical concern requiring dedicated assessment.</w:t>
      </w:r>
    </w:p>
    <w:p>
      <w:pPr>
        <w:pStyle w:val="Heading2"/>
        <w:spacing w:after="120" w:before="200"/>
      </w:pPr>
      <w:r>
        <w:rPr>
          <w:rFonts w:ascii="Times New Roman" w:cs="Times New Roman" w:eastAsia="Times New Roman" w:hAnsi="Times New Roman"/>
          <w:b/>
          <w:bCs/>
          <w:i/>
          <w:iCs/>
          <w:color w:val="000000"/>
          <w:sz w:val="24"/>
          <w:szCs w:val="24"/>
        </w:rPr>
        <w:t xml:space="preserve">Treatment</w:t>
      </w:r>
    </w:p>
    <w:p>
      <w:pPr>
        <w:spacing w:after="160" w:line="360"/>
      </w:pPr>
      <w:r>
        <w:t xml:space="preserve">Mohs micrographic surgery is not available in our setting. The neck tumour was therefore excised with a 6 mm peripheral clinical margin, and histological examination confirmed that the peripheral and deep margins were free of tumour. The postoperative course was uneventful and the wound was healing satisfactorily at discharge. The surrounding actinic keratoses were treated with liquid nitrogen cryotherapy. She was counselled on strict photoprotection (protective clothing, a wide-brimmed hat, sunscreen and avoidance of midday sun), on skin self-examination and on the need for lifelong surveillance. To assess for residual or recurrent periocular disease after the earlier margin-positive excision, magnetic resonance imaging (MRI) of the orbits and a formal ophthalmological review were arranged at discharge.</w:t>
      </w:r>
    </w:p>
    <w:p>
      <w:pPr>
        <w:pStyle w:val="Heading2"/>
        <w:spacing w:after="120" w:before="200"/>
      </w:pPr>
      <w:r>
        <w:rPr>
          <w:rFonts w:ascii="Times New Roman" w:cs="Times New Roman" w:eastAsia="Times New Roman" w:hAnsi="Times New Roman"/>
          <w:b/>
          <w:bCs/>
          <w:i/>
          <w:iCs/>
          <w:color w:val="000000"/>
          <w:sz w:val="24"/>
          <w:szCs w:val="24"/>
        </w:rPr>
        <w:t xml:space="preserve">Outcome and follow-up</w:t>
      </w:r>
    </w:p>
    <w:p>
      <w:pPr>
        <w:spacing w:after="160" w:line="360"/>
      </w:pPr>
      <w:r>
        <w:t xml:space="preserve">She was scheduled for close dermatological surveillance with whole-skin examination at each visit. The results of the orbital MRI and the ophthalmological review were awaited at the time of writing.</w:t>
      </w:r>
    </w:p>
    <w:p>
      <w:pPr>
        <w:pStyle w:val="Heading1"/>
        <w:spacing w:after="160" w:before="320"/>
      </w:pPr>
      <w:r>
        <w:rPr>
          <w:rFonts w:ascii="Times New Roman" w:cs="Times New Roman" w:eastAsia="Times New Roman" w:hAnsi="Times New Roman"/>
          <w:b/>
          <w:bCs/>
          <w:color w:val="000000"/>
          <w:sz w:val="26"/>
          <w:szCs w:val="26"/>
        </w:rPr>
        <w:t xml:space="preserve">Discussion</w:t>
      </w:r>
    </w:p>
    <w:p>
      <w:pPr>
        <w:pStyle w:val="Heading2"/>
        <w:spacing w:after="120" w:before="200"/>
      </w:pPr>
      <w:r>
        <w:rPr>
          <w:rFonts w:ascii="Times New Roman" w:cs="Times New Roman" w:eastAsia="Times New Roman" w:hAnsi="Times New Roman"/>
          <w:b/>
          <w:bCs/>
          <w:i/>
          <w:iCs/>
          <w:color w:val="000000"/>
          <w:sz w:val="24"/>
          <w:szCs w:val="24"/>
        </w:rPr>
        <w:t xml:space="preserve">Skin cancer in people with albinism in sub-Saharan Africa</w:t>
      </w:r>
    </w:p>
    <w:p>
      <w:pPr>
        <w:spacing w:after="160" w:line="360"/>
      </w:pPr>
      <w:r>
        <w:t xml:space="preserve">Cutaneous malignancy is the most serious complication of OCA in sub-Saharan Africa, where the near absence of melanin-mediated photoprotection is compounded by intense year-round UV exposure, outdoor livelihoods and limited access to preventive care </w:t>
      </w:r>
      <w:r>
        <w:t xml:space="preserve">[2, 6]</w:t>
      </w:r>
      <w:r>
        <w:t xml:space="preserve">. People with albinism in the region are estimated to carry a risk of cutaneous SCC around 1,000 times that of the general population, and their tumours tend to run an aggressive course and to recur after treatment </w:t>
      </w:r>
      <w:r>
        <w:t xml:space="preserve">[10]</w:t>
      </w:r>
      <w:r>
        <w:t xml:space="preserve">. In a systematic review and meta-analysis of 23 studies comprising 695 histologically confirmed skin cancers in 540 African people with albinism, 419 lesions were SCC and 249 were BCC, giving pooled proportions of 64% (95% CI 50–77%) for SCC and 31% (95% CI 19–45%) for BCC, with substantial heterogeneity (I² = 89%) </w:t>
      </w:r>
      <w:r>
        <w:t xml:space="preserve">[9]</w:t>
      </w:r>
      <w:r>
        <w:t xml:space="preserve">. The same review noted that SCC predominates in series of surgical excision specimens, whereas BCC is more often the leading diagnosis in skin-surveillance programmes that detect lesions earlier </w:t>
      </w:r>
      <w:r>
        <w:t xml:space="preserve">[9]</w:t>
      </w:r>
      <w:r>
        <w:t xml:space="preserve">. Tanzanian data are consistent with this picture: in a ten-year histological review of 134 skin cancers from 86 people with albinism in Moshi, the head and neck accounted for 56% of tumours and SCC outnumbered BCC by 1.2 to 1 </w:t>
      </w:r>
      <w:r>
        <w:t xml:space="preserve">[8]</w:t>
      </w:r>
      <w:r>
        <w:t xml:space="preserve">, and in a series of 64 patients from Mwanza the head and neck was involved in 72% and SCC accounted for 75% of tumours </w:t>
      </w:r>
      <w:r>
        <w:t xml:space="preserve">[5]</w:t>
      </w:r>
      <w:r>
        <w:t xml:space="preserve">. Our patient, with a second histologically confirmed head and neck SCC on a background of extensive actinic damage, is typical of this population.</w:t>
      </w:r>
    </w:p>
    <w:p>
      <w:pPr>
        <w:pStyle w:val="Heading2"/>
        <w:spacing w:after="120" w:before="200"/>
      </w:pPr>
      <w:r>
        <w:rPr>
          <w:rFonts w:ascii="Times New Roman" w:cs="Times New Roman" w:eastAsia="Times New Roman" w:hAnsi="Times New Roman"/>
          <w:b/>
          <w:bCs/>
          <w:i/>
          <w:iCs/>
          <w:color w:val="000000"/>
          <w:sz w:val="24"/>
          <w:szCs w:val="24"/>
        </w:rPr>
        <w:t xml:space="preserve">Clinical and dermoscopic features can mislead</w:t>
      </w:r>
    </w:p>
    <w:p>
      <w:pPr>
        <w:spacing w:after="160" w:line="360"/>
      </w:pPr>
      <w:r>
        <w:t xml:space="preserve">The neck lesion illustrates the limits of clinical and dermoscopic diagnosis in field-cancerised skin. Ulceration, a rolled border, arborising vessels and shiny white structures are classical features of nodular BCC, yet histopathology showed an invasive SCC with keratin pearls and intercellular bridges. In a study of 154 keratinocyte carcinomas, SCC was misdiagnosed clinically as BCC more often than the reverse; ulceration, telangiectasia and translucency were the features most responsible for confusion, and although dermoscopy improved diagnostic accuracy it did not resolve every ambiguous lesion </w:t>
      </w:r>
      <w:r>
        <w:t xml:space="preserve">[13]</w:t>
      </w:r>
      <w:r>
        <w:t xml:space="preserve">. The distinction matters because SCC carries a real risk of nodal and distant metastasis, is staged differently and requires wider margins and closer follow-up than BCC </w:t>
      </w:r>
      <w:r>
        <w:t xml:space="preserve">[14, 15]</w:t>
      </w:r>
      <w:r>
        <w:t xml:space="preserve">. In people with albinism, whose skin is almost universally hypopigmented and actinically damaged, the pigment-related and background cues that help to separate the two tumours are largely absent. A low threshold for biopsy of any indurated, ulcerated or enlarging lesion is therefore essential, and clinical and dermoscopic findings should guide, rather than replace, histological diagnosis.</w:t>
      </w:r>
    </w:p>
    <w:p>
      <w:pPr>
        <w:pStyle w:val="Heading2"/>
        <w:spacing w:after="120" w:before="200"/>
      </w:pPr>
      <w:r>
        <w:rPr>
          <w:rFonts w:ascii="Times New Roman" w:cs="Times New Roman" w:eastAsia="Times New Roman" w:hAnsi="Times New Roman"/>
          <w:b/>
          <w:bCs/>
          <w:i/>
          <w:iCs/>
          <w:color w:val="000000"/>
          <w:sz w:val="24"/>
          <w:szCs w:val="24"/>
        </w:rPr>
        <w:t xml:space="preserve">A second primary tumour in field-cancerised skin</w:t>
      </w:r>
    </w:p>
    <w:p>
      <w:pPr>
        <w:spacing w:after="160" w:line="360"/>
      </w:pPr>
      <w:r>
        <w:t xml:space="preserve">The extensive actinic keratoses on this patient's face, neck and limbs are the clinical face of field cancerisation, the accumulation within chronically UV-exposed epithelium of multiple genetically altered keratinocyte clones from which independent tumours arise </w:t>
      </w:r>
      <w:r>
        <w:t xml:space="preserve">[11]</w:t>
      </w:r>
      <w:r>
        <w:t xml:space="preserve">. By the classical criteria for multiple primary malignancies, each tumour must be histologically malignant, the tumours must be anatomically distinct, and the possibility that one is a metastasis of the other must be excluded </w:t>
      </w:r>
      <w:r>
        <w:t xml:space="preserve">[16]</w:t>
      </w:r>
      <w:r>
        <w:t xml:space="preserve">. The neck tumour met these criteria: it arose three years after the eyelid tumour at a separate site, it originated from the overlying epidermis and infiltrated the dermis in continuity with the surface epithelium, and it emerged within a field of actinic keratoses. We therefore regard it as a metachronous second primary SCC. Two cautions apply. First, the similarity in cytomorphology between the two tumours does not indicate a clonal relationship; the features described are those of conventional keratinising SCC and would be expected in any two such tumours. Second, the lesion lay in the right infra-auricular region, ipsilateral to the exenterated orbit and over the parotid and upper cervical nodal basins that receive lymphatic drainage from the periocular skin. A metastatic deposit involving the skin was therefore a genuine differential diagnosis, and it was the epidermal origin of the tumour, rather than its site or timing, that argued most strongly against it. Imaging of the parotid and cervical nodal basins would have added further reassurance and is advisable whenever a new tumour arises in the drainage territory of a previous high-risk SCC </w:t>
      </w:r>
      <w:r>
        <w:t xml:space="preserve">[14, 15]</w:t>
      </w:r>
      <w:r>
        <w:t xml:space="preserve">.</w:t>
      </w:r>
    </w:p>
    <w:p>
      <w:pPr>
        <w:spacing w:after="160" w:line="360"/>
      </w:pPr>
      <w:r>
        <w:t xml:space="preserve">The likelihood of further tumours is high. In a prospective cohort of 1,284 patients with keratinocyte carcinoma, the risk of a subsequent tumour after a first lifetime keratinocyte carcinoma was 14.5% at one year, 31.1% at three years and 40.7% at five years, and after a second or later tumour it rose to 43.9%, 71.1% and 82.0% respectively </w:t>
      </w:r>
      <w:r>
        <w:t xml:space="preserve">[17]</w:t>
      </w:r>
      <w:r>
        <w:t xml:space="preserve">. Those figures come from a largely fair-skinned population in a temperate climate; for a person with albinism living near the equator the risk can only be higher. Every clinical encounter must therefore include a whole-skin examination and palpation of the regional lymph nodes, rather than attention to the index lesion alone.</w:t>
      </w:r>
    </w:p>
    <w:p>
      <w:pPr>
        <w:pStyle w:val="Heading2"/>
        <w:spacing w:after="120" w:before="200"/>
      </w:pPr>
      <w:r>
        <w:rPr>
          <w:rFonts w:ascii="Times New Roman" w:cs="Times New Roman" w:eastAsia="Times New Roman" w:hAnsi="Times New Roman"/>
          <w:b/>
          <w:bCs/>
          <w:i/>
          <w:iCs/>
          <w:color w:val="000000"/>
          <w:sz w:val="24"/>
          <w:szCs w:val="24"/>
        </w:rPr>
        <w:t xml:space="preserve">The long shadow of an incompletely excised, perineurally invasive periocular SCC</w:t>
      </w:r>
    </w:p>
    <w:p>
      <w:pPr>
        <w:spacing w:after="160" w:line="360"/>
      </w:pPr>
      <w:r>
        <w:t xml:space="preserve">The index eyelid tumour carried two of the most adverse prognostic features of cutaneous SCC: perineural invasion and involved margins. In periocular SCC, perineural invasion is associated with local recurrence, regional metastasis and death, and it can progress silently as perineural spread along trigeminal and facial nerve branches towards the orbital apex and cavernous sinus; excision with complete margin control is the preferred surgical approach, adjuvant radiotherapy improves outcomes when other high-risk features coexist, and MRI is the investigation of choice for suspected perineural spread </w:t>
      </w:r>
      <w:r>
        <w:t xml:space="preserve">[18]</w:t>
      </w:r>
      <w:r>
        <w:t xml:space="preserve">. Incomplete excision of cutaneous SCC occurs in about 13% of excisions overall (95% CI 9–17%), is more frequent in the head and neck, and is associated with local recurrence, subclinical deep progression, regional metastasis and a several-fold higher risk of disease-specific death </w:t>
      </w:r>
      <w:r>
        <w:t xml:space="preserve">[19]</w:t>
      </w:r>
      <w:r>
        <w:t xml:space="preserve">. Re-excision after an involved margin yields residual tumour in roughly three in ten specimens, and recurrence after a positive re-excision margin (29%) is far higher than after a negative one (5%) </w:t>
      </w:r>
      <w:r>
        <w:t xml:space="preserve">[20]</w:t>
      </w:r>
      <w:r>
        <w:t xml:space="preserve">. Current UK and European guidance therefore recommends re-excision where feasible, with adjuvant radiotherapy when it is not or when adverse histology is present </w:t>
      </w:r>
      <w:r>
        <w:t xml:space="preserve">[14, 15]</w:t>
      </w:r>
      <w:r>
        <w:t xml:space="preserve">. Our patient received adjuvant radiotherapy, which was appropriate, but neither re-excision nor post-treatment imaging was possible. The added value of the four cycles of chemotherapy she received is uncertain: cytotoxic chemotherapy has no established adjuvant role in cutaneous SCC and is generally reserved, in combination with radiotherapy, for disease that cannot be surgically cleared </w:t>
      </w:r>
      <w:r>
        <w:t xml:space="preserve">[15, 21]</w:t>
      </w:r>
      <w:r>
        <w:t xml:space="preserve">. The orbital MRI and ophthalmological review arranged at this admission are intended to close the gap left by the absence of earlier imaging.</w:t>
      </w:r>
    </w:p>
    <w:p>
      <w:pPr>
        <w:pStyle w:val="Heading2"/>
        <w:spacing w:after="120" w:before="200"/>
      </w:pPr>
      <w:r>
        <w:rPr>
          <w:rFonts w:ascii="Times New Roman" w:cs="Times New Roman" w:eastAsia="Times New Roman" w:hAnsi="Times New Roman"/>
          <w:b/>
          <w:bCs/>
          <w:i/>
          <w:iCs/>
          <w:color w:val="000000"/>
          <w:sz w:val="24"/>
          <w:szCs w:val="24"/>
        </w:rPr>
        <w:t xml:space="preserve">Margin control without Mohs surgery</w:t>
      </w:r>
    </w:p>
    <w:p>
      <w:pPr>
        <w:spacing w:after="160" w:line="360"/>
      </w:pPr>
      <w:r>
        <w:t xml:space="preserve">Mohs micrographic surgery and other forms of complete peripheral and deep margin assessment offer the lowest recurrence rates for high-risk cutaneous SCC </w:t>
      </w:r>
      <w:r>
        <w:t xml:space="preserve">[22, 23]</w:t>
      </w:r>
      <w:r>
        <w:t xml:space="preserve">, but they require trained surgeons, histotechnologists and laboratory infrastructure that are unavailable in Tanzania and most of sub-Saharan Africa. Conventional bread-loaf sectioning examines only a small fraction of the margin surface </w:t>
      </w:r>
      <w:r>
        <w:t xml:space="preserve">[19]</w:t>
      </w:r>
      <w:r>
        <w:t xml:space="preserve">, so wider clinical margins and histological confirmation of clearance before definitive reconstruction are the practical substitutes. UK guidance recommends a peripheral margin of at least 6 mm for high-risk cutaneous SCC, and European guidance 6 to 10 mm, with delayed reconstruction until margins are confirmed clear </w:t>
      </w:r>
      <w:r>
        <w:t xml:space="preserve">[14, 15, 24]</w:t>
      </w:r>
      <w:r>
        <w:t xml:space="preserve">. The 6 mm margin used for the neck tumour, with histologically confirmed peripheral and deep clearance, therefore conformed to guideline recommendations. For periocular tumours, where tissue conservation is critical, staged excision with paraffin-section margin assessment and delayed reconstruction is a feasible alternative to Mohs surgery that referral hospitals in the region could adopt.</w:t>
      </w:r>
    </w:p>
    <w:p>
      <w:pPr>
        <w:pStyle w:val="Heading2"/>
        <w:spacing w:after="120" w:before="200"/>
      </w:pPr>
      <w:r>
        <w:rPr>
          <w:rFonts w:ascii="Times New Roman" w:cs="Times New Roman" w:eastAsia="Times New Roman" w:hAnsi="Times New Roman"/>
          <w:b/>
          <w:bCs/>
          <w:i/>
          <w:iCs/>
          <w:color w:val="000000"/>
          <w:sz w:val="24"/>
          <w:szCs w:val="24"/>
        </w:rPr>
        <w:t xml:space="preserve">Systemic barriers to care in Tanzania</w:t>
      </w:r>
    </w:p>
    <w:p>
      <w:pPr>
        <w:spacing w:after="160" w:line="360"/>
      </w:pPr>
      <w:r>
        <w:t xml:space="preserve">These clinical challenges are magnified by financial and structural barriers. In the Mwanza series, the median duration of symptoms before presentation was 24 months and financial hardship was the commonest reason for delay; 42.2% of patients did not complete treatment because of lack of funds, only 61.7% attended follow-up at 6 to 12 months, and the local recurrence rate after surgery was 30.0% </w:t>
      </w:r>
      <w:r>
        <w:t xml:space="preserve">[5]</w:t>
      </w:r>
      <w:r>
        <w:t xml:space="preserve">. Our patient's history, with margin re-excision and imaging forgone for social reasons and follow-up limited to an annual visit, reflects the same constraints. Outreach skin-care programmes in northern Tanzania have shown that community-based screening can detect actinic damage and early tumours in people with albinism </w:t>
      </w:r>
      <w:r>
        <w:t xml:space="preserve">[25]</w:t>
      </w:r>
      <w:r>
        <w:t xml:space="preserve">, and structured photoprotection with protective clothing, wide-brimmed hats, sunscreen and behaviour change reduces new actinic lesions </w:t>
      </w:r>
      <w:r>
        <w:t xml:space="preserve">[2]</w:t>
      </w:r>
      <w:r>
        <w:t xml:space="preserve">. Cryotherapy of actinic keratoses, as used here, is an inexpensive field-directed treatment that can be delivered at district level. Integrating these measures with education in skin self-examination, training of primary health workers to recognise and refer early lesions, teledermatology links to referral centres, and a national register of people with albinism would allow surveillance to be delivered close to home rather than only at tertiary hospitals.</w:t>
      </w:r>
    </w:p>
    <w:p>
      <w:pPr>
        <w:pStyle w:val="Heading2"/>
        <w:spacing w:after="120" w:before="200"/>
      </w:pPr>
      <w:r>
        <w:rPr>
          <w:rFonts w:ascii="Times New Roman" w:cs="Times New Roman" w:eastAsia="Times New Roman" w:hAnsi="Times New Roman"/>
          <w:b/>
          <w:bCs/>
          <w:i/>
          <w:iCs/>
          <w:color w:val="000000"/>
          <w:sz w:val="24"/>
          <w:szCs w:val="24"/>
        </w:rPr>
        <w:t xml:space="preserve">Limitations</w:t>
      </w:r>
    </w:p>
    <w:p>
      <w:pPr>
        <w:spacing w:after="160" w:line="360"/>
      </w:pPr>
      <w:r>
        <w:t xml:space="preserve">This report has limitations. Details of the chemotherapy regimen and the radiotherapy dose given for the eyelid tumour were not available to us. The regional lymph nodes were assessed clinically only; no ultrasound or cross-sectional imaging of the parotid and cervical nodal basins was performed before excision of the neck tumour, and the results of the orbital MRI were not available at the time of writing. Immunohistochemical or molecular studies that might help to distinguish a second primary tumour from a metastasis were not performed, and the duration of follow-up after the second excision is short. The strengths of the report are the histological confirmation of both tumours and the photographic, dermoscopic and histological documentation of the second.</w:t>
      </w:r>
    </w:p>
    <w:p>
      <w:pPr>
        <w:pStyle w:val="Heading1"/>
        <w:spacing w:after="160" w:before="320"/>
      </w:pPr>
      <w:r>
        <w:rPr>
          <w:rFonts w:ascii="Times New Roman" w:cs="Times New Roman" w:eastAsia="Times New Roman" w:hAnsi="Times New Roman"/>
          <w:b/>
          <w:bCs/>
          <w:color w:val="000000"/>
          <w:sz w:val="26"/>
          <w:szCs w:val="26"/>
        </w:rPr>
        <w:t xml:space="preserve">Conclusions</w:t>
      </w:r>
    </w:p>
    <w:p>
      <w:pPr>
        <w:spacing w:after="160" w:line="360"/>
      </w:pPr>
      <w:r>
        <w:t xml:space="preserve">In people with OCA, a first cutaneous SCC signals a field-cancerised skin in which further primary tumours are expected, and a new indurated or ulcerated lesion should be biopsied whatever its clinical or dermoscopic appearance. Involved margins and perineural invasion in a periocular SCC call for re-excision or, where that is impossible, adjuvant radiotherapy and imaging surveillance. Where margin-controlled surgery is unavailable, guideline-based margins with histological confirmation of clearance, delayed reconstruction when necessary, field-directed treatment of actinic keratoses and lifelong whole-skin surveillance are the realistic priorities. Structured photoprotection, community-level early detection and multidisciplinary cancer care pathways for people with albinism are urgently needed to reduce the burden of preventable skin cancer in Tanzania and across sub-Saharan Africa.</w:t>
      </w:r>
    </w:p>
    <w:p>
      <w:pPr>
        <w:pStyle w:val="Heading1"/>
        <w:spacing w:after="160" w:before="320"/>
      </w:pPr>
      <w:r>
        <w:rPr>
          <w:rFonts w:ascii="Times New Roman" w:cs="Times New Roman" w:eastAsia="Times New Roman" w:hAnsi="Times New Roman"/>
          <w:b/>
          <w:bCs/>
          <w:color w:val="000000"/>
          <w:sz w:val="26"/>
          <w:szCs w:val="26"/>
        </w:rPr>
        <w:t xml:space="preserve">Abbreviations</w:t>
      </w:r>
    </w:p>
    <w:p>
      <w:pPr>
        <w:spacing w:after="160" w:line="360"/>
      </w:pPr>
      <w:r>
        <w:t xml:space="preserve">AK: actinic keratosis; BCC: basal cell carcinoma; CI: confidence interval; HIV: human immunodeficiency virus; MRI: magnetic resonance imaging; OCA: oculocutaneous albinism; SCC: squamous cell carcinoma; UV: ultraviolet</w:t>
      </w:r>
    </w:p>
    <w:p>
      <w:pPr>
        <w:pStyle w:val="Heading1"/>
        <w:spacing w:after="160" w:before="320"/>
      </w:pPr>
      <w:r>
        <w:rPr>
          <w:rFonts w:ascii="Times New Roman" w:cs="Times New Roman" w:eastAsia="Times New Roman" w:hAnsi="Times New Roman"/>
          <w:b/>
          <w:bCs/>
          <w:color w:val="000000"/>
          <w:sz w:val="26"/>
          <w:szCs w:val="26"/>
        </w:rPr>
        <w:t xml:space="preserve">Declarations</w:t>
      </w:r>
    </w:p>
    <w:p>
      <w:pPr>
        <w:pStyle w:val="Heading2"/>
        <w:spacing w:after="120" w:before="200"/>
      </w:pPr>
      <w:r>
        <w:rPr>
          <w:rFonts w:ascii="Times New Roman" w:cs="Times New Roman" w:eastAsia="Times New Roman" w:hAnsi="Times New Roman"/>
          <w:b/>
          <w:bCs/>
          <w:i/>
          <w:iCs/>
          <w:color w:val="000000"/>
          <w:sz w:val="24"/>
          <w:szCs w:val="24"/>
        </w:rPr>
        <w:t xml:space="preserve">Ethics approval and consent to participate</w:t>
      </w:r>
    </w:p>
    <w:p>
      <w:pPr>
        <w:spacing w:after="160" w:line="360"/>
      </w:pPr>
      <w:r>
        <w:t xml:space="preserve">Not applicable. This report describes the routine clinical care of a single patient, who gave written informed consent for treatment and for the reporting of her case.</w:t>
      </w:r>
    </w:p>
    <w:p>
      <w:pPr>
        <w:pStyle w:val="Heading2"/>
        <w:spacing w:after="120" w:before="200"/>
      </w:pPr>
      <w:r>
        <w:rPr>
          <w:rFonts w:ascii="Times New Roman" w:cs="Times New Roman" w:eastAsia="Times New Roman" w:hAnsi="Times New Roman"/>
          <w:b/>
          <w:bCs/>
          <w:i/>
          <w:iCs/>
          <w:color w:val="000000"/>
          <w:sz w:val="24"/>
          <w:szCs w:val="24"/>
        </w:rPr>
        <w:t xml:space="preserve">Consent for publication</w:t>
      </w:r>
    </w:p>
    <w:p>
      <w:pPr>
        <w:spacing w:after="160" w:line="360"/>
      </w:pPr>
      <w:r>
        <w:t xml:space="preserve">Written informed consent was obtained from the patient for publication of this case report and any accompanying images. A copy of the written consent is available for review by the Editor-in-Chief of this journal.</w:t>
      </w:r>
    </w:p>
    <w:p>
      <w:pPr>
        <w:pStyle w:val="Heading2"/>
        <w:spacing w:after="120" w:before="200"/>
      </w:pPr>
      <w:r>
        <w:rPr>
          <w:rFonts w:ascii="Times New Roman" w:cs="Times New Roman" w:eastAsia="Times New Roman" w:hAnsi="Times New Roman"/>
          <w:b/>
          <w:bCs/>
          <w:i/>
          <w:iCs/>
          <w:color w:val="000000"/>
          <w:sz w:val="24"/>
          <w:szCs w:val="24"/>
        </w:rPr>
        <w:t xml:space="preserve">Availability of data and materials</w:t>
      </w:r>
    </w:p>
    <w:p>
      <w:pPr>
        <w:spacing w:after="160" w:line="360"/>
      </w:pPr>
      <w:r>
        <w:t xml:space="preserve">All data generated or analysed during this study are included in this published article.</w:t>
      </w:r>
    </w:p>
    <w:p>
      <w:pPr>
        <w:pStyle w:val="Heading2"/>
        <w:spacing w:after="120" w:before="200"/>
      </w:pPr>
      <w:r>
        <w:rPr>
          <w:rFonts w:ascii="Times New Roman" w:cs="Times New Roman" w:eastAsia="Times New Roman" w:hAnsi="Times New Roman"/>
          <w:b/>
          <w:bCs/>
          <w:i/>
          <w:iCs/>
          <w:color w:val="000000"/>
          <w:sz w:val="24"/>
          <w:szCs w:val="24"/>
        </w:rPr>
        <w:t xml:space="preserve">Competing interests</w:t>
      </w:r>
    </w:p>
    <w:p>
      <w:pPr>
        <w:spacing w:after="160" w:line="360"/>
      </w:pPr>
      <w:r>
        <w:t xml:space="preserve">The authors declare that they have no competing interests.</w:t>
      </w:r>
    </w:p>
    <w:p>
      <w:pPr>
        <w:pStyle w:val="Heading2"/>
        <w:spacing w:after="120" w:before="200"/>
      </w:pPr>
      <w:r>
        <w:rPr>
          <w:rFonts w:ascii="Times New Roman" w:cs="Times New Roman" w:eastAsia="Times New Roman" w:hAnsi="Times New Roman"/>
          <w:b/>
          <w:bCs/>
          <w:i/>
          <w:iCs/>
          <w:color w:val="000000"/>
          <w:sz w:val="24"/>
          <w:szCs w:val="24"/>
        </w:rPr>
        <w:t xml:space="preserve">Funding</w:t>
      </w:r>
    </w:p>
    <w:p>
      <w:pPr>
        <w:spacing w:after="160" w:line="360"/>
      </w:pPr>
      <w:r>
        <w:t xml:space="preserve">The authors received no specific funding for this work.</w:t>
      </w:r>
    </w:p>
    <w:p>
      <w:pPr>
        <w:pStyle w:val="Heading2"/>
        <w:spacing w:after="120" w:before="200"/>
      </w:pPr>
      <w:r>
        <w:rPr>
          <w:rFonts w:ascii="Times New Roman" w:cs="Times New Roman" w:eastAsia="Times New Roman" w:hAnsi="Times New Roman"/>
          <w:b/>
          <w:bCs/>
          <w:i/>
          <w:iCs/>
          <w:color w:val="000000"/>
          <w:sz w:val="24"/>
          <w:szCs w:val="24"/>
        </w:rPr>
        <w:t xml:space="preserve">Authors' contributions</w:t>
      </w:r>
    </w:p>
    <w:p>
      <w:pPr>
        <w:spacing w:after="160" w:line="360"/>
      </w:pPr>
      <w:r>
        <w:t xml:space="preserve">EM and EG conceived the report and drafted the manuscript. EM, SFG, EL and HOS were involved in the clinical care of the patient and collected the clinical data and photographs. DM performed the histopathological evaluation and prepared the photomicrographs. EG reviewed the literature and revised the manuscript. All authors read and approved the final manuscript.</w:t>
      </w:r>
    </w:p>
    <w:p>
      <w:pPr>
        <w:pStyle w:val="Heading2"/>
        <w:spacing w:after="120" w:before="200"/>
      </w:pPr>
      <w:r>
        <w:rPr>
          <w:rFonts w:ascii="Times New Roman" w:cs="Times New Roman" w:eastAsia="Times New Roman" w:hAnsi="Times New Roman"/>
          <w:b/>
          <w:bCs/>
          <w:i/>
          <w:iCs/>
          <w:color w:val="000000"/>
          <w:sz w:val="24"/>
          <w:szCs w:val="24"/>
        </w:rPr>
        <w:t xml:space="preserve">Acknowledgements</w:t>
      </w:r>
    </w:p>
    <w:p>
      <w:pPr>
        <w:spacing w:after="160" w:line="360"/>
      </w:pPr>
      <w:r>
        <w:t xml:space="preserve">The authors thank the patient for her consent to the publication of her case.</w:t>
      </w:r>
    </w:p>
    <w:p>
      <w:pPr>
        <w:pStyle w:val="Heading1"/>
        <w:spacing w:after="160" w:before="320"/>
      </w:pPr>
      <w:r>
        <w:rPr>
          <w:rFonts w:ascii="Times New Roman" w:cs="Times New Roman" w:eastAsia="Times New Roman" w:hAnsi="Times New Roman"/>
          <w:b/>
          <w:bCs/>
          <w:color w:val="000000"/>
          <w:sz w:val="26"/>
          <w:szCs w:val="26"/>
        </w:rPr>
        <w:t xml:space="preserve">References</w:t>
      </w:r>
    </w:p>
    <w:p>
      <w:pPr>
        <w:tabs>
          <w:tab w:val="left" w:pos="567"/>
        </w:tabs>
        <w:spacing w:after="120" w:line="300"/>
        <w:ind w:left="567" w:hanging="567"/>
      </w:pPr>
      <w:r>
        <w:t xml:space="preserve">1.	Fernández A, Hayashi M, Garrido G, Montero A, Guardia A, Suzuki T, et al. Genetics of non-syndromic and syndromic oculocutaneous albinism in human and mouse. Pigment Cell Melanoma Res. 2021;34(4):786-799. doi:10.1111/pcmr.12982</w:t>
      </w:r>
    </w:p>
    <w:p>
      <w:pPr>
        <w:tabs>
          <w:tab w:val="left" w:pos="567"/>
        </w:tabs>
        <w:spacing w:after="120" w:line="300"/>
        <w:ind w:left="567" w:hanging="567"/>
      </w:pPr>
      <w:r>
        <w:t xml:space="preserve">2.	Wright CY, Norval M, Hertle RW. Oculocutaneous albinism in sub-Saharan Africa: adverse sun-associated health effects and photoprotection. Photochem Photobiol. 2015;91(1):27-32. doi:10.1111/php.12359</w:t>
      </w:r>
    </w:p>
    <w:p>
      <w:pPr>
        <w:tabs>
          <w:tab w:val="left" w:pos="567"/>
        </w:tabs>
        <w:spacing w:after="120" w:line="300"/>
        <w:ind w:left="567" w:hanging="567"/>
      </w:pPr>
      <w:r>
        <w:t xml:space="preserve">3.	Kromberg JGR, Flynn KA, Kerr RA. Determining a worldwide prevalence of oculocutaneous albinism: a systematic review. Invest Ophthalmol Vis Sci. 2023;64(10):14. doi:10.1167/iovs.64.10.14</w:t>
      </w:r>
    </w:p>
    <w:p>
      <w:pPr>
        <w:tabs>
          <w:tab w:val="left" w:pos="567"/>
        </w:tabs>
        <w:spacing w:after="120" w:line="300"/>
        <w:ind w:left="567" w:hanging="567"/>
      </w:pPr>
      <w:r>
        <w:t xml:space="preserve">4.	Luande J, Henschke CI, Mohammed N. The Tanzanian human albino skin. Natural history. Cancer. 1985;55(8):1823-1828. doi:10.1002/1097-0142(19850415)55:8&lt;1823::aid-cncr2820550830&gt;3.0.co;2-x</w:t>
      </w:r>
    </w:p>
    <w:p>
      <w:pPr>
        <w:tabs>
          <w:tab w:val="left" w:pos="567"/>
        </w:tabs>
        <w:spacing w:after="120" w:line="300"/>
        <w:ind w:left="567" w:hanging="567"/>
      </w:pPr>
      <w:r>
        <w:t xml:space="preserve">5.	Mabula JB, Chalya PL, Mchembe MD, Jaka H, Giiti G, Rambau P, et al. Skin cancers among albinos at a university teaching hospital in Northwestern Tanzania: a retrospective review of 64 cases. BMC Dermatol. 2012;12:5. doi:10.1186/1471-5945-12-5</w:t>
      </w:r>
    </w:p>
    <w:p>
      <w:pPr>
        <w:tabs>
          <w:tab w:val="left" w:pos="567"/>
        </w:tabs>
        <w:spacing w:after="120" w:line="300"/>
        <w:ind w:left="567" w:hanging="567"/>
      </w:pPr>
      <w:r>
        <w:t xml:space="preserve">6.	Hong ES, Zeeb H, Repacholi MH. Albinism in Africa as a public health issue. BMC Public Health. 2006;6:212. doi:10.1186/1471-2458-6-212</w:t>
      </w:r>
    </w:p>
    <w:p>
      <w:pPr>
        <w:tabs>
          <w:tab w:val="left" w:pos="567"/>
        </w:tabs>
        <w:spacing w:after="120" w:line="300"/>
        <w:ind w:left="567" w:hanging="567"/>
      </w:pPr>
      <w:r>
        <w:t xml:space="preserve">7.	Kromberg JGR, Kerr R. Oculocutaneous albinism in southern Africa: historical background, genetic, clinical and psychosocial issues. Afr J Disabil. 2022;11:a877. doi:10.4102/ajod.v11i0.877</w:t>
      </w:r>
    </w:p>
    <w:p>
      <w:pPr>
        <w:tabs>
          <w:tab w:val="left" w:pos="567"/>
        </w:tabs>
        <w:spacing w:after="120" w:line="300"/>
        <w:ind w:left="567" w:hanging="567"/>
      </w:pPr>
      <w:r>
        <w:t xml:space="preserve">8.	Kiprono SK, Chaula BM, Beltraminelli H. Histological review of skin cancers in African albinos: a 10-year retrospective review. BMC Cancer. 2014;14:157. doi:10.1186/1471-2407-14-157</w:t>
      </w:r>
    </w:p>
    <w:p>
      <w:pPr>
        <w:tabs>
          <w:tab w:val="left" w:pos="567"/>
        </w:tabs>
        <w:spacing w:after="120" w:line="300"/>
        <w:ind w:left="567" w:hanging="567"/>
      </w:pPr>
      <w:r>
        <w:t xml:space="preserve">9.	Onyishi NT, Ohayi SR. Prevalence of squamous and basal cell carcinomas in African albino skin cancer lesions: a systematic review and meta-analysis of proportion. J Skin Cancer. 2022;2022:5014610. doi:10.1155/2022/5014610</w:t>
      </w:r>
    </w:p>
    <w:p>
      <w:pPr>
        <w:tabs>
          <w:tab w:val="left" w:pos="567"/>
        </w:tabs>
        <w:spacing w:after="120" w:line="300"/>
        <w:ind w:left="567" w:hanging="567"/>
      </w:pPr>
      <w:r>
        <w:t xml:space="preserve">10.	Lekalakala PT, Khammissa RAG, Kramer B, Ayo-Yusuf OA, Lemmer J, Feller L. Oculocutaneous albinism and squamous cell carcinoma of the skin of the head and neck in sub-Saharan Africa. J Skin Cancer. 2015;2015:167847. doi:10.1155/2015/167847</w:t>
      </w:r>
    </w:p>
    <w:p>
      <w:pPr>
        <w:tabs>
          <w:tab w:val="left" w:pos="567"/>
        </w:tabs>
        <w:spacing w:after="120" w:line="300"/>
        <w:ind w:left="567" w:hanging="567"/>
      </w:pPr>
      <w:r>
        <w:t xml:space="preserve">11.	Slaughter DP, Southwick HW, Smejkal W. "Field cancerization" in oral stratified squamous epithelium; clinical implications of multicentric origin. Cancer. 1953;6(5):963-968. doi:10.1002/1097-0142(195309)6:5&lt;963::aid-cncr2820060515&gt;3.0.co;2-q</w:t>
      </w:r>
    </w:p>
    <w:p>
      <w:pPr>
        <w:tabs>
          <w:tab w:val="left" w:pos="567"/>
        </w:tabs>
        <w:spacing w:after="120" w:line="300"/>
        <w:ind w:left="567" w:hanging="567"/>
      </w:pPr>
      <w:r>
        <w:t xml:space="preserve">12.	Riley DS, Barber MS, Kienle GS, Aronson JK, von Schoen-Angerer T, Tugwell P, et al. CARE guidelines for case reports: explanation and elaboration document. J Clin Epidemiol. 2017;89:218-235. doi:10.1016/j.jclinepi.2017.04.026</w:t>
      </w:r>
    </w:p>
    <w:p>
      <w:pPr>
        <w:tabs>
          <w:tab w:val="left" w:pos="567"/>
        </w:tabs>
        <w:spacing w:after="120" w:line="300"/>
        <w:ind w:left="567" w:hanging="567"/>
      </w:pPr>
      <w:r>
        <w:t xml:space="preserve">13.	Ryu TH, Kye H, Choi JE, Ahn HH, Kye YC, Seo SH. Features causing confusion between basal cell carcinoma and squamous cell carcinoma in clinical diagnosis. Ann Dermatol. 2018;30(1):64-70. doi:10.5021/ad.2018.30.1.64</w:t>
      </w:r>
    </w:p>
    <w:p>
      <w:pPr>
        <w:tabs>
          <w:tab w:val="left" w:pos="567"/>
        </w:tabs>
        <w:spacing w:after="120" w:line="300"/>
        <w:ind w:left="567" w:hanging="567"/>
      </w:pPr>
      <w:r>
        <w:t xml:space="preserve">14.	Keohane SG, Botting J, Budny PG, Dolan OM, Fife K, Harwood CA, et al. British Association of Dermatologists guidelines for the management of people with cutaneous squamous cell carcinoma 2020. Br J Dermatol. 2021;184(3):401-414. doi:10.1111/bjd.19621</w:t>
      </w:r>
    </w:p>
    <w:p>
      <w:pPr>
        <w:tabs>
          <w:tab w:val="left" w:pos="567"/>
        </w:tabs>
        <w:spacing w:after="120" w:line="300"/>
        <w:ind w:left="567" w:hanging="567"/>
      </w:pPr>
      <w:r>
        <w:t xml:space="preserve">15.	Stratigos AJ, Dessinioti C, Garbe C, Lebbe C, Amaral T, Bataille V, et al. European consensus-based interdisciplinary guideline for invasive cutaneous squamous cell carcinoma: Part 2. Treatment - update 2026. Eur J Cancer. 2026;243:116764. doi:10.1016/j.ejca.2026.116764</w:t>
      </w:r>
    </w:p>
    <w:p>
      <w:pPr>
        <w:tabs>
          <w:tab w:val="left" w:pos="567"/>
        </w:tabs>
        <w:spacing w:after="120" w:line="300"/>
        <w:ind w:left="567" w:hanging="567"/>
      </w:pPr>
      <w:r>
        <w:t xml:space="preserve">16.	Warren S, Gates O. Multiple primary malignant tumors: a survey of the literature and a statistical study. Am J Cancer. 1932;16:1358-1414.</w:t>
      </w:r>
    </w:p>
    <w:p>
      <w:pPr>
        <w:tabs>
          <w:tab w:val="left" w:pos="567"/>
        </w:tabs>
        <w:spacing w:after="120" w:line="300"/>
        <w:ind w:left="567" w:hanging="567"/>
      </w:pPr>
      <w:r>
        <w:t xml:space="preserve">17.	Wehner MR, Linos E, Parvataneni R, Stuart SE, Boscardin WJ, Chren MM. Timing of subsequent new tumors in patients who present with basal cell carcinoma or cutaneous squamous cell carcinoma. JAMA Dermatol. 2015;151(4):382-388. doi:10.1001/jamadermatol.2014.3307</w:t>
      </w:r>
    </w:p>
    <w:p>
      <w:pPr>
        <w:tabs>
          <w:tab w:val="left" w:pos="567"/>
        </w:tabs>
        <w:spacing w:after="120" w:line="300"/>
        <w:ind w:left="567" w:hanging="567"/>
      </w:pPr>
      <w:r>
        <w:t xml:space="preserve">18.	Tong JY, Huilgol SC, James C, Rajak S, Selva D. Perineural invasion and perineural spread in periocular squamous cell carcinoma. Eye (Lond). 2023;37(5):875-884. doi:10.1038/s41433-022-02306-w</w:t>
      </w:r>
    </w:p>
    <w:p>
      <w:pPr>
        <w:tabs>
          <w:tab w:val="left" w:pos="567"/>
        </w:tabs>
        <w:spacing w:after="120" w:line="300"/>
        <w:ind w:left="567" w:hanging="567"/>
      </w:pPr>
      <w:r>
        <w:t xml:space="preserve">19.	Genders RE, Marsidi N, Michi M, Henny EP, Goeman JJ, van Kester MS. Incomplete excision of cutaneous squamous cell carcinoma; systematic review of the literature. Acta Derm Venereol. 2020;100(6):adv00084. doi:10.2340/00015555-3441</w:t>
      </w:r>
    </w:p>
    <w:p>
      <w:pPr>
        <w:tabs>
          <w:tab w:val="left" w:pos="567"/>
        </w:tabs>
        <w:spacing w:after="120" w:line="300"/>
        <w:ind w:left="567" w:hanging="567"/>
      </w:pPr>
      <w:r>
        <w:t xml:space="preserve">20.	Bovill ES, Banwell PE. Re-excision of incompletely excised cutaneous squamous cell carcinoma: histological findings influence prognosis. J Plast Reconstr Aesthet Surg. 2012;65:1390-1395. doi:10.1016/j.bjps.2012.04.031</w:t>
      </w:r>
    </w:p>
    <w:p>
      <w:pPr>
        <w:tabs>
          <w:tab w:val="left" w:pos="567"/>
        </w:tabs>
        <w:spacing w:after="120" w:line="300"/>
        <w:ind w:left="567" w:hanging="567"/>
      </w:pPr>
      <w:r>
        <w:t xml:space="preserve">21.	Alam M, Armstrong A, Baum C, Bordeaux JS, Brown M, Busam KJ, et al. Guidelines of care for the management of cutaneous squamous cell carcinoma. J Am Acad Dermatol. 2018;78(3):560-578. doi:10.1016/j.jaad.2017.10.007</w:t>
      </w:r>
    </w:p>
    <w:p>
      <w:pPr>
        <w:tabs>
          <w:tab w:val="left" w:pos="567"/>
        </w:tabs>
        <w:spacing w:after="120" w:line="300"/>
        <w:ind w:left="567" w:hanging="567"/>
      </w:pPr>
      <w:r>
        <w:t xml:space="preserve">22.	Lansbury L, Bath-Hextall F, Perkins W, Stanton W, Leonardi-Bee J. Interventions for non-metastatic squamous cell carcinoma of the skin: systematic review and pooled analysis of observational studies. BMJ. 2013;347:f6153. doi:10.1136/bmj.f6153</w:t>
      </w:r>
    </w:p>
    <w:p>
      <w:pPr>
        <w:tabs>
          <w:tab w:val="left" w:pos="567"/>
        </w:tabs>
        <w:spacing w:after="120" w:line="300"/>
        <w:ind w:left="567" w:hanging="567"/>
      </w:pPr>
      <w:r>
        <w:t xml:space="preserve">23.	Leibovitch I, Huilgol SC, Selva D, Hill D, Richards S, Paver R. Cutaneous squamous cell carcinoma treated with Mohs micrographic surgery in Australia I. Experience over 10 years. J Am Acad Dermatol. 2005;53(2):253-260. doi:10.1016/j.jaad.2005.02.059</w:t>
      </w:r>
    </w:p>
    <w:p>
      <w:pPr>
        <w:tabs>
          <w:tab w:val="left" w:pos="567"/>
        </w:tabs>
        <w:spacing w:after="120" w:line="300"/>
        <w:ind w:left="567" w:hanging="567"/>
      </w:pPr>
      <w:r>
        <w:t xml:space="preserve">24.	Newlands C, Currie R, Memon A, Whitaker S, Woolford T. Non-melanoma skin cancer: United Kingdom National Multidisciplinary Guidelines. J Laryngol Otol. 2016;130(S2):S125-S132. doi:10.1017/S0022215116000554</w:t>
      </w:r>
    </w:p>
    <w:p>
      <w:pPr>
        <w:tabs>
          <w:tab w:val="left" w:pos="567"/>
        </w:tabs>
        <w:spacing w:after="120" w:line="300"/>
        <w:ind w:left="567" w:hanging="567"/>
      </w:pPr>
      <w:r>
        <w:t xml:space="preserve">25.	Lookingbill DP, Lookingbill GL, Leppard B. Actinic damage and skin cancer in albinos in northern Tanzania: findings in 164 patients enrolled in an outreach skin care program. J Am Acad Dermatol. 1995;32(4):653-658.</w:t>
      </w:r>
    </w:p>
    <w:p>
      <w:r>
        <w:br w:type="page"/>
      </w:r>
    </w:p>
    <w:p>
      <w:pPr>
        <w:pStyle w:val="Heading1"/>
        <w:spacing w:after="160" w:before="320"/>
      </w:pPr>
      <w:r>
        <w:rPr>
          <w:rFonts w:ascii="Times New Roman" w:cs="Times New Roman" w:eastAsia="Times New Roman" w:hAnsi="Times New Roman"/>
          <w:b/>
          <w:bCs/>
          <w:color w:val="000000"/>
          <w:sz w:val="26"/>
          <w:szCs w:val="26"/>
        </w:rPr>
        <w:t xml:space="preserve">Figure legends</w:t>
      </w:r>
    </w:p>
    <w:p>
      <w:pPr>
        <w:spacing w:after="160" w:line="360"/>
      </w:pPr>
      <w:r>
        <w:rPr>
          <w:b/>
          <w:bCs/>
        </w:rPr>
        <w:t xml:space="preserve">Figure 1. </w:t>
      </w:r>
      <w:r>
        <w:t xml:space="preserve">Histopathology of the right orbital exenteration specimen obtained three years before the current presentation (haematoxylin and eosin). (A, B) Low-power views showing eyelid squamous cell carcinoma with stromal invasion and a peritumoural inflammatory infiltrate. (C) Tumour present at the resection margin. (D) High-power view showing pleomorphic, hyperchromatic squamous cells with an increased nuclear-to-cytoplasmic ratio and prominent nucleoli.</w:t>
      </w:r>
    </w:p>
    <w:p>
      <w:pPr>
        <w:spacing w:after="160" w:line="360"/>
      </w:pPr>
      <w:r>
        <w:rPr>
          <w:b/>
          <w:bCs/>
        </w:rPr>
        <w:t xml:space="preserve">Figure 2. </w:t>
      </w:r>
      <w:r>
        <w:t xml:space="preserve">Clinical and dermoscopic appearance of the neck lesion. Left: an ulcerated plaque on the right upper lateral neck, below the ear and just below the angle of the mandible (line), with a smaller crusted satellite lesion inferiorly. Centre: close-up view of the ulcerated plaque. Right: dermoscopy showing (A) central ulceration with a moist pink base, (B) yellow-amber serous crust at the periphery and (C) arborising vessels with pinpoint haemorrhages.</w:t>
      </w:r>
    </w:p>
    <w:p>
      <w:pPr>
        <w:spacing w:after="160" w:line="360"/>
      </w:pPr>
      <w:r>
        <w:rPr>
          <w:b/>
          <w:bCs/>
        </w:rPr>
        <w:t xml:space="preserve">Figure 3. </w:t>
      </w:r>
      <w:r>
        <w:t xml:space="preserve">Histopathology of the right neck lesion (haematoxylin and eosin). (A, B) Low-power views showing keratinising stratified squamous epithelium giving rise to nests of invasive squamous cell carcinoma that infiltrate the dermis, with keratin pearl formation. (C, D) High-power views showing pleomorphic, hyperchromatic polygonal cells with intercellular bridges, an increased nuclear-to-cytoplasmic ratio, vesicular chromatin and prominent nucleoli.</w:t>
      </w:r>
    </w:p>
    <w:p>
      <w:r>
        <w:br w:type="page"/>
      </w:r>
    </w:p>
    <w:p>
      <w:pPr>
        <w:spacing w:after="200"/>
      </w:pPr>
      <w:r>
        <w:rPr>
          <w:b/>
          <w:bCs/>
        </w:rPr>
        <w:t xml:space="preserve">Figure 1</w:t>
      </w:r>
    </w:p>
    <w:p>
      <w:pPr>
        <w:jc w:val="left"/>
      </w:pPr>
      <w:r>
        <w:drawing>
          <wp:inline distT="0" distB="0" distL="0" distR="0">
            <wp:extent cx="4524375" cy="3114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24375" cy="3114675"/>
                    </a:xfrm>
                    <a:prstGeom prst="rect">
                      <a:avLst/>
                    </a:prstGeom>
                  </pic:spPr>
                </pic:pic>
              </a:graphicData>
            </a:graphic>
          </wp:inline>
        </w:drawing>
      </w:r>
    </w:p>
    <w:p>
      <w:r>
        <w:br w:type="page"/>
      </w:r>
    </w:p>
    <w:p>
      <w:pPr>
        <w:spacing w:after="200"/>
      </w:pPr>
      <w:r>
        <w:rPr>
          <w:b/>
          <w:bCs/>
        </w:rPr>
        <w:t xml:space="preserve">Figure 2</w:t>
      </w:r>
    </w:p>
    <w:p>
      <w:pPr>
        <w:jc w:val="left"/>
      </w:pPr>
      <w:r>
        <w:drawing>
          <wp:inline distT="0" distB="0" distL="0" distR="0">
            <wp:extent cx="5715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095625"/>
                    </a:xfrm>
                    <a:prstGeom prst="rect">
                      <a:avLst/>
                    </a:prstGeom>
                  </pic:spPr>
                </pic:pic>
              </a:graphicData>
            </a:graphic>
          </wp:inline>
        </w:drawing>
      </w:r>
    </w:p>
    <w:p>
      <w:r>
        <w:br w:type="page"/>
      </w:r>
    </w:p>
    <w:p>
      <w:pPr>
        <w:spacing w:after="200"/>
      </w:pPr>
      <w:r>
        <w:rPr>
          <w:b/>
          <w:bCs/>
        </w:rPr>
        <w:t xml:space="preserve">Figure 3</w:t>
      </w:r>
    </w:p>
    <w:p>
      <w:pPr>
        <w:jc w:val="left"/>
      </w:pPr>
      <w:r>
        <w:drawing>
          <wp:inline distT="0" distB="0" distL="0" distR="0">
            <wp:extent cx="424815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248150" cy="2943225"/>
                    </a:xfrm>
                    <a:prstGeom prst="rect">
                      <a:avLst/>
                    </a:prstGeom>
                  </pic:spPr>
                </pic:pic>
              </a:graphicData>
            </a:graphic>
          </wp:inline>
        </w:drawing>
      </w:r>
    </w:p>
    <w:sectPr>
      <w:footerReference w:type="default" r:id="rId7"/>
      <w:pgSz w:w="11906" w:h="16838" w:orient="portrait"/>
      <w:pgMar w:top="1440" w:right="1440" w:bottom="1440" w:left="1440" w:header="708" w:footer="708" w:gutter="0"/>
      <w:lnNumType w:countBy="1" w:restart="continuous" w:distance="36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Times New Roman" w:cs="Times New Roman" w:eastAsia="Times New Roman" w:hAnsi="Times New Roman"/>
      <w:b/>
      <w:bCs/>
      <w:color w:val="000000"/>
      <w:sz w:val="26"/>
      <w:szCs w:val="26"/>
    </w:rPr>
  </w:style>
  <w:style w:type="paragraph" w:styleId="Heading2">
    <w:name w:val="Heading 2"/>
    <w:basedOn w:val="Normal"/>
    <w:next w:val="Normal"/>
    <w:qFormat/>
    <w:pPr>
      <w:spacing w:after="120" w:before="200"/>
      <w:outlineLvl w:val="1"/>
    </w:pPr>
    <w:rPr>
      <w:rFonts w:ascii="Times New Roman" w:cs="Times New Roman" w:eastAsia="Times New Roman" w:hAnsi="Times New Roman"/>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65702ec26044280b43123ca80094cd0b9e2b66fd.png"/><Relationship Id="rId9" Type="http://schemas.openxmlformats.org/officeDocument/2006/relationships/image" Target="media/647809efcd931f67ba83f3e03e1acdc895dcc1d8.png"/><Relationship Id="rId10" Type="http://schemas.openxmlformats.org/officeDocument/2006/relationships/image" Target="media/b29cd6da78af74720a770787e89d6ae9f2b9c293.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Metachronous cutaneous squamous cell carcinoma in a Tanzanian woman with oculocutaneous albinism: diagnostic and management challenges in a resource-limited setting. A case report</dc:title>
  <dc:creator>Msangi et al.</dc:creator>
  <cp:lastModifiedBy>Un-named</cp:lastModifiedBy>
  <cp:revision>1</cp:revision>
  <dcterms:created xsi:type="dcterms:W3CDTF">2026-09-29T04:15:37.857Z</dcterms:created>
  <dcterms:modified xsi:type="dcterms:W3CDTF">2026-09-29T04:15:37.857Z</dcterms:modified>
</cp:coreProperties>
</file>

<file path=docProps/custom.xml><?xml version="1.0" encoding="utf-8"?>
<Properties xmlns="http://schemas.openxmlformats.org/officeDocument/2006/custom-properties" xmlns:vt="http://schemas.openxmlformats.org/officeDocument/2006/docPropsVTypes"/>
</file>