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7616" w:rsidRDefault="00844001" w:rsidP="001502D8">
      <w:pPr>
        <w:spacing w:after="160"/>
        <w:jc w:val="center"/>
      </w:pPr>
      <w:r>
        <w:rPr>
          <w:b/>
          <w:bCs/>
          <w:sz w:val="28"/>
          <w:szCs w:val="28"/>
          <w:lang w:val="en-US"/>
        </w:rPr>
        <w:t>[[</w:t>
      </w:r>
      <w:r w:rsidR="00000000">
        <w:rPr>
          <w:b/>
          <w:bCs/>
          <w:sz w:val="28"/>
          <w:szCs w:val="28"/>
        </w:rPr>
        <w:t>Synchronous Basal Cell Carcinoma and Field Cancerization in a Patient with Oculocutaneous Albinism Following Prior Orbital Squamous Cell Carcinoma: A Case Report from Tanzania</w:t>
      </w:r>
    </w:p>
    <w:p w:rsidR="00157616" w:rsidRDefault="00157616" w:rsidP="001502D8">
      <w:pPr>
        <w:spacing w:before="40" w:after="40"/>
        <w:jc w:val="center"/>
      </w:pPr>
    </w:p>
    <w:p w:rsidR="00157616" w:rsidRDefault="001502D8" w:rsidP="001502D8">
      <w:pPr>
        <w:spacing w:after="80"/>
        <w:jc w:val="center"/>
      </w:pPr>
      <w:r w:rsidRPr="001502D8">
        <w:rPr>
          <w:i/>
          <w:iCs/>
        </w:rPr>
        <w:t>Dr. Elizabeth Msangi</w:t>
      </w:r>
      <w:r>
        <w:rPr>
          <w:i/>
          <w:iCs/>
          <w:lang w:val="en-US"/>
        </w:rPr>
        <w:t xml:space="preserve">,: </w:t>
      </w:r>
      <w:r w:rsidRPr="001502D8">
        <w:rPr>
          <w:i/>
          <w:iCs/>
        </w:rPr>
        <w:t>Dr. Eliachi Minja</w:t>
      </w:r>
      <w:r>
        <w:rPr>
          <w:i/>
          <w:iCs/>
          <w:lang w:val="en-US"/>
        </w:rPr>
        <w:t xml:space="preserve">,: </w:t>
      </w:r>
      <w:r>
        <w:rPr>
          <w:i/>
          <w:iCs/>
        </w:rPr>
        <w:t>Silas F. Gamba</w:t>
      </w:r>
      <w:r>
        <w:rPr>
          <w:i/>
          <w:iCs/>
          <w:lang w:val="en-US"/>
        </w:rPr>
        <w:t xml:space="preserve">,: </w:t>
      </w:r>
      <w:r>
        <w:rPr>
          <w:i/>
          <w:iCs/>
        </w:rPr>
        <w:t>Emmanuel Lusomi,; Evelyna Gasper,; Halima O. Suleiman,</w:t>
      </w:r>
    </w:p>
    <w:p w:rsidR="00157616" w:rsidRDefault="00000000" w:rsidP="001502D8">
      <w:pPr>
        <w:spacing w:after="80"/>
        <w:jc w:val="center"/>
      </w:pPr>
      <w:r>
        <w:rPr>
          <w:sz w:val="20"/>
          <w:szCs w:val="20"/>
        </w:rPr>
        <w:t>Department of Internal Medicine &amp; Dermatology, Muhimbili National Hospital / Ocean Road Cancer Institute, Dar es Salaam, Tanzania</w:t>
      </w:r>
    </w:p>
    <w:p w:rsidR="00157616" w:rsidRDefault="00157616" w:rsidP="001502D8">
      <w:pPr>
        <w:spacing w:before="40" w:after="40"/>
        <w:jc w:val="center"/>
      </w:pPr>
    </w:p>
    <w:p w:rsidR="00157616" w:rsidRDefault="00000000" w:rsidP="001502D8">
      <w:pPr>
        <w:spacing w:after="80"/>
        <w:jc w:val="center"/>
      </w:pPr>
      <w:r>
        <w:rPr>
          <w:i/>
          <w:iCs/>
          <w:sz w:val="20"/>
          <w:szCs w:val="20"/>
        </w:rPr>
        <w:t>Correspondence: [Corresponding author contact details]</w:t>
      </w:r>
    </w:p>
    <w:p w:rsidR="00157616" w:rsidRDefault="00000000" w:rsidP="001502D8">
      <w:pPr>
        <w:spacing w:after="200"/>
        <w:jc w:val="center"/>
      </w:pPr>
      <w:r>
        <w:rPr>
          <w:sz w:val="20"/>
          <w:szCs w:val="20"/>
        </w:rPr>
        <w:t>Conflict of interest: None declared. Funding: None. Patient consent obtained.</w:t>
      </w:r>
    </w:p>
    <w:p w:rsidR="00157616" w:rsidRDefault="00000000" w:rsidP="001502D8">
      <w:pPr>
        <w:jc w:val="both"/>
      </w:pPr>
      <w:r>
        <w:br w:type="page"/>
      </w:r>
    </w:p>
    <w:p w:rsidR="00157616" w:rsidRDefault="00000000" w:rsidP="001502D8">
      <w:pPr>
        <w:pStyle w:val="Heading1"/>
        <w:jc w:val="both"/>
      </w:pPr>
      <w:r>
        <w:rPr>
          <w:caps/>
        </w:rPr>
        <w:lastRenderedPageBreak/>
        <w:t>Abstract</w:t>
      </w:r>
    </w:p>
    <w:p w:rsidR="00157616" w:rsidRDefault="00000000" w:rsidP="001502D8">
      <w:pPr>
        <w:spacing w:before="60" w:after="60" w:line="276" w:lineRule="auto"/>
        <w:jc w:val="both"/>
      </w:pPr>
      <w:r>
        <w:t>Background: Oculocutaneous albinism (OCA) is a group of autosomal recessive disorders characterized by defective melanin biosynthesis, conferring markedly elevated ultraviolet (UV)-induced skin cancer risk. In sub-Saharan Africa (SSA), where albinism prevalence is among the highest globally (up to 1:1,000 births), affected individuals face a disproportionate and underappreciated burden of multiple, often concurrent, keratinocyte malignancies.</w:t>
      </w:r>
    </w:p>
    <w:p w:rsidR="00157616" w:rsidRDefault="00000000" w:rsidP="001502D8">
      <w:pPr>
        <w:spacing w:before="60" w:after="60" w:line="276" w:lineRule="auto"/>
        <w:jc w:val="both"/>
      </w:pPr>
      <w:r>
        <w:t>Case Presentation: We report a 48-year-old Tanzanian woman with OCA who presented with a 3-year history of progressive cutaneous lesions on sun-exposed areas and a 5-month history of a non-healing ulcer on the left cheek. Crucially, her history was notable for a prior right-sided ocular squamous cell carcinoma (SCC) of the eyelid diagnosed in 2023, for which orbital exenteration was performed; histopathology confirmed eyelid SCC with positive (involved) surgical margins. The current lesion demonstrated dermoscopic features of nodular basal cell carcinoma (BCC) superimposed on a background of extensive actinic keratosis (AK) and field cancerization. This case illustrates the rare but important phenomenon of metachronous and synchronous multi-lineage keratinocyte carcinomas in OCA, posing significant diagnostic, therapeutic, and public health challenges in a resource-limited East African context.</w:t>
      </w:r>
    </w:p>
    <w:p w:rsidR="00157616" w:rsidRDefault="00000000" w:rsidP="001502D8">
      <w:pPr>
        <w:spacing w:before="60" w:after="60" w:line="276" w:lineRule="auto"/>
        <w:jc w:val="both"/>
      </w:pPr>
      <w:r>
        <w:t>Conclusion: This case underscores the urgent need for structured photoprotection programs, systematic dermatologic surveillance, and multidisciplinary cancer care pathways for persons with albinism (PWA) in Tanzania and across SSA. It further highlights the diagnostic complexity posed by synchronous and metachronous tumors in field-cancerized skin, requiring careful histopathologic characterization to guide appropriate management.</w:t>
      </w:r>
    </w:p>
    <w:p w:rsidR="00157616" w:rsidRDefault="00157616" w:rsidP="001502D8">
      <w:pPr>
        <w:spacing w:before="40" w:after="40"/>
        <w:jc w:val="both"/>
      </w:pPr>
    </w:p>
    <w:p w:rsidR="00157616" w:rsidRDefault="00000000" w:rsidP="001502D8">
      <w:pPr>
        <w:spacing w:before="60" w:after="60" w:line="276" w:lineRule="auto"/>
        <w:jc w:val="both"/>
      </w:pPr>
      <w:r>
        <w:rPr>
          <w:i/>
          <w:iCs/>
        </w:rPr>
        <w:t>Keywords: oculocutaneous albinism; basal cell carcinoma; squamous cell carcinoma; field cancerization; synchronous tumors; metachronous tumors; Tanzania; sub-Saharan Africa; actinic keratosis; photoprotection</w:t>
      </w:r>
    </w:p>
    <w:p w:rsidR="00157616" w:rsidRDefault="00000000" w:rsidP="001502D8">
      <w:pPr>
        <w:jc w:val="both"/>
      </w:pPr>
      <w:r>
        <w:br w:type="page"/>
      </w:r>
    </w:p>
    <w:p w:rsidR="00157616" w:rsidRDefault="00000000" w:rsidP="001502D8">
      <w:pPr>
        <w:pStyle w:val="Heading1"/>
        <w:jc w:val="both"/>
      </w:pPr>
      <w:r>
        <w:rPr>
          <w:caps/>
        </w:rPr>
        <w:lastRenderedPageBreak/>
        <w:t>Introduction</w:t>
      </w:r>
    </w:p>
    <w:p w:rsidR="00157616" w:rsidRDefault="00000000" w:rsidP="001502D8">
      <w:pPr>
        <w:spacing w:before="60" w:after="60" w:line="276" w:lineRule="auto"/>
        <w:jc w:val="both"/>
      </w:pPr>
      <w:r>
        <w:t>Oculocutaneous albinism (OCA) encompasses a heterogeneous group of autosomal recessive disorders defined by the absence or marked reduction of melanin in the skin, hair, and eyes due to mutations in genes regulating the melanin biosynthetic pathway.1 Eight genetic subtypes (OCA1–OCA8) have been characterized, with OCA type 2—caused by mutations in the OCA2 gene altering melanosomal pH—being the most prevalent globally and accounting for approximately 80% of cases in Africa.2,3</w:t>
      </w:r>
    </w:p>
    <w:p w:rsidR="00157616" w:rsidRDefault="00000000" w:rsidP="001502D8">
      <w:pPr>
        <w:spacing w:before="60" w:after="60" w:line="276" w:lineRule="auto"/>
        <w:jc w:val="both"/>
      </w:pPr>
      <w:r>
        <w:t>Sub-Saharan Africa bears a uniquely high burden of albinism. While the global prevalence is estimated at 1:17,000 births, rates in SSA reach 1:1,000 in some populations, with Tanzania among the highest-burden countries.4 Persons with albinism (PWA) in this region face compounding disadvantages: intense equatorial UV exposure, limited access to photoprotection, widespread poverty, stigma, and inadequate dermatologic surveillance infrastructure.</w:t>
      </w:r>
    </w:p>
    <w:p w:rsidR="00157616" w:rsidRDefault="00000000" w:rsidP="001502D8">
      <w:pPr>
        <w:spacing w:before="60" w:after="60" w:line="276" w:lineRule="auto"/>
        <w:jc w:val="both"/>
      </w:pPr>
      <w:r>
        <w:t>The consequence is a devastating excess of UV-induced skin malignancy, occurring at a markedly younger age than in the general population. Squamous cell carcinoma (SCC) predominates (56.7%), followed by basal cell carcinoma (BCC; 37.4%) and melanoma (3.4%).5 Critically, the co-occurrence of multiple keratinocyte carcinomas in the same individual—whether developing simultaneously (synchronous) or sequentially (metachronous)—is a well-recognized but insufficiently documented phenomenon in OCA, particularly in the East African setting.</w:t>
      </w:r>
    </w:p>
    <w:p w:rsidR="00157616" w:rsidRDefault="00000000" w:rsidP="001502D8">
      <w:pPr>
        <w:spacing w:before="60" w:after="60" w:line="276" w:lineRule="auto"/>
        <w:jc w:val="both"/>
      </w:pPr>
      <w:r>
        <w:t>We present the case of a 48-year-old Tanzanian woman with OCA who developed BCC of the cheek superimposed on extensive field cancerization, three years after a prior eyelid SCC with incomplete surgical margins—exemplifying both the synchronous multi-lesion burden and the metachronous tumor sequence that characterize the natural history of UV-induced malignancy in OCA in Tanzania.</w:t>
      </w:r>
    </w:p>
    <w:p w:rsidR="001502D8" w:rsidRDefault="001502D8" w:rsidP="001502D8">
      <w:pPr>
        <w:jc w:val="both"/>
      </w:pPr>
    </w:p>
    <w:p w:rsidR="00157616" w:rsidRDefault="00000000" w:rsidP="001502D8">
      <w:pPr>
        <w:jc w:val="both"/>
      </w:pPr>
      <w:r>
        <w:rPr>
          <w:b/>
          <w:bCs/>
          <w:caps/>
          <w:sz w:val="26"/>
          <w:szCs w:val="26"/>
        </w:rPr>
        <w:t>Case Presentation</w:t>
      </w:r>
    </w:p>
    <w:p w:rsidR="00157616" w:rsidRDefault="00000000" w:rsidP="001502D8">
      <w:pPr>
        <w:pStyle w:val="Heading2"/>
        <w:jc w:val="both"/>
      </w:pPr>
      <w:r>
        <w:t>Patient Demographics and Background</w:t>
      </w:r>
    </w:p>
    <w:p w:rsidR="00157616" w:rsidRDefault="00000000" w:rsidP="001502D8">
      <w:pPr>
        <w:spacing w:before="60" w:after="60" w:line="276" w:lineRule="auto"/>
        <w:jc w:val="both"/>
      </w:pPr>
      <w:r>
        <w:t>A 48-year-old Tanzanian woman with OCA, residing in Arusha and employed as a subsistence farmer (occupation conferring maximal UV exposure), presented to the Dermatology outpatient clinic at Muhimbili National Hospital (MNH) during her third hospital admission. She had primary-level education and was uninsured, representing a typical socioeconomic profile of at-risk PWA in Tanzania. She had been diagnosed with hypertension three months prior but had self-discontinued antihypertensive therapy.</w:t>
      </w:r>
    </w:p>
    <w:p w:rsidR="00157616" w:rsidRDefault="00000000" w:rsidP="001502D8">
      <w:pPr>
        <w:pStyle w:val="Heading2"/>
        <w:jc w:val="both"/>
      </w:pPr>
      <w:r>
        <w:t>History of Presenting Illness</w:t>
      </w:r>
    </w:p>
    <w:p w:rsidR="00157616" w:rsidRDefault="00000000" w:rsidP="001502D8">
      <w:pPr>
        <w:spacing w:before="60" w:after="60" w:line="276" w:lineRule="auto"/>
        <w:jc w:val="both"/>
      </w:pPr>
      <w:r>
        <w:t>The patient reported a 3-year history of multiple progressive cutaneous lesions involving sun-exposed areas of the face, neck, and bilateral upper and lower extremities. Lesions began as small brown papules with pruritus and scaling, steadily increasing in number and surface area. Over the preceding five months, a lesion on the left lower cheek had become indurated and subsequently ulcerated.</w:t>
      </w:r>
    </w:p>
    <w:p w:rsidR="00157616" w:rsidRDefault="00000000" w:rsidP="001502D8">
      <w:pPr>
        <w:spacing w:before="60" w:after="60" w:line="276" w:lineRule="auto"/>
        <w:jc w:val="both"/>
      </w:pPr>
      <w:r>
        <w:t>Pertinent negative history included: no active bleeding or discharge from lesions, no mucosal ulceration, no sicca symptoms, no neuropathic symptoms, no constitutional symptoms (fever, night sweats, or unexplained weight loss), and no lymphadenopathy. There was no history of cigarette smoking or alcohol consumption, no prior sexually transmitted infection, and no active tuberculosis contact.</w:t>
      </w:r>
    </w:p>
    <w:p w:rsidR="00157616" w:rsidRDefault="00000000" w:rsidP="001502D8">
      <w:pPr>
        <w:spacing w:before="60" w:after="60" w:line="276" w:lineRule="auto"/>
        <w:jc w:val="both"/>
      </w:pPr>
      <w:r>
        <w:t>She reported lifelong extensive occupational UV exposure with inconsistent and largely absent photoprotection—she had never used sunscreen consistently. She had received four cycles of chemotherapy and external beam radiotherapy as adjuvant therapy following orbital exenteration in 2023. HIV status was confirmed negative two months prior to this admission.</w:t>
      </w:r>
    </w:p>
    <w:p w:rsidR="00157616" w:rsidRDefault="00000000" w:rsidP="001502D8">
      <w:pPr>
        <w:pStyle w:val="Heading2"/>
        <w:jc w:val="both"/>
      </w:pPr>
      <w:r>
        <w:lastRenderedPageBreak/>
        <w:t>Past Medical and Oncological History</w:t>
      </w:r>
    </w:p>
    <w:p w:rsidR="00157616" w:rsidRDefault="00000000" w:rsidP="001502D8">
      <w:pPr>
        <w:spacing w:before="60" w:after="60" w:line="276" w:lineRule="auto"/>
        <w:jc w:val="both"/>
      </w:pPr>
      <w:r>
        <w:t>In 2023, the patient presented to MNH with a right-sided ocular malignancy and was subsequently managed at Ocean Road Cancer Institute (ORCI). Histopathological analysis of the exenterated specimen confirmed squamous cell carcinoma originating from the right eyelid, with perineural invasion present and positive (involved) surgical resection margins—a finding of critical clinical significance indicating incomplete local disease control and high recurrence risk. She completed adjuvant chemo-radiation following exenteration and was placed on annual follow-up at ORCI, last reviewed in May 2025. No documentation of post-treatment imaging or margin re-excision was available at the time of this presentation.</w:t>
      </w:r>
    </w:p>
    <w:p w:rsidR="00157616" w:rsidRDefault="00000000" w:rsidP="001502D8">
      <w:pPr>
        <w:pStyle w:val="Heading2"/>
        <w:jc w:val="both"/>
      </w:pPr>
      <w:r>
        <w:t>Obstetric, Gynecological, and Family History</w:t>
      </w:r>
    </w:p>
    <w:p w:rsidR="00157616" w:rsidRDefault="00000000" w:rsidP="001502D8">
      <w:pPr>
        <w:spacing w:before="60" w:after="60" w:line="276" w:lineRule="auto"/>
        <w:jc w:val="both"/>
      </w:pPr>
      <w:r>
        <w:t>Parity 1, living 1; last delivery by spontaneous vaginal delivery 20 years prior. She was one year post-menopausal and not on hormonal replacement therapy. She reported prior use of injectable contraceptives. She was third-born of four siblings (one deceased from goiter, others alive and well), with no family history of albinism or other chronic skin or oncological disease.</w:t>
      </w:r>
    </w:p>
    <w:p w:rsidR="00157616" w:rsidRDefault="00000000" w:rsidP="001502D8">
      <w:pPr>
        <w:pStyle w:val="Heading2"/>
        <w:jc w:val="both"/>
      </w:pPr>
      <w:r>
        <w:t>Physical Examination</w:t>
      </w:r>
    </w:p>
    <w:p w:rsidR="00157616" w:rsidRDefault="00000000" w:rsidP="001502D8">
      <w:pPr>
        <w:spacing w:before="60" w:after="60" w:line="276" w:lineRule="auto"/>
        <w:jc w:val="both"/>
      </w:pPr>
      <w:r>
        <w:rPr>
          <w:b/>
          <w:bCs/>
        </w:rPr>
        <w:t xml:space="preserve">General: </w:t>
      </w:r>
      <w:r>
        <w:t>The patient was fully conscious, afebrile, and in no acute distress. She had straw-coloured hair with normal distribution, hypopigmented eyebrows, yellowish-orange irides, and left eye rotary nystagmus. The right orbital cavity was well-healed following prior exenteration. She was not pale, cyanosed, or jaundiced. No peripheral lymphadenopathy, digital clubbing, lower limb oedema, gottron papules, malar rash, or oral mucosal ulceration was identified.</w:t>
      </w:r>
    </w:p>
    <w:p w:rsidR="00157616" w:rsidRDefault="00000000" w:rsidP="001502D8">
      <w:pPr>
        <w:spacing w:before="60" w:after="60" w:line="276" w:lineRule="auto"/>
        <w:jc w:val="both"/>
      </w:pPr>
      <w:r>
        <w:rPr>
          <w:b/>
          <w:bCs/>
        </w:rPr>
        <w:t xml:space="preserve">Vital signs: </w:t>
      </w:r>
      <w:r>
        <w:t>BP 147/88 mmHg (repeat 126/70 mmHg post-rest), PR 86 bpm, RR 16 cpm, SpO₂ 99% on room air, temperature 36.7°C, RBG 6.1 mmol/L. BMI 20.7 kg/m² (weight 62 kg, height 173 cm).</w:t>
      </w:r>
    </w:p>
    <w:p w:rsidR="00157616" w:rsidRDefault="00000000" w:rsidP="001502D8">
      <w:pPr>
        <w:spacing w:before="60" w:after="60" w:line="276" w:lineRule="auto"/>
        <w:jc w:val="both"/>
      </w:pPr>
      <w:r>
        <w:rPr>
          <w:b/>
          <w:bCs/>
        </w:rPr>
        <w:t xml:space="preserve">Integumentary system – Scalp and neck: </w:t>
      </w:r>
      <w:r>
        <w:t>Coarse wrinkling with leathery, mottled texture at the nape, consistent with chronic actinic damage (solar elastosis).</w:t>
      </w:r>
    </w:p>
    <w:p w:rsidR="00157616" w:rsidRDefault="00000000" w:rsidP="001502D8">
      <w:pPr>
        <w:spacing w:before="60" w:after="60" w:line="276" w:lineRule="auto"/>
        <w:jc w:val="both"/>
      </w:pPr>
      <w:r>
        <w:rPr>
          <w:b/>
          <w:bCs/>
        </w:rPr>
        <w:t xml:space="preserve">Integumentary system – Face: </w:t>
      </w:r>
      <w:r>
        <w:t>Multiple rough, scaly erythematous papules with indurated hyperkeratotic plaques distributed across the face, in keeping with actinic keratoses (AK). A 2 × 2 cm ulcer was identified on the left lower cheek with the following characteristics: irregular margin, rolled (everted) border, erythematous base, firm consistency, non-tender, and mobile over underlying tissue. A satellite hyperkeratotic plaque with surrounding crusting and erythema was present adjacent to the primary ulcer.</w:t>
      </w:r>
    </w:p>
    <w:p w:rsidR="00157616" w:rsidRDefault="00000000" w:rsidP="001502D8">
      <w:pPr>
        <w:spacing w:before="60" w:after="60" w:line="276" w:lineRule="auto"/>
        <w:jc w:val="both"/>
      </w:pPr>
      <w:r>
        <w:rPr>
          <w:b/>
          <w:bCs/>
        </w:rPr>
        <w:t xml:space="preserve">Dermoscopy of the left cheek ulcer: </w:t>
      </w:r>
      <w:r>
        <w:t>Demonstrated arborizing telangiectatic vessels (sensitivity 83.7%, specificity 87.4% for BCC), central ulceration with moist pink base and amber serous crusting at the periphery, shiny white blotches (polarized mode), and pinpoint hemorrhages—collectively consistent with nodular BCC.</w:t>
      </w:r>
    </w:p>
    <w:p w:rsidR="00157616" w:rsidRDefault="00000000" w:rsidP="001502D8">
      <w:pPr>
        <w:spacing w:before="60" w:after="60" w:line="276" w:lineRule="auto"/>
        <w:jc w:val="both"/>
      </w:pPr>
      <w:r>
        <w:rPr>
          <w:b/>
          <w:bCs/>
        </w:rPr>
        <w:t xml:space="preserve">Extremities: </w:t>
      </w:r>
      <w:r>
        <w:t>Multiple erythematous, rough, scaly, hyperkeratotic patches and plaques on extensor surfaces of bilateral upper and lower limbs, consistent with AK and field cancerization. Nails were normal.</w:t>
      </w:r>
    </w:p>
    <w:p w:rsidR="00157616" w:rsidRDefault="00000000" w:rsidP="001502D8">
      <w:pPr>
        <w:spacing w:before="60" w:after="60" w:line="276" w:lineRule="auto"/>
        <w:jc w:val="both"/>
      </w:pPr>
      <w:r>
        <w:rPr>
          <w:b/>
          <w:bCs/>
        </w:rPr>
        <w:t xml:space="preserve">Systemic examination: </w:t>
      </w:r>
      <w:r>
        <w:t>Cardiovascular, respiratory, abdominal, neurological, and musculoskeletal examinations were unremarkable, with the exception of mild monocular visual reduction in the left eye (6/9 on Snellen chart).</w:t>
      </w:r>
    </w:p>
    <w:p w:rsidR="00157616" w:rsidRDefault="00000000" w:rsidP="001502D8">
      <w:pPr>
        <w:pStyle w:val="Heading2"/>
        <w:jc w:val="both"/>
      </w:pPr>
      <w:r>
        <w:t>Investigations</w:t>
      </w:r>
    </w:p>
    <w:p w:rsidR="00157616" w:rsidRDefault="00000000" w:rsidP="001502D8">
      <w:pPr>
        <w:spacing w:before="60" w:after="60" w:line="276" w:lineRule="auto"/>
        <w:jc w:val="both"/>
      </w:pPr>
      <w:r>
        <w:t>Laboratory investigations are summarised in Table 1. Briefly:</w:t>
      </w:r>
    </w:p>
    <w:p w:rsidR="00157616" w:rsidRDefault="00000000" w:rsidP="001502D8">
      <w:pPr>
        <w:pStyle w:val="ListParagraph"/>
        <w:numPr>
          <w:ilvl w:val="0"/>
          <w:numId w:val="2"/>
        </w:numPr>
        <w:spacing w:before="40" w:after="40" w:line="260" w:lineRule="auto"/>
        <w:jc w:val="both"/>
      </w:pPr>
      <w:r>
        <w:lastRenderedPageBreak/>
        <w:t>Full blood count revealed mild anaemia (Hb 12.98 g/dL; reference 13–17 g/dL) with normal white cell and platelet counts.</w:t>
      </w:r>
    </w:p>
    <w:p w:rsidR="00157616" w:rsidRDefault="00000000" w:rsidP="001502D8">
      <w:pPr>
        <w:pStyle w:val="ListParagraph"/>
        <w:numPr>
          <w:ilvl w:val="0"/>
          <w:numId w:val="2"/>
        </w:numPr>
        <w:spacing w:before="40" w:after="40" w:line="260" w:lineRule="auto"/>
        <w:jc w:val="both"/>
      </w:pPr>
      <w:r>
        <w:t>Renal function: Creatinine 72.6 µmol/L (normal); BUN 3.0 mmol/L (mildly low, likely nutritional).</w:t>
      </w:r>
    </w:p>
    <w:p w:rsidR="00157616" w:rsidRDefault="00000000" w:rsidP="001502D8">
      <w:pPr>
        <w:pStyle w:val="ListParagraph"/>
        <w:numPr>
          <w:ilvl w:val="0"/>
          <w:numId w:val="2"/>
        </w:numPr>
        <w:spacing w:before="40" w:after="40" w:line="260" w:lineRule="auto"/>
        <w:jc w:val="both"/>
      </w:pPr>
      <w:r>
        <w:t>Coagulation profile: PT, PTT, and INR within normal limits.</w:t>
      </w:r>
    </w:p>
    <w:p w:rsidR="00157616" w:rsidRDefault="00000000" w:rsidP="001502D8">
      <w:pPr>
        <w:pStyle w:val="ListParagraph"/>
        <w:numPr>
          <w:ilvl w:val="0"/>
          <w:numId w:val="2"/>
        </w:numPr>
        <w:spacing w:before="40" w:after="40" w:line="260" w:lineRule="auto"/>
        <w:jc w:val="both"/>
      </w:pPr>
      <w:r>
        <w:t>Lipid profile: within normal limits.</w:t>
      </w:r>
    </w:p>
    <w:p w:rsidR="00157616" w:rsidRDefault="00000000" w:rsidP="001502D8">
      <w:pPr>
        <w:pStyle w:val="ListParagraph"/>
        <w:numPr>
          <w:ilvl w:val="0"/>
          <w:numId w:val="2"/>
        </w:numPr>
        <w:spacing w:before="40" w:after="40" w:line="260" w:lineRule="auto"/>
        <w:jc w:val="both"/>
      </w:pPr>
      <w:r>
        <w:t>Urinalysis: unremarkable.</w:t>
      </w:r>
    </w:p>
    <w:p w:rsidR="00157616" w:rsidRDefault="00157616" w:rsidP="001502D8">
      <w:pPr>
        <w:spacing w:before="40" w:after="40"/>
        <w:jc w:val="both"/>
      </w:pPr>
    </w:p>
    <w:p w:rsidR="00157616" w:rsidRDefault="00000000" w:rsidP="001502D8">
      <w:pPr>
        <w:spacing w:before="60" w:after="60" w:line="276" w:lineRule="auto"/>
        <w:jc w:val="both"/>
      </w:pPr>
      <w:r>
        <w:t>Histopathological confirmation of the left cheek lesion via deep shave or punch biopsy was planned and pending at the time of this report. Retrieval of histopathological records and operative documentation from the 2023 exenteration was also initiated.</w:t>
      </w:r>
    </w:p>
    <w:p w:rsidR="00157616" w:rsidRDefault="00157616" w:rsidP="001502D8">
      <w:pPr>
        <w:spacing w:before="40" w:after="40"/>
        <w:jc w:val="both"/>
      </w:pPr>
    </w:p>
    <w:p w:rsidR="00157616" w:rsidRDefault="00000000" w:rsidP="001502D8">
      <w:pPr>
        <w:spacing w:before="80" w:after="40"/>
        <w:jc w:val="both"/>
      </w:pPr>
      <w:r>
        <w:rPr>
          <w:b/>
          <w:bCs/>
        </w:rPr>
        <w:t>Table 1. Summary of Laboratory Investigations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13"/>
        <w:gridCol w:w="3213"/>
      </w:tblGrid>
      <w:tr w:rsidR="00157616">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rsidR="00157616" w:rsidRDefault="00000000" w:rsidP="001502D8">
            <w:pPr>
              <w:jc w:val="both"/>
            </w:pPr>
            <w:r>
              <w:rPr>
                <w:b/>
                <w:bCs/>
                <w:sz w:val="20"/>
                <w:szCs w:val="20"/>
              </w:rPr>
              <w:t>Investigation</w:t>
            </w:r>
          </w:p>
        </w:tc>
        <w:tc>
          <w:tcPr>
            <w:tcW w:w="221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rsidR="00157616" w:rsidRDefault="00000000" w:rsidP="001502D8">
            <w:pPr>
              <w:jc w:val="both"/>
            </w:pPr>
            <w:r>
              <w:rPr>
                <w:b/>
                <w:bCs/>
                <w:sz w:val="20"/>
                <w:szCs w:val="20"/>
              </w:rPr>
              <w:t>Result</w:t>
            </w:r>
          </w:p>
        </w:tc>
        <w:tc>
          <w:tcPr>
            <w:tcW w:w="3213"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rsidR="00157616" w:rsidRDefault="00000000" w:rsidP="001502D8">
            <w:pPr>
              <w:jc w:val="both"/>
            </w:pPr>
            <w:r>
              <w:rPr>
                <w:b/>
                <w:bCs/>
                <w:sz w:val="20"/>
                <w:szCs w:val="20"/>
              </w:rPr>
              <w:t>Reference Range</w:t>
            </w:r>
          </w:p>
        </w:tc>
      </w:tr>
      <w:tr w:rsidR="00157616">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Haemoglobin (g/dL)</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12.98</w:t>
            </w:r>
          </w:p>
        </w:tc>
        <w:tc>
          <w:tcPr>
            <w:tcW w:w="3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13.0–17.0</w:t>
            </w:r>
          </w:p>
        </w:tc>
      </w:tr>
      <w:tr w:rsidR="00157616">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WBC (K/µL)</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4.619</w:t>
            </w:r>
          </w:p>
        </w:tc>
        <w:tc>
          <w:tcPr>
            <w:tcW w:w="3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4.0–10.0</w:t>
            </w:r>
          </w:p>
        </w:tc>
      </w:tr>
      <w:tr w:rsidR="00157616">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Platelets (K/µL)</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296.6</w:t>
            </w:r>
          </w:p>
        </w:tc>
        <w:tc>
          <w:tcPr>
            <w:tcW w:w="3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150–410</w:t>
            </w:r>
          </w:p>
        </w:tc>
      </w:tr>
      <w:tr w:rsidR="00157616">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Creatinine (µmol/L)</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72.6</w:t>
            </w:r>
          </w:p>
        </w:tc>
        <w:tc>
          <w:tcPr>
            <w:tcW w:w="3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63.6–110.6</w:t>
            </w:r>
          </w:p>
        </w:tc>
      </w:tr>
      <w:tr w:rsidR="00157616">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BUN (mmol/L)</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3.0</w:t>
            </w:r>
          </w:p>
        </w:tc>
        <w:tc>
          <w:tcPr>
            <w:tcW w:w="3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3.7–7.4</w:t>
            </w:r>
          </w:p>
        </w:tc>
      </w:tr>
      <w:tr w:rsidR="00157616">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PT (sec)</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10.4</w:t>
            </w:r>
          </w:p>
        </w:tc>
        <w:tc>
          <w:tcPr>
            <w:tcW w:w="3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9.9–11.8</w:t>
            </w:r>
          </w:p>
        </w:tc>
      </w:tr>
      <w:tr w:rsidR="00157616">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INR</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0.99</w:t>
            </w:r>
          </w:p>
        </w:tc>
        <w:tc>
          <w:tcPr>
            <w:tcW w:w="3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0.99–1.19</w:t>
            </w:r>
          </w:p>
        </w:tc>
      </w:tr>
      <w:tr w:rsidR="00157616">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Total Cholesterol (mmol/L)</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3.80</w:t>
            </w:r>
          </w:p>
        </w:tc>
        <w:tc>
          <w:tcPr>
            <w:tcW w:w="3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0–5.53</w:t>
            </w:r>
          </w:p>
        </w:tc>
      </w:tr>
      <w:tr w:rsidR="00157616">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RBG (mmol/L)</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6.1</w:t>
            </w:r>
          </w:p>
        </w:tc>
        <w:tc>
          <w:tcPr>
            <w:tcW w:w="3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157616" w:rsidRDefault="00000000" w:rsidP="001502D8">
            <w:pPr>
              <w:jc w:val="both"/>
            </w:pPr>
            <w:r>
              <w:rPr>
                <w:sz w:val="20"/>
                <w:szCs w:val="20"/>
              </w:rPr>
              <w:t>3.9–7.8</w:t>
            </w:r>
          </w:p>
        </w:tc>
      </w:tr>
    </w:tbl>
    <w:p w:rsidR="001502D8" w:rsidRDefault="001502D8" w:rsidP="001502D8">
      <w:pPr>
        <w:jc w:val="both"/>
      </w:pPr>
    </w:p>
    <w:p w:rsidR="00157616" w:rsidRDefault="00000000" w:rsidP="001502D8">
      <w:pPr>
        <w:jc w:val="both"/>
      </w:pPr>
      <w:r>
        <w:rPr>
          <w:b/>
          <w:bCs/>
          <w:caps/>
          <w:sz w:val="26"/>
          <w:szCs w:val="26"/>
        </w:rPr>
        <w:t>Discussion</w:t>
      </w:r>
    </w:p>
    <w:p w:rsidR="00157616" w:rsidRDefault="00000000" w:rsidP="001502D8">
      <w:pPr>
        <w:pStyle w:val="Heading2"/>
        <w:jc w:val="both"/>
      </w:pPr>
      <w:r>
        <w:t>Albinism and Ultraviolet-Induced Oncogenesis</w:t>
      </w:r>
    </w:p>
    <w:p w:rsidR="00157616" w:rsidRDefault="00000000" w:rsidP="001502D8">
      <w:pPr>
        <w:spacing w:before="60" w:after="60" w:line="276" w:lineRule="auto"/>
        <w:jc w:val="both"/>
      </w:pPr>
      <w:r>
        <w:t>Melanin serves as the primary photoprotective pigment in human skin, absorbing UV radiation and scavenging reactive oxygen species. In OCA, the absence or severe deficiency of melanin renders the epidermis profoundly vulnerable to UV-induced DNA damage, particularly the formation of cyclobutane pyrimidine dimers and 6-4 photoproducts. Accumulation of these lesions drives TP53 inactivation and PTCH1 (for BCC) or HRAS/CDKN2A mutations (for SCC), establishing the molecular substrate for keratinocyte carcinoma.6</w:t>
      </w:r>
    </w:p>
    <w:p w:rsidR="00157616" w:rsidRDefault="00000000" w:rsidP="001502D8">
      <w:pPr>
        <w:spacing w:before="60" w:after="60" w:line="276" w:lineRule="auto"/>
        <w:jc w:val="both"/>
      </w:pPr>
      <w:r>
        <w:t>The solar UV index at equatorial latitudes (5°S–5°N) frequently reaches 12–15+ throughout the year. Tanzania, straddling the equator, subjects its population—and its approximately 170,000–200,000 persons with albinism—to among the most intense chronic UV exposures on earth.7 This patient's occupation as a farmer with decades of unprotected midday sun exposure represents the dominant epidemiological risk factor in this case, far exceeding the contribution of her hypertension, prior chemotherapy, or obstetric history.</w:t>
      </w:r>
    </w:p>
    <w:p w:rsidR="00157616" w:rsidRDefault="00000000" w:rsidP="001502D8">
      <w:pPr>
        <w:pStyle w:val="Heading2"/>
        <w:jc w:val="both"/>
      </w:pPr>
      <w:r>
        <w:t>Histopathology of the First Tumor: Eyelid Squamous Cell Carcinoma with Positive Margins</w:t>
      </w:r>
    </w:p>
    <w:p w:rsidR="00157616" w:rsidRDefault="00000000" w:rsidP="001502D8">
      <w:pPr>
        <w:spacing w:before="60" w:after="60" w:line="276" w:lineRule="auto"/>
        <w:jc w:val="both"/>
      </w:pPr>
      <w:r>
        <w:t xml:space="preserve">The 2023 orbital exenteration specimen revealed squamous cell carcinoma of the right eyelid. Histopathologically, cutaneous SCC is characterized by atypical keratinocytes arising from the </w:t>
      </w:r>
      <w:r>
        <w:lastRenderedPageBreak/>
        <w:t>squamous epithelium with evidence of maturation toward squamous differentiation—including intercellular bridges (desmosomes), individual cell keratinization, and keratin pearl (horn cyst) formation. In invasive SCC, neoplastic squamous nests infiltrate the dermis, with varying degrees of differentiation on the Broder's grading scale (Grade I–IV). Perineural invasion—a high-risk pathological feature associated with increased recurrence and nodal spread—was noted in this specimen.</w:t>
      </w:r>
    </w:p>
    <w:p w:rsidR="00157616" w:rsidRDefault="00000000" w:rsidP="001502D8">
      <w:pPr>
        <w:spacing w:before="60" w:after="60" w:line="276" w:lineRule="auto"/>
        <w:jc w:val="both"/>
      </w:pPr>
      <w:r>
        <w:t>Critically, the surgical excision margins were positive (tumour at the inked margin), indicating incomplete resection. In the context of periocular SCC, this is a clinically alarming finding: positive margins are associated with local recurrence rates of 30–50% in high-risk periocular SCC, compared to &lt;5% when clear margins are achieved.8 The H-zone of the face (including the periorbital region) is recognized as a high-risk anatomical site by both NCCN and European guidelines, where margin-controlled techniques (Mohs micrographic surgery or staged excision with intraoperative margin assessment) are strongly preferred. In this case, the unavailability of Mohs surgery at the treating institution likely contributed to the incomplete excision.</w:t>
      </w:r>
    </w:p>
    <w:p w:rsidR="00157616" w:rsidRDefault="00000000" w:rsidP="001502D8">
      <w:pPr>
        <w:spacing w:before="60" w:after="60" w:line="276" w:lineRule="auto"/>
        <w:jc w:val="both"/>
      </w:pPr>
      <w:r>
        <w:t>Adjuvant external beam radiotherapy was administered, which partially compensates for positive margins; however, the absence of documented post-treatment cross-sectional imaging to assess for locoregional residual or recurrent disease represents a significant gap in her oncologic follow-up. The annual follow-up interval at ORCI, while pragmatic given resource constraints, may be insufficient to detect early locoregional recurrence in a positive-margin case.</w:t>
      </w:r>
    </w:p>
    <w:p w:rsidR="00157616" w:rsidRDefault="00000000" w:rsidP="001502D8">
      <w:pPr>
        <w:pStyle w:val="Heading2"/>
        <w:jc w:val="both"/>
      </w:pPr>
      <w:r>
        <w:t>Histopathology Anticipated: Current Lesion (Basal Cell Carcinoma)</w:t>
      </w:r>
    </w:p>
    <w:p w:rsidR="00157616" w:rsidRDefault="00000000" w:rsidP="001502D8">
      <w:pPr>
        <w:spacing w:before="60" w:after="60" w:line="276" w:lineRule="auto"/>
        <w:jc w:val="both"/>
      </w:pPr>
      <w:r>
        <w:t>The clinical and dermoscopic features of the current left cheek ulcer are highly consistent with nodular BCC. Histopathological confirmation—via deep shave or 3 mm punch biopsy of the most representative, non-necrotic area—is pending. Expected findings would include: basaloid tumor islands with peripheral nuclear palisading, myxoid stromal retraction artifact (the hallmark cleft between tumor nests and stroma), peripheral mitotic activity, and apoptotic bodies. BerEP4 immunostaining, if available, would confirm the basaloid (BCC) lineage (BerEP4-positive) and help exclude basaloid SCC (BerEP4-negative).6</w:t>
      </w:r>
    </w:p>
    <w:p w:rsidR="00157616" w:rsidRDefault="00000000" w:rsidP="001502D8">
      <w:pPr>
        <w:spacing w:before="60" w:after="60" w:line="276" w:lineRule="auto"/>
        <w:jc w:val="both"/>
      </w:pPr>
      <w:r>
        <w:t>Given the background of extensive AK and field cancerization, the histological specimen may reveal contiguous or adjacent AK—present in 97% of SCC cases and often co-localized with BCC in severely photodamaged skin. Determining the precise histological subtype (nodular, superficial, infiltrative/morpheaform) has direct therapeutic implications, as infiltrative subtypes demonstrate higher subclinical extension and require wider margins.</w:t>
      </w:r>
    </w:p>
    <w:p w:rsidR="00157616" w:rsidRDefault="00000000" w:rsidP="001502D8">
      <w:pPr>
        <w:pStyle w:val="Heading2"/>
        <w:jc w:val="both"/>
      </w:pPr>
      <w:r>
        <w:t>Synchronous and Metachronous Tumor Burden in OCA</w:t>
      </w:r>
    </w:p>
    <w:p w:rsidR="00157616" w:rsidRDefault="00000000" w:rsidP="001502D8">
      <w:pPr>
        <w:spacing w:before="60" w:after="60" w:line="276" w:lineRule="auto"/>
        <w:jc w:val="both"/>
      </w:pPr>
      <w:r>
        <w:t>This case exemplifies both key patterns of multi-tumor occurrence in OCA:</w:t>
      </w:r>
    </w:p>
    <w:p w:rsidR="00157616" w:rsidRDefault="00000000" w:rsidP="001502D8">
      <w:pPr>
        <w:spacing w:before="60" w:after="60" w:line="276" w:lineRule="auto"/>
        <w:jc w:val="both"/>
      </w:pPr>
      <w:r>
        <w:rPr>
          <w:b/>
          <w:bCs/>
        </w:rPr>
        <w:t xml:space="preserve">Metachronous tumors: </w:t>
      </w:r>
      <w:r>
        <w:t>The patient first developed eyelid SCC (2023), followed three years later by BCC of the cheek. Metachronous keratinocyte carcinomas—sequential primary tumors in the same individual—are well-documented in severely photodamaged individuals, with approximately 40% of patients with a history of BCC developing additional keratinocyte carcinomas within five years.9 In OCA, this timeline is compressed: African case series describe a mean age of first skin cancer diagnosis of 20–30 years, with a median of 2–3 primary tumors per individual over the disease course.5 The transition from SCC to BCC as the second primary may appear paradoxical, but it reflects the independent oncogenic pathways (Hh signaling for BCC via PTCH1; EGFR/TP53 axis for SCC) that can operate simultaneously in the same genomic field.</w:t>
      </w:r>
    </w:p>
    <w:p w:rsidR="00157616" w:rsidRDefault="00000000" w:rsidP="001502D8">
      <w:pPr>
        <w:spacing w:before="60" w:after="60" w:line="276" w:lineRule="auto"/>
        <w:jc w:val="both"/>
      </w:pPr>
      <w:r>
        <w:rPr>
          <w:b/>
          <w:bCs/>
        </w:rPr>
        <w:t xml:space="preserve">Synchronous tumors: </w:t>
      </w:r>
      <w:r>
        <w:t xml:space="preserve">At the time of this presentation, the patient carries concurrent active malignancy (BCC, left cheek), field cancerization with multiple AK lesions (pre-malignant but potentially harboring </w:t>
      </w:r>
      <w:r>
        <w:lastRenderedPageBreak/>
        <w:t>invasive foci), possible residual/recurrent right periorbital SCC (given positive prior margins), and hypertension as a cardiovascular comorbidity requiring integration into her care plan. This synchronous burden is not incidental: up to 40% of patients with BCC or SCC develop additional synchronous keratinocyte carcinomas at the time of diagnosis, a rate amplified dramatically in the context of albinism.9 Clinicians must therefore adopt a whole-body oncologic perspective at each encounter rather than focusing exclusively on the index lesion.</w:t>
      </w:r>
    </w:p>
    <w:p w:rsidR="00157616" w:rsidRDefault="00000000" w:rsidP="001502D8">
      <w:pPr>
        <w:spacing w:before="60" w:after="60" w:line="276" w:lineRule="auto"/>
        <w:jc w:val="both"/>
      </w:pPr>
      <w:r>
        <w:t>The field cancerization concept—first articulated by Slaughter et al. and subsequently refined by molecular studies—describes the process by which large areas of epithelium are genetically primed for malignant transformation by chronic carcinogen exposure (here, UV radiation).10 In this patient, the entire sun-exposed integument represents a field of oncogenic risk, with AK representing the clinically visible, histologically confirmable premalignant apex of this process.</w:t>
      </w:r>
    </w:p>
    <w:p w:rsidR="00157616" w:rsidRDefault="00000000" w:rsidP="001502D8">
      <w:pPr>
        <w:pStyle w:val="Heading2"/>
        <w:jc w:val="both"/>
      </w:pPr>
      <w:r>
        <w:t>Epidemiological Context: Tanzania and Sub-Saharan Africa</w:t>
      </w:r>
    </w:p>
    <w:p w:rsidR="00157616" w:rsidRDefault="00000000" w:rsidP="001502D8">
      <w:pPr>
        <w:spacing w:before="60" w:after="60" w:line="276" w:lineRule="auto"/>
        <w:jc w:val="both"/>
      </w:pPr>
      <w:r>
        <w:t>Tanzania has one of the highest documented albinism prevalence rates in the world, with estimates ranging from 1:1,400 to 1:2,000 in some northern highland regions (particularly among specific ethnic groups in Kilimanjaro and Arusha regions).11 National epidemiological data on skin cancer in PWA remain fragmentary; registry-based cancer surveillance is limited, and many cases are either undiagnosed, misdiagnosed (AK attributed to 'rash'), or present terminally advanced.</w:t>
      </w:r>
    </w:p>
    <w:p w:rsidR="00157616" w:rsidRDefault="00000000" w:rsidP="001502D8">
      <w:pPr>
        <w:spacing w:before="60" w:after="60" w:line="276" w:lineRule="auto"/>
        <w:jc w:val="both"/>
      </w:pPr>
      <w:r>
        <w:t>A landmark review of skin cancers in albinos from Nigeria (Ademola et al., 2010) documented a mean age of 30 years at first skin cancer diagnosis, mortality predominantly from SCC-related complications, and extensive underreporting.12 Similar patterns have been described in Kenya, Uganda, and Zimbabwe, where median survival after SCC diagnosis in PWA can be as short as 2–3 years without access to surgical care.13</w:t>
      </w:r>
    </w:p>
    <w:p w:rsidR="00157616" w:rsidRDefault="00000000" w:rsidP="001502D8">
      <w:pPr>
        <w:spacing w:before="60" w:after="60" w:line="276" w:lineRule="auto"/>
        <w:jc w:val="both"/>
      </w:pPr>
      <w:r>
        <w:t>In Tanzania specifically, ORCI—the national cancer referral center—serves as the primary management hub for advanced skin malignancies, but access remains severely inequitable. A 2019 analysis of ORCI cancer registry data revealed that SCC and BCC in PWA constituted a significant proportion of all skin malignancy presentations, with the majority arriving at ORCI with locally advanced or regionally metastatic disease.14 Barriers to earlier presentation include: geographic remoteness, cost of transport, stigma associated with albinism, low health literacy regarding skin cancer, and healthcare worker knowledge gaps in recognizing early-stage lesions.</w:t>
      </w:r>
    </w:p>
    <w:p w:rsidR="00157616" w:rsidRDefault="00000000" w:rsidP="001502D8">
      <w:pPr>
        <w:spacing w:before="60" w:after="60" w:line="276" w:lineRule="auto"/>
        <w:jc w:val="both"/>
      </w:pPr>
      <w:r>
        <w:t>Tanzania's albinism community also faces unique social vulnerabilities: ritual attacks targeting PWA for body parts used in traditional medicine ('muti' beliefs) create additional psychological trauma and barrier to healthcare seeking. NGO-led photoprotection campaigns (e.g., Under the Same Sun, Tanzanian Albinism Society) have expanded sunscreen distribution, but sustainable supply chains and consistent utilization remain challenges.15</w:t>
      </w:r>
    </w:p>
    <w:p w:rsidR="00157616" w:rsidRDefault="00000000" w:rsidP="001502D8">
      <w:pPr>
        <w:pStyle w:val="Heading2"/>
        <w:jc w:val="both"/>
      </w:pPr>
      <w:r>
        <w:t>Preventive Strategies and Photoprotection</w:t>
      </w:r>
    </w:p>
    <w:p w:rsidR="00157616" w:rsidRDefault="00000000" w:rsidP="001502D8">
      <w:pPr>
        <w:spacing w:before="60" w:after="60" w:line="276" w:lineRule="auto"/>
        <w:jc w:val="both"/>
      </w:pPr>
      <w:r>
        <w:t>Primary prevention—maximizing photoprotection from infancy—is the cornerstone of skin cancer prevention in OCA. Evidence-based photoprotection for PWA should encompass:</w:t>
      </w:r>
    </w:p>
    <w:p w:rsidR="00157616" w:rsidRDefault="00000000" w:rsidP="001502D8">
      <w:pPr>
        <w:pStyle w:val="ListParagraph"/>
        <w:numPr>
          <w:ilvl w:val="0"/>
          <w:numId w:val="2"/>
        </w:numPr>
        <w:spacing w:before="40" w:after="40" w:line="260" w:lineRule="auto"/>
        <w:jc w:val="both"/>
      </w:pPr>
      <w:r>
        <w:t>Daily broad-spectrum sunscreen (SPF ≥ 50, UVA/UVB cover), applied to all sun-exposed areas every 2 hours during outdoor activity. Access to affordable, photostable sunscreen formulations remains the single most impactful and cost-effective intervention for PWA in SSA.</w:t>
      </w:r>
    </w:p>
    <w:p w:rsidR="00157616" w:rsidRDefault="00000000" w:rsidP="001502D8">
      <w:pPr>
        <w:pStyle w:val="ListParagraph"/>
        <w:numPr>
          <w:ilvl w:val="0"/>
          <w:numId w:val="2"/>
        </w:numPr>
        <w:spacing w:before="40" w:after="40" w:line="260" w:lineRule="auto"/>
        <w:jc w:val="both"/>
      </w:pPr>
      <w:r>
        <w:t>Protective clothing: long-sleeved shirts, wide-brimmed hats (minimum 3-inch brim), UV-protective gloves for agricultural workers, and UV-filtering sunglasses.</w:t>
      </w:r>
    </w:p>
    <w:p w:rsidR="00157616" w:rsidRDefault="00000000" w:rsidP="001502D8">
      <w:pPr>
        <w:pStyle w:val="ListParagraph"/>
        <w:numPr>
          <w:ilvl w:val="0"/>
          <w:numId w:val="2"/>
        </w:numPr>
        <w:spacing w:before="40" w:after="40" w:line="260" w:lineRule="auto"/>
        <w:jc w:val="both"/>
      </w:pPr>
      <w:r>
        <w:t>Behavioral modification: avoidance of peak UV hours (10:00–15:00 local time), seeking shade, and scheduling outdoor agricultural activities in the early morning or late afternoon.</w:t>
      </w:r>
    </w:p>
    <w:p w:rsidR="00157616" w:rsidRDefault="00000000" w:rsidP="001502D8">
      <w:pPr>
        <w:pStyle w:val="ListParagraph"/>
        <w:numPr>
          <w:ilvl w:val="0"/>
          <w:numId w:val="2"/>
        </w:numPr>
        <w:spacing w:before="40" w:after="40" w:line="260" w:lineRule="auto"/>
        <w:jc w:val="both"/>
      </w:pPr>
      <w:r>
        <w:lastRenderedPageBreak/>
        <w:t>Occupational accommodation: restructuring farming duties where possible to minimize midday sun exposure; provision of shade structures or protective enclosures in agricultural settings.</w:t>
      </w:r>
    </w:p>
    <w:p w:rsidR="00157616" w:rsidRDefault="00000000" w:rsidP="001502D8">
      <w:pPr>
        <w:pStyle w:val="ListParagraph"/>
        <w:numPr>
          <w:ilvl w:val="0"/>
          <w:numId w:val="2"/>
        </w:numPr>
        <w:spacing w:before="40" w:after="40" w:line="260" w:lineRule="auto"/>
        <w:jc w:val="both"/>
      </w:pPr>
      <w:r>
        <w:t>Secondary prevention via chemoprophylaxis: Oral nicotinamide (vitamin B3, 500 mg twice daily) has demonstrated a 23% reduction in new keratinocyte carcinomas in high-risk immunocompetent patients in randomized controlled trials. Its safety profile, low cost, and availability make it a viable adjunct in resource-limited settings, though evidence specific to OCA populations is currently limited.</w:t>
      </w:r>
    </w:p>
    <w:p w:rsidR="00157616" w:rsidRDefault="00000000" w:rsidP="001502D8">
      <w:pPr>
        <w:pStyle w:val="ListParagraph"/>
        <w:numPr>
          <w:ilvl w:val="0"/>
          <w:numId w:val="2"/>
        </w:numPr>
        <w:spacing w:before="40" w:after="40" w:line="260" w:lineRule="auto"/>
        <w:jc w:val="both"/>
      </w:pPr>
      <w:r>
        <w:t>Field treatment: In this patient, the surrounding AK burden must be addressed with field-directed therapy (topical 5-fluorouracil, imiquimod, diclofenac 3% gel, or photodynamic therapy where available) to reduce synchronous progression from AK to invasive SCC. Cryotherapy for isolated AK lesions is widely available in Tanzanian district hospitals and represents a pragmatic first-line option.</w:t>
      </w:r>
    </w:p>
    <w:p w:rsidR="00157616" w:rsidRDefault="00000000" w:rsidP="001502D8">
      <w:pPr>
        <w:pStyle w:val="Heading2"/>
        <w:jc w:val="both"/>
      </w:pPr>
      <w:r>
        <w:t>Management of the Index BCC and Outstanding Issues</w:t>
      </w:r>
    </w:p>
    <w:p w:rsidR="00157616" w:rsidRDefault="00000000" w:rsidP="001502D8">
      <w:pPr>
        <w:spacing w:before="60" w:after="60" w:line="276" w:lineRule="auto"/>
        <w:jc w:val="both"/>
      </w:pPr>
      <w:r>
        <w:t>Per NCCN and EADO guidelines, the left cheek nodular BCC in this patient represents a high-risk lesion by virtue of: (1) anatomical location on the H-zone of the face, (2) size ≥ 1 cm, (3) ulceration, (4) histologically anticipated infiltrative component pending biopsy, and (5) immunological background (prior chemotherapy).16 Standard of care in a well-resourced setting would be Mohs micrographic surgery or staged margin-controlled excision. Given the non-availability of Mohs surgery at MNH/ORCI, margin-controlled excision with immediate post-operative histological margin clearance (bread-loaf or en face sectioning of peripheral margins) followed by reconstruction should be planned. External beam radiotherapy remains an alternative if surgical candidacy is compromised.</w:t>
      </w:r>
    </w:p>
    <w:p w:rsidR="00157616" w:rsidRDefault="00000000" w:rsidP="001502D8">
      <w:pPr>
        <w:spacing w:before="60" w:after="60" w:line="276" w:lineRule="auto"/>
        <w:jc w:val="both"/>
      </w:pPr>
      <w:r>
        <w:t>Simultaneously, the unresolved question of residual right periorbital SCC (given the prior positive margin and absence of confirmatory post-treatment imaging) mandates urgent cross-sectional imaging (CT face and neck with contrast or MRI orbit) and multidisciplinary team review involving dermatology, surgical oncology, radiation oncology, and ophthalmology.</w:t>
      </w:r>
    </w:p>
    <w:p w:rsidR="00157616" w:rsidRDefault="00000000" w:rsidP="001502D8">
      <w:pPr>
        <w:pStyle w:val="Heading2"/>
        <w:jc w:val="both"/>
      </w:pPr>
      <w:r>
        <w:t>Way Forward and Health Systems Implications</w:t>
      </w:r>
    </w:p>
    <w:p w:rsidR="00157616" w:rsidRDefault="00000000" w:rsidP="001502D8">
      <w:pPr>
        <w:spacing w:before="60" w:after="60" w:line="276" w:lineRule="auto"/>
        <w:jc w:val="both"/>
      </w:pPr>
      <w:r>
        <w:t>This case crystallizes several systemic gaps in Tanzanian and SSA-wide care for PWA that must be urgently addressed:</w:t>
      </w:r>
    </w:p>
    <w:p w:rsidR="00157616" w:rsidRDefault="00000000" w:rsidP="001502D8">
      <w:pPr>
        <w:pStyle w:val="ListParagraph"/>
        <w:numPr>
          <w:ilvl w:val="0"/>
          <w:numId w:val="2"/>
        </w:numPr>
        <w:spacing w:before="40" w:after="40" w:line="260" w:lineRule="auto"/>
        <w:jc w:val="both"/>
      </w:pPr>
      <w:r>
        <w:t>Structured dermatologic surveillance: PWA should be enrolled in a formal, standardized skin cancer screening program from birth, with six-monthly full-body skin examinations by trained dermatologists or dermatology-trained community health workers. Annual follow-up (as in this case) is inadequate for high-risk individuals.</w:t>
      </w:r>
    </w:p>
    <w:p w:rsidR="00157616" w:rsidRDefault="00000000" w:rsidP="001502D8">
      <w:pPr>
        <w:pStyle w:val="ListParagraph"/>
        <w:numPr>
          <w:ilvl w:val="0"/>
          <w:numId w:val="2"/>
        </w:numPr>
        <w:spacing w:before="40" w:after="40" w:line="260" w:lineRule="auto"/>
        <w:jc w:val="both"/>
      </w:pPr>
      <w:r>
        <w:t>Teledermatology: Mobile health (mHealth) platforms and teledermatology links between rural health facilities and tertiary centers (MNH, ORCI) can substantially reduce diagnostic delays and enable remote triage of suspicious lesions, as demonstrated by pilots in Kenya, Rwanda, and South Africa.</w:t>
      </w:r>
    </w:p>
    <w:p w:rsidR="00157616" w:rsidRDefault="00000000" w:rsidP="001502D8">
      <w:pPr>
        <w:pStyle w:val="ListParagraph"/>
        <w:numPr>
          <w:ilvl w:val="0"/>
          <w:numId w:val="2"/>
        </w:numPr>
        <w:spacing w:before="40" w:after="40" w:line="260" w:lineRule="auto"/>
        <w:jc w:val="both"/>
      </w:pPr>
      <w:r>
        <w:t>Oncologic margin control: Tanzania urgently needs investment in frozen-section pathology infrastructure or Mohs-equivalent margin-controlled surgery training to improve margin clearance rates, which directly determine recurrence-free survival in keratinocyte carcinomas.</w:t>
      </w:r>
    </w:p>
    <w:p w:rsidR="00157616" w:rsidRDefault="00000000" w:rsidP="001502D8">
      <w:pPr>
        <w:pStyle w:val="ListParagraph"/>
        <w:numPr>
          <w:ilvl w:val="0"/>
          <w:numId w:val="2"/>
        </w:numPr>
        <w:spacing w:before="40" w:after="40" w:line="260" w:lineRule="auto"/>
        <w:jc w:val="both"/>
      </w:pPr>
      <w:r>
        <w:t>Patient education and health literacy: Every clinical encounter with a PWA should include structured counseling on UV avoidance, early lesion recognition (changes in size, shape, color, bleeding, or non-healing), and prompt self-referral. Culturally adapted educational materials in Kiswahili are available from the Tanzanian Albinism Society and should be integrated into routine care.</w:t>
      </w:r>
    </w:p>
    <w:p w:rsidR="00157616" w:rsidRDefault="00000000" w:rsidP="001502D8">
      <w:pPr>
        <w:pStyle w:val="ListParagraph"/>
        <w:numPr>
          <w:ilvl w:val="0"/>
          <w:numId w:val="2"/>
        </w:numPr>
        <w:spacing w:before="40" w:after="40" w:line="260" w:lineRule="auto"/>
        <w:jc w:val="both"/>
      </w:pPr>
      <w:r>
        <w:t xml:space="preserve">Comorbidity integration: This patient's uncontrolled hypertension—identified but not treated—represents an independent cardiovascular risk and likely reflects care fragmentation. Integrated </w:t>
      </w:r>
      <w:r>
        <w:lastRenderedPageBreak/>
        <w:t>chronic disease management pathways that address both oncological and non-oncological comorbidities at a single point of care would improve outcomes.</w:t>
      </w:r>
    </w:p>
    <w:p w:rsidR="00157616" w:rsidRDefault="00000000" w:rsidP="001502D8">
      <w:pPr>
        <w:pStyle w:val="ListParagraph"/>
        <w:numPr>
          <w:ilvl w:val="0"/>
          <w:numId w:val="2"/>
        </w:numPr>
        <w:spacing w:before="40" w:after="40" w:line="260" w:lineRule="auto"/>
        <w:jc w:val="both"/>
      </w:pPr>
      <w:r>
        <w:t>National registry and epidemiological research: Accurate population-level data on skin cancer incidence, histological subtype distribution, treatment outcomes, and mortality in Tanzanian PWA are urgently needed to inform policy, allocate resources, and benchmark against regional comparators.</w:t>
      </w:r>
    </w:p>
    <w:p w:rsidR="00157616" w:rsidRDefault="00000000" w:rsidP="001502D8">
      <w:pPr>
        <w:pStyle w:val="ListParagraph"/>
        <w:numPr>
          <w:ilvl w:val="0"/>
          <w:numId w:val="2"/>
        </w:numPr>
        <w:spacing w:before="40" w:after="40" w:line="260" w:lineRule="auto"/>
        <w:jc w:val="both"/>
      </w:pPr>
      <w:r>
        <w:t>Multisectoral advocacy: Sustainable photoprotection requires action beyond the health sector—agricultural policy (mandating protective shade and clothing for outdoor workers), educational policy (albinism-specific accommodations in schools), and social protection policies to address poverty and stigma.</w:t>
      </w:r>
    </w:p>
    <w:p w:rsidR="00157616" w:rsidRDefault="00000000" w:rsidP="001502D8">
      <w:pPr>
        <w:pStyle w:val="Heading1"/>
        <w:jc w:val="both"/>
      </w:pPr>
      <w:r>
        <w:rPr>
          <w:caps/>
        </w:rPr>
        <w:t>Conclusion</w:t>
      </w:r>
    </w:p>
    <w:p w:rsidR="00157616" w:rsidRDefault="00000000" w:rsidP="001502D8">
      <w:pPr>
        <w:spacing w:before="60" w:after="60" w:line="276" w:lineRule="auto"/>
        <w:jc w:val="both"/>
      </w:pPr>
      <w:r>
        <w:t>We present a case of nodular BCC arising in a field-cancerized skin landscape in a 48-year-old Tanzanian woman with OCA, three years after an incompletely excised right eyelid SCC, illustrating both metachronous multi-primary keratinocyte carcinoma and the synchronous burden of actinic keratosis that characterizes UV-driven oncogenesis in OCA. This case underscores that each encounter with a person with albinism must include a comprehensive whole-body skin examination, structured photoprotection counseling, and a low threshold for biopsy. It also highlights systemic deficiencies in surgical margin control, oncologic follow-up, and field-directed therapy that limit outcomes for PWA in Tanzania and across sub-Saharan Africa. Multi-stakeholder, multi-sectoral interventions—integrating dermatologic surveillance, teledermatology, margin-controlled surgery, field cancerization treatment, and national registries—are urgently needed to reduce the unconscionable UV-induced cancer mortality burden borne by persons with albinism.</w:t>
      </w:r>
    </w:p>
    <w:p w:rsidR="00157616" w:rsidRDefault="00157616" w:rsidP="001502D8">
      <w:pPr>
        <w:jc w:val="both"/>
      </w:pPr>
    </w:p>
    <w:p w:rsidR="00157616" w:rsidRDefault="00000000" w:rsidP="001502D8">
      <w:pPr>
        <w:pStyle w:val="Heading1"/>
        <w:jc w:val="both"/>
      </w:pPr>
      <w:r>
        <w:rPr>
          <w:caps/>
        </w:rPr>
        <w:t>Patient Consent</w:t>
      </w:r>
    </w:p>
    <w:p w:rsidR="00157616" w:rsidRDefault="00000000" w:rsidP="001502D8">
      <w:pPr>
        <w:spacing w:before="60" w:after="60" w:line="276" w:lineRule="auto"/>
        <w:jc w:val="both"/>
      </w:pPr>
      <w:r>
        <w:t>Written informed consent was obtained from the patient for publication of this case report and any accompanying images. A copy of the written consent is available for review by the Editor-in-Chief of this journal.</w:t>
      </w:r>
    </w:p>
    <w:p w:rsidR="00157616" w:rsidRDefault="00157616" w:rsidP="001502D8">
      <w:pPr>
        <w:spacing w:before="40" w:after="40"/>
        <w:jc w:val="both"/>
      </w:pPr>
    </w:p>
    <w:p w:rsidR="00157616" w:rsidRDefault="00000000" w:rsidP="001502D8">
      <w:pPr>
        <w:pStyle w:val="Heading1"/>
        <w:jc w:val="both"/>
      </w:pPr>
      <w:r>
        <w:rPr>
          <w:caps/>
        </w:rPr>
        <w:t>Acknowledgements</w:t>
      </w:r>
    </w:p>
    <w:p w:rsidR="00157616" w:rsidRDefault="00000000" w:rsidP="001502D8">
      <w:pPr>
        <w:spacing w:before="60" w:after="60" w:line="276" w:lineRule="auto"/>
        <w:jc w:val="both"/>
      </w:pPr>
      <w:r>
        <w:t>The authors acknowledge Dr. Elizabeth Msangi and Dr. Eliachi Minja for their contributions to clinical care and data collection. We also acknowledge the dedicated nursing and allied health staff of the Dermatology Unit, Muhimbili National Hospital, and the Oncology Department, Ocean Road Cancer Institute, Dar es Salaam.</w:t>
      </w:r>
    </w:p>
    <w:p w:rsidR="00157616" w:rsidRPr="001502D8" w:rsidRDefault="00157616" w:rsidP="001502D8">
      <w:pPr>
        <w:jc w:val="both"/>
        <w:rPr>
          <w:lang w:val="en-US"/>
        </w:rPr>
      </w:pPr>
    </w:p>
    <w:p w:rsidR="00157616" w:rsidRDefault="00000000" w:rsidP="001502D8">
      <w:pPr>
        <w:pStyle w:val="Heading1"/>
        <w:jc w:val="both"/>
      </w:pPr>
      <w:r>
        <w:rPr>
          <w:caps/>
        </w:rPr>
        <w:t>References</w:t>
      </w:r>
    </w:p>
    <w:p w:rsidR="00157616" w:rsidRDefault="00000000" w:rsidP="001502D8">
      <w:pPr>
        <w:spacing w:before="40" w:after="40"/>
        <w:ind w:left="720" w:hanging="360"/>
        <w:jc w:val="both"/>
      </w:pPr>
      <w:r>
        <w:rPr>
          <w:sz w:val="20"/>
          <w:szCs w:val="20"/>
        </w:rPr>
        <w:t>1. Fernández A, Hayashi M, Montoliu L. Genetics of non-syndromic and syndromic oculocutaneous albinism in human and mouse. Pigment Cell Melanoma Res. 2021;34(4):786–799. doi:10.1111/pcmr.12976</w:t>
      </w:r>
    </w:p>
    <w:p w:rsidR="00157616" w:rsidRDefault="00000000" w:rsidP="001502D8">
      <w:pPr>
        <w:spacing w:before="40" w:after="40"/>
        <w:ind w:left="720" w:hanging="360"/>
        <w:jc w:val="both"/>
      </w:pPr>
      <w:r>
        <w:rPr>
          <w:sz w:val="20"/>
          <w:szCs w:val="20"/>
        </w:rPr>
        <w:t>2. Ullah MI. Clinical and mutation spectrum of autosomal recessive non-syndromic oculocutaneous albinism (nsOCA) in Pakistan: a review. Genes. 2022;13(6):1072. doi:10.3390/genes13061072</w:t>
      </w:r>
    </w:p>
    <w:p w:rsidR="00157616" w:rsidRDefault="00000000" w:rsidP="001502D8">
      <w:pPr>
        <w:spacing w:before="40" w:after="40"/>
        <w:ind w:left="720" w:hanging="360"/>
        <w:jc w:val="both"/>
      </w:pPr>
      <w:r>
        <w:rPr>
          <w:sz w:val="20"/>
          <w:szCs w:val="20"/>
        </w:rPr>
        <w:t>3. Pennamen P, Tingaud-Sequeira A, Gazova I, et al. Dopachrome tautomerase variants in patients with oculocutaneous albinism. Genet Med. 2021;23(3):479–487. doi:10.1038/s41436-020-00997-8</w:t>
      </w:r>
    </w:p>
    <w:p w:rsidR="00157616" w:rsidRDefault="00000000" w:rsidP="001502D8">
      <w:pPr>
        <w:spacing w:before="40" w:after="40"/>
        <w:ind w:left="720" w:hanging="360"/>
        <w:jc w:val="both"/>
      </w:pPr>
      <w:r>
        <w:rPr>
          <w:sz w:val="20"/>
          <w:szCs w:val="20"/>
        </w:rPr>
        <w:lastRenderedPageBreak/>
        <w:t>4. Kromberg JGR, Kerr R, Manga P, et al. Oculocutaneous albinism in southern Africa: historical background, genetic, clinical and psychosocial issues. Afr J Disabil. 2022;11:a1003. doi:10.4102/ajod.v11i0.1003</w:t>
      </w:r>
    </w:p>
    <w:p w:rsidR="00157616" w:rsidRDefault="00000000" w:rsidP="001502D8">
      <w:pPr>
        <w:spacing w:before="40" w:after="40"/>
        <w:ind w:left="720" w:hanging="360"/>
        <w:jc w:val="both"/>
      </w:pPr>
      <w:r>
        <w:rPr>
          <w:sz w:val="20"/>
          <w:szCs w:val="20"/>
        </w:rPr>
        <w:t>5. Ramos AN, Ramos JGR, Fernandes JD. Prevalence of premalignant and malignant skin lesions in oculocutaneous albinism patients. Rev Assoc Med Bras. 2021;67:77–82.</w:t>
      </w:r>
    </w:p>
    <w:p w:rsidR="00157616" w:rsidRDefault="00000000" w:rsidP="001502D8">
      <w:pPr>
        <w:spacing w:before="40" w:after="40"/>
        <w:ind w:left="720" w:hanging="360"/>
        <w:jc w:val="both"/>
      </w:pPr>
      <w:r>
        <w:rPr>
          <w:sz w:val="20"/>
          <w:szCs w:val="20"/>
        </w:rPr>
        <w:t>6. Tilli CM, Van Steensel MA, Krekels GA, Neumann HA, Ramaekers FC. Molecular aetiology and pathogenesis of basal cell carcinoma. Br J Dermatol. 2005;152(6):1108–1124. doi:10.1111/j.1365-2133.2005.06530.x</w:t>
      </w:r>
    </w:p>
    <w:p w:rsidR="00157616" w:rsidRDefault="00000000" w:rsidP="001502D8">
      <w:pPr>
        <w:spacing w:before="40" w:after="40"/>
        <w:ind w:left="720" w:hanging="360"/>
        <w:jc w:val="both"/>
      </w:pPr>
      <w:r>
        <w:rPr>
          <w:sz w:val="20"/>
          <w:szCs w:val="20"/>
        </w:rPr>
        <w:t>7. Luande J, Henschke CI, Mohammed N. The Tanzanian human albino skin: natural history. Cancer. 1985;55(8):1823–1828.</w:t>
      </w:r>
    </w:p>
    <w:p w:rsidR="00157616" w:rsidRDefault="00000000" w:rsidP="001502D8">
      <w:pPr>
        <w:spacing w:before="40" w:after="40"/>
        <w:ind w:left="720" w:hanging="360"/>
        <w:jc w:val="both"/>
      </w:pPr>
      <w:r>
        <w:rPr>
          <w:sz w:val="20"/>
          <w:szCs w:val="20"/>
        </w:rPr>
        <w:t>8. Leibovitch I, Huilgol SC, Selva D, Richards S, Paver R. Cutaneous squamous carcinoma in situ (Bowen's disease): treatment with Mohs micrographic surgery. J Am Acad Dermatol. 2005;52(6):997–1002. doi:10.1016/j.jaad.2004.11.066</w:t>
      </w:r>
    </w:p>
    <w:p w:rsidR="00157616" w:rsidRDefault="00000000" w:rsidP="001502D8">
      <w:pPr>
        <w:spacing w:before="40" w:after="40"/>
        <w:ind w:left="720" w:hanging="360"/>
        <w:jc w:val="both"/>
      </w:pPr>
      <w:r>
        <w:rPr>
          <w:sz w:val="20"/>
          <w:szCs w:val="20"/>
        </w:rPr>
        <w:t>9. Wehner MR, Linos E, Parvataneni R, et al. Timing of subsequent new tumors in patients who present with basal cell carcinoma or cutaneous squamous cell carcinoma. JAMA Dermatol. 2015;151(4):382–388. doi:10.1001/jamadermatol.2014.3307</w:t>
      </w:r>
    </w:p>
    <w:p w:rsidR="00157616" w:rsidRDefault="00000000" w:rsidP="001502D8">
      <w:pPr>
        <w:spacing w:before="40" w:after="40"/>
        <w:ind w:left="720" w:hanging="360"/>
        <w:jc w:val="both"/>
      </w:pPr>
      <w:r>
        <w:rPr>
          <w:sz w:val="20"/>
          <w:szCs w:val="20"/>
        </w:rPr>
        <w:t>10. Slaughter DP, Southwick HW, Smejkal W. Field cancerization in oral stratified squamous epithelium: clinical implications of multicentric origin. Cancer. 1953;6(5):963–968.</w:t>
      </w:r>
    </w:p>
    <w:p w:rsidR="00157616" w:rsidRDefault="00000000" w:rsidP="001502D8">
      <w:pPr>
        <w:spacing w:before="40" w:after="40"/>
        <w:ind w:left="720" w:hanging="360"/>
        <w:jc w:val="both"/>
      </w:pPr>
      <w:r>
        <w:rPr>
          <w:sz w:val="20"/>
          <w:szCs w:val="20"/>
        </w:rPr>
        <w:t>11. Lund PM. Oculocutaneous albinism in southern Africa: population structure, health and genetic care. Ann Hum Biol. 2005;32(2):168–173. doi:10.1080/03014460500075423</w:t>
      </w:r>
    </w:p>
    <w:p w:rsidR="00157616" w:rsidRDefault="00000000" w:rsidP="001502D8">
      <w:pPr>
        <w:spacing w:before="40" w:after="40"/>
        <w:ind w:left="720" w:hanging="360"/>
        <w:jc w:val="both"/>
      </w:pPr>
      <w:r>
        <w:rPr>
          <w:sz w:val="20"/>
          <w:szCs w:val="20"/>
        </w:rPr>
        <w:t>12. Ademola SA, Olawoye OA, Oluwatosin OM, Iyun AO. Skin cancers in African albinos: a cause for public concern. Cancer Res. 2010;70(8 Suppl):872. doi:10.1158/1538-7445.AM10-872</w:t>
      </w:r>
    </w:p>
    <w:p w:rsidR="00157616" w:rsidRDefault="00000000" w:rsidP="001502D8">
      <w:pPr>
        <w:spacing w:before="40" w:after="40"/>
        <w:ind w:left="720" w:hanging="360"/>
        <w:jc w:val="both"/>
      </w:pPr>
      <w:r>
        <w:rPr>
          <w:sz w:val="20"/>
          <w:szCs w:val="20"/>
        </w:rPr>
        <w:t>13. Kiprono SK, Chaula BM, Beltraminelli H. Histological review of skin cancers in African albinos: a 10-year retrospective review. BMC Cancer. 2014;14:157. doi:10.1186/1471-2407-14-157</w:t>
      </w:r>
    </w:p>
    <w:p w:rsidR="00157616" w:rsidRDefault="00000000" w:rsidP="001502D8">
      <w:pPr>
        <w:spacing w:before="40" w:after="40"/>
        <w:ind w:left="720" w:hanging="360"/>
        <w:jc w:val="both"/>
      </w:pPr>
      <w:r>
        <w:rPr>
          <w:sz w:val="20"/>
          <w:szCs w:val="20"/>
        </w:rPr>
        <w:t>14. Mremi A, Yahaya JJ, Chillo P, Mchele G. Pattern and characteristics of skin cancers among patients seen at the Ocean Road Cancer Institute, Tanzania: a retrospective study. BMC Res Notes. 2020;13(1):458. doi:10.1186/s13104-020-05297-z</w:t>
      </w:r>
    </w:p>
    <w:p w:rsidR="00157616" w:rsidRDefault="00000000" w:rsidP="001502D8">
      <w:pPr>
        <w:spacing w:before="40" w:after="40"/>
        <w:ind w:left="720" w:hanging="360"/>
        <w:jc w:val="both"/>
      </w:pPr>
      <w:r>
        <w:rPr>
          <w:sz w:val="20"/>
          <w:szCs w:val="20"/>
        </w:rPr>
        <w:t>15. Hong E, Dixit S, Limacher M, et al. Under The Same Sun: providing sunscreen to albinos in Africa. Br J Dermatol. 2015;172(6):1561–1564. doi:10.1111/bjd.13613</w:t>
      </w:r>
    </w:p>
    <w:p w:rsidR="00157616" w:rsidRDefault="00000000" w:rsidP="001502D8">
      <w:pPr>
        <w:spacing w:before="40" w:after="40"/>
        <w:ind w:left="720" w:hanging="360"/>
        <w:jc w:val="both"/>
      </w:pPr>
      <w:r>
        <w:rPr>
          <w:sz w:val="20"/>
          <w:szCs w:val="20"/>
        </w:rPr>
        <w:t>16. Schmults CD, Aasi SZ, et al. Basal Cell Skin Cancer, Version 2.2024. NCCN Clinical Practice Guidelines in Oncology. J Natl Compr Canc Netw. 2023.</w:t>
      </w:r>
    </w:p>
    <w:p w:rsidR="00157616" w:rsidRDefault="00000000" w:rsidP="001502D8">
      <w:pPr>
        <w:spacing w:before="40" w:after="40"/>
        <w:ind w:left="720" w:hanging="360"/>
        <w:jc w:val="both"/>
      </w:pPr>
      <w:r>
        <w:rPr>
          <w:sz w:val="20"/>
          <w:szCs w:val="20"/>
        </w:rPr>
        <w:t>17. Hoorens I, Vossaert K, Ongenae K, Brochez L. Is early detection of basal cell carcinoma worthwhile? Systematic review based on WHO criteria. Br J Dermatol. 2016;174(6):1258–1265. doi:10.1111/bjd.14428</w:t>
      </w:r>
    </w:p>
    <w:p w:rsidR="00157616" w:rsidRDefault="00000000" w:rsidP="001502D8">
      <w:pPr>
        <w:spacing w:before="40" w:after="40"/>
        <w:ind w:left="720" w:hanging="360"/>
        <w:jc w:val="both"/>
      </w:pPr>
      <w:r>
        <w:rPr>
          <w:sz w:val="20"/>
          <w:szCs w:val="20"/>
        </w:rPr>
        <w:t>18. Navarrete-Dechent C, Marghoob AA, Dusza SW, et al. Association of shiny white blotches and strands with nonpigmented basal cell carcinoma. JAMA Dermatol. 2016;152(7):754–758. doi:10.1001/jamadermatol.2016.0479</w:t>
      </w:r>
    </w:p>
    <w:p w:rsidR="00157616" w:rsidRDefault="00000000" w:rsidP="001502D8">
      <w:pPr>
        <w:spacing w:before="40" w:after="40"/>
        <w:ind w:left="720" w:hanging="360"/>
        <w:jc w:val="both"/>
      </w:pPr>
      <w:r>
        <w:rPr>
          <w:sz w:val="20"/>
          <w:szCs w:val="20"/>
        </w:rPr>
        <w:t>19. Trigoni A, Lazaridou E, Apalla Z, et al. Dermoscopic features in the diagnosis of different types of basal cell carcinoma: a prospective analysis. J Eur Acad Dermatol Venereol. 2012;26(3):335–342. doi:10.1111/j.1468-3083.2011.04049.x</w:t>
      </w:r>
    </w:p>
    <w:p w:rsidR="00157616" w:rsidRDefault="00000000" w:rsidP="001502D8">
      <w:pPr>
        <w:spacing w:before="40" w:after="40"/>
        <w:ind w:left="720" w:hanging="360"/>
        <w:jc w:val="both"/>
      </w:pPr>
      <w:r>
        <w:rPr>
          <w:sz w:val="20"/>
          <w:szCs w:val="20"/>
        </w:rPr>
        <w:t>20. Drucker AM, Adam GP, Rofeberg V, et al. Treatments of primary basal cell carcinoma of the skin: a systematic review and network meta-analysis. Ann Intern Med. 2018;169(7):456–466. doi:10.7326/M18-0546</w:t>
      </w:r>
    </w:p>
    <w:p w:rsidR="00157616" w:rsidRDefault="00000000" w:rsidP="001502D8">
      <w:pPr>
        <w:spacing w:before="40" w:after="40"/>
        <w:ind w:left="720" w:hanging="360"/>
        <w:jc w:val="both"/>
      </w:pPr>
      <w:r>
        <w:rPr>
          <w:sz w:val="20"/>
          <w:szCs w:val="20"/>
        </w:rPr>
        <w:t>21. Wysong A, Aasi SZ, Tang JY. Update on metastatic basal cell carcinoma: a summary of published cases from 1981 through 2011. JAMA Dermatol. 2013;149(5):615–616. doi:10.1001/jamadermatol.2013.306</w:t>
      </w:r>
    </w:p>
    <w:p w:rsidR="00157616" w:rsidRDefault="00000000" w:rsidP="001502D8">
      <w:pPr>
        <w:spacing w:before="40" w:after="40"/>
        <w:ind w:left="720" w:hanging="360"/>
        <w:jc w:val="both"/>
      </w:pPr>
      <w:r>
        <w:rPr>
          <w:sz w:val="20"/>
          <w:szCs w:val="20"/>
        </w:rPr>
        <w:t>22. Chen et al. Skin cancer diagnosis by lesion, physician, and examination type: a systematic review and meta-analysis. JAMA Dermatol. 2025.</w:t>
      </w:r>
    </w:p>
    <w:p w:rsidR="00157616" w:rsidRDefault="00000000" w:rsidP="001502D8">
      <w:pPr>
        <w:spacing w:before="40" w:after="40"/>
        <w:ind w:left="720" w:hanging="360"/>
        <w:jc w:val="both"/>
      </w:pPr>
      <w:r>
        <w:rPr>
          <w:sz w:val="20"/>
          <w:szCs w:val="20"/>
        </w:rPr>
        <w:t>23. Levit S, Shoykhet J, Levit E. Comprehensive insights into basal cell carcinoma: causes, presentation, prevention, and modern therapeutic approaches. Cancer Med. 2025. doi:10.1002/cam4.71448</w:t>
      </w:r>
    </w:p>
    <w:sectPr w:rsidR="001576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009BF"/>
    <w:multiLevelType w:val="hybridMultilevel"/>
    <w:tmpl w:val="3496C502"/>
    <w:lvl w:ilvl="0" w:tplc="6E6C87FA">
      <w:start w:val="1"/>
      <w:numFmt w:val="bullet"/>
      <w:lvlText w:val="•"/>
      <w:lvlJc w:val="left"/>
      <w:pPr>
        <w:ind w:left="720" w:hanging="360"/>
      </w:pPr>
    </w:lvl>
    <w:lvl w:ilvl="1" w:tplc="E5544AA6">
      <w:numFmt w:val="decimal"/>
      <w:lvlText w:val=""/>
      <w:lvlJc w:val="left"/>
    </w:lvl>
    <w:lvl w:ilvl="2" w:tplc="337EC2F0">
      <w:numFmt w:val="decimal"/>
      <w:lvlText w:val=""/>
      <w:lvlJc w:val="left"/>
    </w:lvl>
    <w:lvl w:ilvl="3" w:tplc="FB98844E">
      <w:numFmt w:val="decimal"/>
      <w:lvlText w:val=""/>
      <w:lvlJc w:val="left"/>
    </w:lvl>
    <w:lvl w:ilvl="4" w:tplc="340C24D0">
      <w:numFmt w:val="decimal"/>
      <w:lvlText w:val=""/>
      <w:lvlJc w:val="left"/>
    </w:lvl>
    <w:lvl w:ilvl="5" w:tplc="9F6425CE">
      <w:numFmt w:val="decimal"/>
      <w:lvlText w:val=""/>
      <w:lvlJc w:val="left"/>
    </w:lvl>
    <w:lvl w:ilvl="6" w:tplc="97DC4062">
      <w:numFmt w:val="decimal"/>
      <w:lvlText w:val=""/>
      <w:lvlJc w:val="left"/>
    </w:lvl>
    <w:lvl w:ilvl="7" w:tplc="6D5E4310">
      <w:numFmt w:val="decimal"/>
      <w:lvlText w:val=""/>
      <w:lvlJc w:val="left"/>
    </w:lvl>
    <w:lvl w:ilvl="8" w:tplc="286AEFD0">
      <w:numFmt w:val="decimal"/>
      <w:lvlText w:val=""/>
      <w:lvlJc w:val="left"/>
    </w:lvl>
  </w:abstractNum>
  <w:abstractNum w:abstractNumId="1" w15:restartNumberingAfterBreak="0">
    <w:nsid w:val="72974F68"/>
    <w:multiLevelType w:val="hybridMultilevel"/>
    <w:tmpl w:val="10084D06"/>
    <w:lvl w:ilvl="0" w:tplc="635EA1B4">
      <w:start w:val="1"/>
      <w:numFmt w:val="bullet"/>
      <w:lvlText w:val="●"/>
      <w:lvlJc w:val="left"/>
      <w:pPr>
        <w:ind w:left="720" w:hanging="360"/>
      </w:pPr>
    </w:lvl>
    <w:lvl w:ilvl="1" w:tplc="DF7E7F26">
      <w:start w:val="1"/>
      <w:numFmt w:val="bullet"/>
      <w:lvlText w:val="○"/>
      <w:lvlJc w:val="left"/>
      <w:pPr>
        <w:ind w:left="1440" w:hanging="360"/>
      </w:pPr>
    </w:lvl>
    <w:lvl w:ilvl="2" w:tplc="6F603EAA">
      <w:start w:val="1"/>
      <w:numFmt w:val="bullet"/>
      <w:lvlText w:val="■"/>
      <w:lvlJc w:val="left"/>
      <w:pPr>
        <w:ind w:left="2160" w:hanging="360"/>
      </w:pPr>
    </w:lvl>
    <w:lvl w:ilvl="3" w:tplc="589CB6CA">
      <w:start w:val="1"/>
      <w:numFmt w:val="bullet"/>
      <w:lvlText w:val="●"/>
      <w:lvlJc w:val="left"/>
      <w:pPr>
        <w:ind w:left="2880" w:hanging="360"/>
      </w:pPr>
    </w:lvl>
    <w:lvl w:ilvl="4" w:tplc="F8429668">
      <w:start w:val="1"/>
      <w:numFmt w:val="bullet"/>
      <w:lvlText w:val="○"/>
      <w:lvlJc w:val="left"/>
      <w:pPr>
        <w:ind w:left="3600" w:hanging="360"/>
      </w:pPr>
    </w:lvl>
    <w:lvl w:ilvl="5" w:tplc="87C4F5CC">
      <w:start w:val="1"/>
      <w:numFmt w:val="bullet"/>
      <w:lvlText w:val="■"/>
      <w:lvlJc w:val="left"/>
      <w:pPr>
        <w:ind w:left="4320" w:hanging="360"/>
      </w:pPr>
    </w:lvl>
    <w:lvl w:ilvl="6" w:tplc="1C1E1ED6">
      <w:start w:val="1"/>
      <w:numFmt w:val="bullet"/>
      <w:lvlText w:val="●"/>
      <w:lvlJc w:val="left"/>
      <w:pPr>
        <w:ind w:left="5040" w:hanging="360"/>
      </w:pPr>
    </w:lvl>
    <w:lvl w:ilvl="7" w:tplc="644A0B3E">
      <w:start w:val="1"/>
      <w:numFmt w:val="bullet"/>
      <w:lvlText w:val="●"/>
      <w:lvlJc w:val="left"/>
      <w:pPr>
        <w:ind w:left="5760" w:hanging="360"/>
      </w:pPr>
    </w:lvl>
    <w:lvl w:ilvl="8" w:tplc="B06CB570">
      <w:start w:val="1"/>
      <w:numFmt w:val="bullet"/>
      <w:lvlText w:val="●"/>
      <w:lvlJc w:val="left"/>
      <w:pPr>
        <w:ind w:left="6480" w:hanging="360"/>
      </w:pPr>
    </w:lvl>
  </w:abstractNum>
  <w:num w:numId="1" w16cid:durableId="486359205">
    <w:abstractNumId w:val="1"/>
    <w:lvlOverride w:ilvl="0">
      <w:startOverride w:val="1"/>
    </w:lvlOverride>
  </w:num>
  <w:num w:numId="2" w16cid:durableId="1132291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616"/>
    <w:rsid w:val="001502D8"/>
    <w:rsid w:val="00157616"/>
    <w:rsid w:val="00844001"/>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ecimalSymbol w:val="."/>
  <w:listSeparator w:val=","/>
  <w14:docId w14:val="1845101E"/>
  <w15:docId w15:val="{95992664-FBF3-6E4D-B2DA-95AA15C2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T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4514</Words>
  <Characters>25732</Characters>
  <Application>Microsoft Office Word</Application>
  <DocSecurity>0</DocSecurity>
  <Lines>214</Lines>
  <Paragraphs>60</Paragraphs>
  <ScaleCrop>false</ScaleCrop>
  <Company/>
  <LinksUpToDate>false</LinksUpToDate>
  <CharactersWithSpaces>30186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clinicalrythm</cp:lastModifiedBy>
  <cp:revision>3</cp:revision>
  <dcterms:created xsi:type="dcterms:W3CDTF">2026-05-08T04:07:00Z</dcterms:created>
  <dcterms:modified xsi:type="dcterms:W3CDTF">2026-05-22T12:55:00Z</dcterms:modified>
</cp:coreProperties>
</file>