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9651A" w:rsidRPr="00F9651A" w:rsidRDefault="00F9651A" w:rsidP="00F9651A">
      <w:pPr>
        <w:keepNext/>
        <w:keepLines/>
        <w:spacing w:before="240"/>
        <w:jc w:val="center"/>
        <w:outlineLvl w:val="0"/>
        <w:divId w:val="2086949799"/>
        <w:rPr>
          <w:rFonts w:ascii="Calibri" w:eastAsia="Times New Roman" w:hAnsi="Calibri" w:cs="Calibri"/>
          <w:color w:val="000000"/>
          <w:kern w:val="2"/>
          <w:sz w:val="20"/>
          <w:szCs w:val="20"/>
          <w14:ligatures w14:val="standardContextual"/>
        </w:rPr>
      </w:pPr>
      <w:r w:rsidRPr="00F9651A">
        <w:rPr>
          <w:rFonts w:ascii="Calibri" w:eastAsia="Times New Roman" w:hAnsi="Calibri" w:cs="Calibri"/>
          <w:color w:val="2F5496" w:themeColor="accent1" w:themeShade="BF"/>
          <w:kern w:val="2"/>
          <w:sz w:val="20"/>
          <w:szCs w:val="20"/>
          <w14:ligatures w14:val="standardContextual"/>
        </w:rPr>
        <w:t xml:space="preserve">History Taking </w:t>
      </w:r>
    </w:p>
    <w:p w:rsidR="00940BDD" w:rsidRPr="003473A0" w:rsidRDefault="00000000" w:rsidP="003F68FB">
      <w:pPr>
        <w:pStyle w:val="NormalWeb"/>
        <w:jc w:val="both"/>
        <w:divId w:val="2086949799"/>
        <w:rPr>
          <w:rFonts w:ascii="Calibri" w:hAnsi="Calibri" w:cs="Calibri"/>
          <w:color w:val="111111"/>
          <w:sz w:val="20"/>
          <w:szCs w:val="20"/>
        </w:rPr>
      </w:pPr>
      <w:r w:rsidRPr="003473A0">
        <w:rPr>
          <w:rFonts w:ascii="Calibri" w:hAnsi="Calibri" w:cs="Calibri"/>
          <w:color w:val="111111"/>
          <w:sz w:val="20"/>
          <w:szCs w:val="20"/>
        </w:rPr>
        <w:t xml:space="preserve">History taking in ARF is structured around confirming the </w:t>
      </w:r>
      <w:r w:rsidRPr="003473A0">
        <w:rPr>
          <w:rStyle w:val="Strong"/>
          <w:rFonts w:ascii="Calibri" w:hAnsi="Calibri" w:cs="Calibri"/>
          <w:color w:val="111111"/>
          <w:sz w:val="20"/>
          <w:szCs w:val="20"/>
        </w:rPr>
        <w:t>antecedent GAS infection</w:t>
      </w:r>
      <w:r w:rsidRPr="003473A0">
        <w:rPr>
          <w:rFonts w:ascii="Calibri" w:hAnsi="Calibri" w:cs="Calibri"/>
          <w:color w:val="111111"/>
          <w:sz w:val="20"/>
          <w:szCs w:val="20"/>
        </w:rPr>
        <w:t xml:space="preserve">, identifying </w:t>
      </w:r>
      <w:r w:rsidRPr="003473A0">
        <w:rPr>
          <w:rStyle w:val="Strong"/>
          <w:rFonts w:ascii="Calibri" w:hAnsi="Calibri" w:cs="Calibri"/>
          <w:color w:val="111111"/>
          <w:sz w:val="20"/>
          <w:szCs w:val="20"/>
        </w:rPr>
        <w:t>major and minor Jones criteria manifestations</w:t>
      </w:r>
      <w:r w:rsidRPr="003473A0">
        <w:rPr>
          <w:rFonts w:ascii="Calibri" w:hAnsi="Calibri" w:cs="Calibri"/>
          <w:color w:val="111111"/>
          <w:sz w:val="20"/>
          <w:szCs w:val="20"/>
        </w:rPr>
        <w:t xml:space="preserve">, and stratifying </w:t>
      </w:r>
      <w:r w:rsidRPr="003473A0">
        <w:rPr>
          <w:rStyle w:val="Strong"/>
          <w:rFonts w:ascii="Calibri" w:hAnsi="Calibri" w:cs="Calibri"/>
          <w:color w:val="111111"/>
          <w:sz w:val="20"/>
          <w:szCs w:val="20"/>
        </w:rPr>
        <w:t>population risk</w:t>
      </w:r>
      <w:r w:rsidRPr="003473A0">
        <w:rPr>
          <w:rFonts w:ascii="Calibri" w:hAnsi="Calibri" w:cs="Calibri"/>
          <w:color w:val="111111"/>
          <w:sz w:val="20"/>
          <w:szCs w:val="20"/>
        </w:rPr>
        <w:t xml:space="preserve"> — all of which directly determine diagnostic thresholds [1].</w:t>
      </w:r>
    </w:p>
    <w:p w:rsidR="00940BDD" w:rsidRPr="003473A0" w:rsidRDefault="00000000" w:rsidP="003F68FB">
      <w:pPr>
        <w:pStyle w:val="Heading2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Fonts w:ascii="Calibri" w:eastAsia="Times New Roman" w:hAnsi="Calibri" w:cs="Calibri"/>
          <w:color w:val="111111"/>
          <w:sz w:val="20"/>
          <w:szCs w:val="20"/>
        </w:rPr>
        <w:t>1. Antecedent GAS Infection (Most Critical)</w:t>
      </w:r>
    </w:p>
    <w:p w:rsidR="00940BDD" w:rsidRPr="003473A0" w:rsidRDefault="00000000" w:rsidP="003F68FB">
      <w:pPr>
        <w:numPr>
          <w:ilvl w:val="0"/>
          <w:numId w:val="1"/>
        </w:numPr>
        <w:spacing w:before="100" w:beforeAutospacing="1" w:after="100" w:afterAutospacing="1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t>Sore throat 2–4 weeks prior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 xml:space="preserve"> (pharyngitis): onset, duration, treatment received, culture/rapid test results — the classic latent period is ~3 weeks [4]</w:t>
      </w:r>
    </w:p>
    <w:p w:rsidR="00940BDD" w:rsidRPr="003473A0" w:rsidRDefault="00000000" w:rsidP="003F68FB">
      <w:pPr>
        <w:numPr>
          <w:ilvl w:val="0"/>
          <w:numId w:val="1"/>
        </w:numPr>
        <w:spacing w:before="100" w:beforeAutospacing="1" w:after="100" w:afterAutospacing="1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t>Skin infection (impetigo)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>: especially in high-risk populations (Pacific Islander, Aboriginal Australian, sub-Saharan African), where GAS skin infection is an established trigger [2]</w:t>
      </w:r>
    </w:p>
    <w:p w:rsidR="00940BDD" w:rsidRPr="003473A0" w:rsidRDefault="00000000" w:rsidP="003F68FB">
      <w:pPr>
        <w:numPr>
          <w:ilvl w:val="0"/>
          <w:numId w:val="1"/>
        </w:numPr>
        <w:spacing w:before="100" w:beforeAutospacing="1" w:after="100" w:afterAutospacing="1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t>Prior antibiotic treatment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>: was penicillin given? Incomplete treatment increases ARF risk</w:t>
      </w:r>
    </w:p>
    <w:p w:rsidR="00940BDD" w:rsidRPr="003473A0" w:rsidRDefault="00000000" w:rsidP="003F68FB">
      <w:pPr>
        <w:numPr>
          <w:ilvl w:val="0"/>
          <w:numId w:val="1"/>
        </w:numPr>
        <w:spacing w:before="100" w:beforeAutospacing="1" w:after="100" w:afterAutospacing="1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Style w:val="Strong"/>
          <w:rFonts w:ascii="Apple Color Emoji" w:eastAsia="Times New Roman" w:hAnsi="Apple Color Emoji" w:cs="Apple Color Emoji"/>
          <w:color w:val="111111"/>
          <w:sz w:val="20"/>
          <w:szCs w:val="20"/>
        </w:rPr>
        <w:t>⚠️</w:t>
      </w: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t xml:space="preserve"> Absence of pharyngitis history does not exclude ARF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 xml:space="preserve"> — infection may be subclinical, especially preceding Sydenham chorea where the latent period may be several months [4] [4]</w:t>
      </w:r>
    </w:p>
    <w:p w:rsidR="00940BDD" w:rsidRPr="003473A0" w:rsidRDefault="00000000" w:rsidP="003F68FB">
      <w:pPr>
        <w:pStyle w:val="Heading2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Fonts w:ascii="Calibri" w:eastAsia="Times New Roman" w:hAnsi="Calibri" w:cs="Calibri"/>
          <w:color w:val="111111"/>
          <w:sz w:val="20"/>
          <w:szCs w:val="20"/>
        </w:rPr>
        <w:t>2. Major Manifestations (Jones Criteria) — Screen Systematically</w:t>
      </w:r>
    </w:p>
    <w:p w:rsidR="00940BDD" w:rsidRPr="003473A0" w:rsidRDefault="00000000" w:rsidP="003F68FB">
      <w:pPr>
        <w:pStyle w:val="Heading3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Fonts w:ascii="Calibri" w:eastAsia="Times New Roman" w:hAnsi="Calibri" w:cs="Calibri"/>
          <w:color w:val="111111"/>
          <w:sz w:val="20"/>
          <w:szCs w:val="20"/>
        </w:rPr>
        <w:t>Arthritis (most common; 60–80%)</w:t>
      </w:r>
    </w:p>
    <w:p w:rsidR="00940BDD" w:rsidRPr="003473A0" w:rsidRDefault="00000000" w:rsidP="003F68FB">
      <w:pPr>
        <w:numPr>
          <w:ilvl w:val="0"/>
          <w:numId w:val="2"/>
        </w:numPr>
        <w:spacing w:before="100" w:beforeAutospacing="1" w:after="100" w:afterAutospacing="1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t>Joint pain and swelling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>: which joints? (typically large joints — knees, ankles, wrists, elbows)</w:t>
      </w:r>
    </w:p>
    <w:p w:rsidR="00940BDD" w:rsidRPr="003473A0" w:rsidRDefault="00000000" w:rsidP="003F68FB">
      <w:pPr>
        <w:numPr>
          <w:ilvl w:val="0"/>
          <w:numId w:val="2"/>
        </w:numPr>
        <w:spacing w:before="100" w:beforeAutospacing="1" w:after="100" w:afterAutospacing="1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t>Migratory pattern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>: did pain move from joint to joint ("flitting and fleeting")?</w:t>
      </w:r>
    </w:p>
    <w:p w:rsidR="00940BDD" w:rsidRPr="003473A0" w:rsidRDefault="00000000" w:rsidP="003F68FB">
      <w:pPr>
        <w:numPr>
          <w:ilvl w:val="0"/>
          <w:numId w:val="2"/>
        </w:numPr>
        <w:spacing w:before="100" w:beforeAutospacing="1" w:after="100" w:afterAutospacing="1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Style w:val="Strong"/>
          <w:rFonts w:ascii="Apple Color Emoji" w:eastAsia="Times New Roman" w:hAnsi="Apple Color Emoji" w:cs="Apple Color Emoji"/>
          <w:color w:val="111111"/>
          <w:sz w:val="20"/>
          <w:szCs w:val="20"/>
        </w:rPr>
        <w:t>⚠️</w:t>
      </w: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t xml:space="preserve"> NSAIDs/salicylates taken before presentation?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 xml:space="preserve"> — these mask the migratory character; must ask specifically [1]</w:t>
      </w:r>
    </w:p>
    <w:p w:rsidR="00940BDD" w:rsidRPr="003473A0" w:rsidRDefault="00000000" w:rsidP="003F68FB">
      <w:pPr>
        <w:numPr>
          <w:ilvl w:val="0"/>
          <w:numId w:val="2"/>
        </w:numPr>
        <w:spacing w:before="100" w:beforeAutospacing="1" w:after="100" w:afterAutospacing="1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Fonts w:ascii="Calibri" w:eastAsia="Times New Roman" w:hAnsi="Calibri" w:cs="Calibri"/>
          <w:color w:val="111111"/>
          <w:sz w:val="20"/>
          <w:szCs w:val="20"/>
        </w:rPr>
        <w:t>Severity, timing, and whether joints improved spontaneously</w:t>
      </w:r>
    </w:p>
    <w:p w:rsidR="00940BDD" w:rsidRPr="003473A0" w:rsidRDefault="00000000" w:rsidP="003F68FB">
      <w:pPr>
        <w:numPr>
          <w:ilvl w:val="0"/>
          <w:numId w:val="2"/>
        </w:numPr>
        <w:spacing w:before="100" w:beforeAutospacing="1" w:after="100" w:afterAutospacing="1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Fonts w:ascii="Calibri" w:eastAsia="Times New Roman" w:hAnsi="Calibri" w:cs="Calibri"/>
          <w:color w:val="111111"/>
          <w:sz w:val="20"/>
          <w:szCs w:val="20"/>
        </w:rPr>
        <w:t xml:space="preserve">In </w:t>
      </w: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t>high-risk populations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>: monoarthritis or polyarthralgia may qualify as major criterion</w:t>
      </w:r>
    </w:p>
    <w:p w:rsidR="00940BDD" w:rsidRPr="003473A0" w:rsidRDefault="00000000" w:rsidP="003F68FB">
      <w:pPr>
        <w:pStyle w:val="Heading3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Fonts w:ascii="Calibri" w:eastAsia="Times New Roman" w:hAnsi="Calibri" w:cs="Calibri"/>
          <w:color w:val="111111"/>
          <w:sz w:val="20"/>
          <w:szCs w:val="20"/>
        </w:rPr>
        <w:t>Carditis (50–70%)</w:t>
      </w:r>
    </w:p>
    <w:p w:rsidR="00940BDD" w:rsidRPr="003473A0" w:rsidRDefault="00000000" w:rsidP="003F68FB">
      <w:pPr>
        <w:numPr>
          <w:ilvl w:val="0"/>
          <w:numId w:val="3"/>
        </w:numPr>
        <w:spacing w:before="100" w:beforeAutospacing="1" w:after="100" w:afterAutospacing="1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t>Chest pain or discomfort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 xml:space="preserve"> (pericarditis component)</w:t>
      </w:r>
    </w:p>
    <w:p w:rsidR="00940BDD" w:rsidRPr="003473A0" w:rsidRDefault="00000000" w:rsidP="003F68FB">
      <w:pPr>
        <w:numPr>
          <w:ilvl w:val="0"/>
          <w:numId w:val="3"/>
        </w:numPr>
        <w:spacing w:before="100" w:beforeAutospacing="1" w:after="100" w:afterAutospacing="1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t>Palpitations, dyspnea, orthopnea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 xml:space="preserve"> (suggest valvulitis/myocarditis)</w:t>
      </w:r>
    </w:p>
    <w:p w:rsidR="00940BDD" w:rsidRPr="003473A0" w:rsidRDefault="00000000" w:rsidP="003F68FB">
      <w:pPr>
        <w:numPr>
          <w:ilvl w:val="0"/>
          <w:numId w:val="3"/>
        </w:numPr>
        <w:spacing w:before="100" w:beforeAutospacing="1" w:after="100" w:afterAutospacing="1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t>Exertional intolerance</w:t>
      </w:r>
    </w:p>
    <w:p w:rsidR="00940BDD" w:rsidRPr="003473A0" w:rsidRDefault="00000000" w:rsidP="003F68FB">
      <w:pPr>
        <w:numPr>
          <w:ilvl w:val="0"/>
          <w:numId w:val="3"/>
        </w:numPr>
        <w:spacing w:before="100" w:beforeAutospacing="1" w:after="100" w:afterAutospacing="1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t>Tachycardia disproportionate to fever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 xml:space="preserve"> (especially nocturnal — suggests myocarditis) [4]</w:t>
      </w:r>
    </w:p>
    <w:p w:rsidR="00940BDD" w:rsidRPr="003473A0" w:rsidRDefault="00000000" w:rsidP="003F68FB">
      <w:pPr>
        <w:numPr>
          <w:ilvl w:val="0"/>
          <w:numId w:val="3"/>
        </w:numPr>
        <w:spacing w:before="100" w:beforeAutospacing="1" w:after="100" w:afterAutospacing="1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Fonts w:ascii="Calibri" w:eastAsia="Times New Roman" w:hAnsi="Calibri" w:cs="Calibri"/>
          <w:color w:val="111111"/>
          <w:sz w:val="20"/>
          <w:szCs w:val="20"/>
        </w:rPr>
        <w:t xml:space="preserve">Note: </w:t>
      </w: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t>subclinical carditis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 xml:space="preserve"> (Doppler-detected) may be present without symptoms — echocardiography is needed regardless [1]</w:t>
      </w:r>
    </w:p>
    <w:p w:rsidR="00940BDD" w:rsidRPr="003473A0" w:rsidRDefault="00000000" w:rsidP="003F68FB">
      <w:pPr>
        <w:pStyle w:val="Heading3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Fonts w:ascii="Calibri" w:eastAsia="Times New Roman" w:hAnsi="Calibri" w:cs="Calibri"/>
          <w:color w:val="111111"/>
          <w:sz w:val="20"/>
          <w:szCs w:val="20"/>
        </w:rPr>
        <w:t>Sydenham Chorea</w:t>
      </w:r>
    </w:p>
    <w:p w:rsidR="00940BDD" w:rsidRPr="003473A0" w:rsidRDefault="00000000" w:rsidP="003F68FB">
      <w:pPr>
        <w:numPr>
          <w:ilvl w:val="0"/>
          <w:numId w:val="4"/>
        </w:numPr>
        <w:spacing w:before="100" w:beforeAutospacing="1" w:after="100" w:afterAutospacing="1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t>Involuntary, irregular, purposeless movements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 xml:space="preserve"> of limbs, face, or trunk — onset, progression, unilateral vs. bilateral</w:t>
      </w:r>
    </w:p>
    <w:p w:rsidR="00940BDD" w:rsidRPr="003473A0" w:rsidRDefault="00000000" w:rsidP="003F68FB">
      <w:pPr>
        <w:numPr>
          <w:ilvl w:val="0"/>
          <w:numId w:val="4"/>
        </w:numPr>
        <w:spacing w:before="100" w:beforeAutospacing="1" w:after="100" w:afterAutospacing="1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t>Emotional lability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>, behavioral changes, school performance decline</w:t>
      </w:r>
    </w:p>
    <w:p w:rsidR="00940BDD" w:rsidRPr="003473A0" w:rsidRDefault="00000000" w:rsidP="003F68FB">
      <w:pPr>
        <w:numPr>
          <w:ilvl w:val="0"/>
          <w:numId w:val="4"/>
        </w:numPr>
        <w:spacing w:before="100" w:beforeAutospacing="1" w:after="100" w:afterAutospacing="1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t>Muscle weakness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 xml:space="preserve"> (hypotonia)</w:t>
      </w:r>
    </w:p>
    <w:p w:rsidR="00940BDD" w:rsidRPr="003473A0" w:rsidRDefault="00000000" w:rsidP="003F68FB">
      <w:pPr>
        <w:numPr>
          <w:ilvl w:val="0"/>
          <w:numId w:val="4"/>
        </w:numPr>
        <w:spacing w:before="100" w:beforeAutospacing="1" w:after="100" w:afterAutospacing="1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Style w:val="Strong"/>
          <w:rFonts w:ascii="Apple Color Emoji" w:eastAsia="Times New Roman" w:hAnsi="Apple Color Emoji" w:cs="Apple Color Emoji"/>
          <w:color w:val="111111"/>
          <w:sz w:val="20"/>
          <w:szCs w:val="20"/>
        </w:rPr>
        <w:t>⚠️</w:t>
      </w: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t xml:space="preserve"> Chorea has a longer latent period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 xml:space="preserve"> (months after GAS); GAS evidence may be absent at time of presentation [4]</w:t>
      </w:r>
    </w:p>
    <w:p w:rsidR="00940BDD" w:rsidRPr="003473A0" w:rsidRDefault="00000000" w:rsidP="003F68FB">
      <w:pPr>
        <w:numPr>
          <w:ilvl w:val="0"/>
          <w:numId w:val="4"/>
        </w:numPr>
        <w:spacing w:before="100" w:beforeAutospacing="1" w:after="100" w:afterAutospacing="1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Fonts w:ascii="Calibri" w:eastAsia="Times New Roman" w:hAnsi="Calibri" w:cs="Calibri"/>
          <w:color w:val="111111"/>
          <w:sz w:val="20"/>
          <w:szCs w:val="20"/>
        </w:rPr>
        <w:t>Screen for prior history of chorea (recurrent SC is possible)</w:t>
      </w:r>
    </w:p>
    <w:p w:rsidR="00940BDD" w:rsidRPr="003473A0" w:rsidRDefault="00000000" w:rsidP="003F68FB">
      <w:pPr>
        <w:pStyle w:val="Heading3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Fonts w:ascii="Calibri" w:eastAsia="Times New Roman" w:hAnsi="Calibri" w:cs="Calibri"/>
          <w:color w:val="111111"/>
          <w:sz w:val="20"/>
          <w:szCs w:val="20"/>
        </w:rPr>
        <w:t>Erythema Marginatum</w:t>
      </w:r>
    </w:p>
    <w:p w:rsidR="00940BDD" w:rsidRPr="003473A0" w:rsidRDefault="00000000" w:rsidP="003F68FB">
      <w:pPr>
        <w:numPr>
          <w:ilvl w:val="0"/>
          <w:numId w:val="5"/>
        </w:numPr>
        <w:spacing w:before="100" w:beforeAutospacing="1" w:after="100" w:afterAutospacing="1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Fonts w:ascii="Calibri" w:eastAsia="Times New Roman" w:hAnsi="Calibri" w:cs="Calibri"/>
          <w:color w:val="111111"/>
          <w:sz w:val="20"/>
          <w:szCs w:val="20"/>
        </w:rPr>
        <w:t xml:space="preserve">Evanescent </w:t>
      </w: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t>pink rash with pale centers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 xml:space="preserve"> on trunk/proximal extremities (not face)</w:t>
      </w:r>
    </w:p>
    <w:p w:rsidR="00940BDD" w:rsidRPr="003473A0" w:rsidRDefault="00000000" w:rsidP="003F68FB">
      <w:pPr>
        <w:numPr>
          <w:ilvl w:val="0"/>
          <w:numId w:val="5"/>
        </w:numPr>
        <w:spacing w:before="100" w:beforeAutospacing="1" w:after="100" w:afterAutospacing="1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Fonts w:ascii="Calibri" w:eastAsia="Times New Roman" w:hAnsi="Calibri" w:cs="Calibri"/>
          <w:color w:val="111111"/>
          <w:sz w:val="20"/>
          <w:szCs w:val="20"/>
        </w:rPr>
        <w:t>Worsened by heat; may be difficult to detect in dark-skinned individuals [1]</w:t>
      </w:r>
    </w:p>
    <w:p w:rsidR="00940BDD" w:rsidRPr="003473A0" w:rsidRDefault="00000000" w:rsidP="003F68FB">
      <w:pPr>
        <w:pStyle w:val="Heading3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Fonts w:ascii="Calibri" w:eastAsia="Times New Roman" w:hAnsi="Calibri" w:cs="Calibri"/>
          <w:color w:val="111111"/>
          <w:sz w:val="20"/>
          <w:szCs w:val="20"/>
        </w:rPr>
        <w:t>Subcutaneous Nodules</w:t>
      </w:r>
    </w:p>
    <w:p w:rsidR="00940BDD" w:rsidRPr="003473A0" w:rsidRDefault="00000000" w:rsidP="003F68FB">
      <w:pPr>
        <w:numPr>
          <w:ilvl w:val="0"/>
          <w:numId w:val="6"/>
        </w:numPr>
        <w:spacing w:before="100" w:beforeAutospacing="1" w:after="100" w:afterAutospacing="1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Fonts w:ascii="Calibri" w:eastAsia="Times New Roman" w:hAnsi="Calibri" w:cs="Calibri"/>
          <w:color w:val="111111"/>
          <w:sz w:val="20"/>
          <w:szCs w:val="20"/>
        </w:rPr>
        <w:t xml:space="preserve">Firm, </w:t>
      </w: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t>painless lumps over extensor surfaces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 xml:space="preserve"> (elbows, knees, wrists, occiput, spine)</w:t>
      </w:r>
    </w:p>
    <w:p w:rsidR="00940BDD" w:rsidRPr="003473A0" w:rsidRDefault="00000000" w:rsidP="003F68FB">
      <w:pPr>
        <w:numPr>
          <w:ilvl w:val="0"/>
          <w:numId w:val="6"/>
        </w:numPr>
        <w:spacing w:before="100" w:beforeAutospacing="1" w:after="100" w:afterAutospacing="1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Fonts w:ascii="Calibri" w:eastAsia="Times New Roman" w:hAnsi="Calibri" w:cs="Calibri"/>
          <w:color w:val="111111"/>
          <w:sz w:val="20"/>
          <w:szCs w:val="20"/>
        </w:rPr>
        <w:lastRenderedPageBreak/>
        <w:t>Almost always co-occur with carditis</w:t>
      </w:r>
    </w:p>
    <w:p w:rsidR="00940BDD" w:rsidRPr="003473A0" w:rsidRDefault="00000000" w:rsidP="003F68FB">
      <w:pPr>
        <w:pStyle w:val="Heading2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Fonts w:ascii="Calibri" w:eastAsia="Times New Roman" w:hAnsi="Calibri" w:cs="Calibri"/>
          <w:color w:val="111111"/>
          <w:sz w:val="20"/>
          <w:szCs w:val="20"/>
        </w:rPr>
        <w:t>3. Minor Manifestations</w:t>
      </w:r>
    </w:p>
    <w:p w:rsidR="00940BDD" w:rsidRPr="003473A0" w:rsidRDefault="00000000" w:rsidP="003F68FB">
      <w:pPr>
        <w:numPr>
          <w:ilvl w:val="0"/>
          <w:numId w:val="7"/>
        </w:numPr>
        <w:spacing w:before="100" w:beforeAutospacing="1" w:after="100" w:afterAutospacing="1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t>Fever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 xml:space="preserve">: document temperature, use of antipyretics before presentation (may mask fever) </w:t>
      </w:r>
    </w:p>
    <w:p w:rsidR="00940BDD" w:rsidRPr="003473A0" w:rsidRDefault="00000000" w:rsidP="003F68FB">
      <w:pPr>
        <w:numPr>
          <w:ilvl w:val="1"/>
          <w:numId w:val="7"/>
        </w:numPr>
        <w:spacing w:before="100" w:beforeAutospacing="1" w:after="100" w:afterAutospacing="1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Fonts w:ascii="Calibri" w:eastAsia="Times New Roman" w:hAnsi="Calibri" w:cs="Calibri"/>
          <w:color w:val="111111"/>
          <w:sz w:val="20"/>
          <w:szCs w:val="20"/>
        </w:rPr>
        <w:t>≥38.5°C (low-risk); ≥38°C acceptable in high-risk populations [1]</w:t>
      </w:r>
    </w:p>
    <w:p w:rsidR="00940BDD" w:rsidRPr="003473A0" w:rsidRDefault="00000000" w:rsidP="003F68FB">
      <w:pPr>
        <w:numPr>
          <w:ilvl w:val="0"/>
          <w:numId w:val="7"/>
        </w:numPr>
        <w:spacing w:before="100" w:beforeAutospacing="1" w:after="100" w:afterAutospacing="1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t>Arthralgia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 xml:space="preserve"> (only if arthritis not already counted as major criterion)</w:t>
      </w:r>
    </w:p>
    <w:p w:rsidR="00940BDD" w:rsidRPr="003473A0" w:rsidRDefault="00000000" w:rsidP="003F68FB">
      <w:pPr>
        <w:numPr>
          <w:ilvl w:val="0"/>
          <w:numId w:val="7"/>
        </w:numPr>
        <w:spacing w:before="100" w:beforeAutospacing="1" w:after="100" w:afterAutospacing="1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t>Epistaxis, abdominal pain, malaise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 xml:space="preserve"> — supportive features not diagnostic</w:t>
      </w:r>
    </w:p>
    <w:p w:rsidR="00940BDD" w:rsidRPr="003473A0" w:rsidRDefault="00000000" w:rsidP="003F68FB">
      <w:pPr>
        <w:pStyle w:val="Heading2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Fonts w:ascii="Calibri" w:eastAsia="Times New Roman" w:hAnsi="Calibri" w:cs="Calibri"/>
          <w:color w:val="111111"/>
          <w:sz w:val="20"/>
          <w:szCs w:val="20"/>
        </w:rPr>
        <w:t>4. Past Medical and Family History</w:t>
      </w:r>
    </w:p>
    <w:p w:rsidR="00940BDD" w:rsidRPr="003473A0" w:rsidRDefault="00000000" w:rsidP="003F68FB">
      <w:pPr>
        <w:numPr>
          <w:ilvl w:val="0"/>
          <w:numId w:val="8"/>
        </w:numPr>
        <w:spacing w:before="100" w:beforeAutospacing="1" w:after="100" w:afterAutospacing="1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t>Prior ARF or RHD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>: recurrent ARF dramatically increases carditis severity [4]</w:t>
      </w:r>
    </w:p>
    <w:p w:rsidR="00940BDD" w:rsidRPr="003473A0" w:rsidRDefault="00000000" w:rsidP="003F68FB">
      <w:pPr>
        <w:numPr>
          <w:ilvl w:val="0"/>
          <w:numId w:val="8"/>
        </w:numPr>
        <w:spacing w:before="100" w:beforeAutospacing="1" w:after="100" w:afterAutospacing="1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t>Prior penicillin prophylaxis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>: compliance, formulation, frequency</w:t>
      </w:r>
    </w:p>
    <w:p w:rsidR="00940BDD" w:rsidRPr="003473A0" w:rsidRDefault="00000000" w:rsidP="003F68FB">
      <w:pPr>
        <w:numPr>
          <w:ilvl w:val="0"/>
          <w:numId w:val="8"/>
        </w:numPr>
        <w:spacing w:before="100" w:beforeAutospacing="1" w:after="100" w:afterAutospacing="1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t>Family history of ARF/RHD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>: genetic susceptibility is established [1]</w:t>
      </w:r>
    </w:p>
    <w:p w:rsidR="00940BDD" w:rsidRPr="003473A0" w:rsidRDefault="00000000" w:rsidP="003F68FB">
      <w:pPr>
        <w:numPr>
          <w:ilvl w:val="0"/>
          <w:numId w:val="8"/>
        </w:numPr>
        <w:spacing w:before="100" w:beforeAutospacing="1" w:after="100" w:afterAutospacing="1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t>Prior cardiac diagnoses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 xml:space="preserve"> or murmurs</w:t>
      </w:r>
    </w:p>
    <w:p w:rsidR="00940BDD" w:rsidRPr="003473A0" w:rsidRDefault="00000000">
      <w:pPr>
        <w:pStyle w:val="Heading2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Fonts w:ascii="Calibri" w:eastAsia="Times New Roman" w:hAnsi="Calibri" w:cs="Calibri"/>
          <w:color w:val="111111"/>
          <w:sz w:val="20"/>
          <w:szCs w:val="20"/>
        </w:rPr>
        <w:t>5. Epidemiological and Social Risk Stratification</w:t>
      </w:r>
    </w:p>
    <w:p w:rsidR="00940BDD" w:rsidRPr="003473A0" w:rsidRDefault="00000000">
      <w:pPr>
        <w:numPr>
          <w:ilvl w:val="0"/>
          <w:numId w:val="9"/>
        </w:numPr>
        <w:spacing w:before="100" w:beforeAutospacing="1" w:after="100" w:afterAutospacing="1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t>Geographic origin and current residence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>: high-risk regions (sub-Saharan Africa, South Asia, Pacific Islands, Indigenous Australian/New Zealand communities) — affects diagnostic thresholds [2]</w:t>
      </w:r>
    </w:p>
    <w:p w:rsidR="00940BDD" w:rsidRPr="003473A0" w:rsidRDefault="00000000">
      <w:pPr>
        <w:numPr>
          <w:ilvl w:val="0"/>
          <w:numId w:val="9"/>
        </w:numPr>
        <w:spacing w:before="100" w:beforeAutospacing="1" w:after="100" w:afterAutospacing="1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t>Socioeconomic status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>: overcrowding, access to healthcare, prior antibiotic access</w:t>
      </w:r>
    </w:p>
    <w:p w:rsidR="00940BDD" w:rsidRPr="003473A0" w:rsidRDefault="00000000">
      <w:pPr>
        <w:numPr>
          <w:ilvl w:val="0"/>
          <w:numId w:val="9"/>
        </w:numPr>
        <w:spacing w:before="100" w:beforeAutospacing="1" w:after="100" w:afterAutospacing="1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t>Age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>: peak incidence 5–14 years; first episode in adults is uncommon [4]</w:t>
      </w:r>
    </w:p>
    <w:p w:rsidR="00940BDD" w:rsidRPr="003473A0" w:rsidRDefault="00000000">
      <w:pPr>
        <w:pStyle w:val="Heading2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Fonts w:ascii="Calibri" w:eastAsia="Times New Roman" w:hAnsi="Calibri" w:cs="Calibri"/>
          <w:color w:val="111111"/>
          <w:sz w:val="20"/>
          <w:szCs w:val="20"/>
        </w:rPr>
        <w:t>Summary Table: Rational History Taking Framework in Suspected ARF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50"/>
        <w:gridCol w:w="3374"/>
        <w:gridCol w:w="4092"/>
      </w:tblGrid>
      <w:tr w:rsidR="00940BDD" w:rsidRPr="003473A0" w:rsidTr="003F68FB">
        <w:trPr>
          <w:divId w:val="2086949799"/>
        </w:trPr>
        <w:tc>
          <w:tcPr>
            <w:tcW w:w="0" w:type="auto"/>
            <w:hideMark/>
          </w:tcPr>
          <w:p w:rsidR="00940BDD" w:rsidRPr="003473A0" w:rsidRDefault="00000000">
            <w:pPr>
              <w:spacing w:before="150" w:after="15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Domain</w:t>
            </w:r>
          </w:p>
        </w:tc>
        <w:tc>
          <w:tcPr>
            <w:tcW w:w="0" w:type="auto"/>
            <w:hideMark/>
          </w:tcPr>
          <w:p w:rsidR="00940BDD" w:rsidRPr="003473A0" w:rsidRDefault="00000000">
            <w:pPr>
              <w:spacing w:before="150" w:after="15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Key Questions</w:t>
            </w:r>
          </w:p>
        </w:tc>
        <w:tc>
          <w:tcPr>
            <w:tcW w:w="0" w:type="auto"/>
            <w:hideMark/>
          </w:tcPr>
          <w:p w:rsidR="00940BDD" w:rsidRPr="003473A0" w:rsidRDefault="00000000">
            <w:pPr>
              <w:spacing w:before="150" w:after="15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Clinical Rationale</w:t>
            </w:r>
          </w:p>
        </w:tc>
      </w:tr>
      <w:tr w:rsidR="00940BDD" w:rsidRPr="003473A0" w:rsidTr="003F68FB">
        <w:trPr>
          <w:divId w:val="2086949799"/>
        </w:trPr>
        <w:tc>
          <w:tcPr>
            <w:tcW w:w="0" w:type="auto"/>
            <w:hideMark/>
          </w:tcPr>
          <w:p w:rsidR="00940BDD" w:rsidRPr="003473A0" w:rsidRDefault="00000000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Style w:val="Strong"/>
                <w:rFonts w:ascii="Calibri" w:eastAsia="Times New Roman" w:hAnsi="Calibri" w:cs="Calibri"/>
                <w:color w:val="111111"/>
                <w:sz w:val="20"/>
                <w:szCs w:val="20"/>
              </w:rPr>
              <w:t>GAS infection</w:t>
            </w:r>
          </w:p>
        </w:tc>
        <w:tc>
          <w:tcPr>
            <w:tcW w:w="0" w:type="auto"/>
            <w:hideMark/>
          </w:tcPr>
          <w:p w:rsidR="00940BDD" w:rsidRPr="003473A0" w:rsidRDefault="00000000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Sore throat/skin infection 2–6 weeks prior; antibiotics given?</w:t>
            </w:r>
          </w:p>
        </w:tc>
        <w:tc>
          <w:tcPr>
            <w:tcW w:w="0" w:type="auto"/>
            <w:hideMark/>
          </w:tcPr>
          <w:p w:rsidR="00940BDD" w:rsidRPr="003473A0" w:rsidRDefault="00000000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Required to fulfill Jones criteria supporting evidence; subclinical infections common [1]</w:t>
            </w:r>
          </w:p>
        </w:tc>
      </w:tr>
      <w:tr w:rsidR="00940BDD" w:rsidRPr="003473A0" w:rsidTr="003F68FB">
        <w:trPr>
          <w:divId w:val="2086949799"/>
        </w:trPr>
        <w:tc>
          <w:tcPr>
            <w:tcW w:w="0" w:type="auto"/>
            <w:hideMark/>
          </w:tcPr>
          <w:p w:rsidR="00940BDD" w:rsidRPr="003473A0" w:rsidRDefault="00000000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Style w:val="Strong"/>
                <w:rFonts w:ascii="Calibri" w:eastAsia="Times New Roman" w:hAnsi="Calibri" w:cs="Calibri"/>
                <w:color w:val="111111"/>
                <w:sz w:val="20"/>
                <w:szCs w:val="20"/>
              </w:rPr>
              <w:t>Arthritis</w:t>
            </w:r>
          </w:p>
        </w:tc>
        <w:tc>
          <w:tcPr>
            <w:tcW w:w="0" w:type="auto"/>
            <w:hideMark/>
          </w:tcPr>
          <w:p w:rsidR="00940BDD" w:rsidRPr="003473A0" w:rsidRDefault="00000000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Which joints? Migratory? NSAIDs taken?</w:t>
            </w:r>
          </w:p>
        </w:tc>
        <w:tc>
          <w:tcPr>
            <w:tcW w:w="0" w:type="auto"/>
            <w:hideMark/>
          </w:tcPr>
          <w:p w:rsidR="00940BDD" w:rsidRPr="003473A0" w:rsidRDefault="00000000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NSAIDs mask classic migratory pattern; must be explicitly asked [1]</w:t>
            </w:r>
          </w:p>
        </w:tc>
      </w:tr>
      <w:tr w:rsidR="00940BDD" w:rsidRPr="003473A0" w:rsidTr="003F68FB">
        <w:trPr>
          <w:divId w:val="2086949799"/>
        </w:trPr>
        <w:tc>
          <w:tcPr>
            <w:tcW w:w="0" w:type="auto"/>
            <w:hideMark/>
          </w:tcPr>
          <w:p w:rsidR="00940BDD" w:rsidRPr="003473A0" w:rsidRDefault="00000000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Style w:val="Strong"/>
                <w:rFonts w:ascii="Calibri" w:eastAsia="Times New Roman" w:hAnsi="Calibri" w:cs="Calibri"/>
                <w:color w:val="111111"/>
                <w:sz w:val="20"/>
                <w:szCs w:val="20"/>
              </w:rPr>
              <w:t>Carditis symptoms</w:t>
            </w:r>
          </w:p>
        </w:tc>
        <w:tc>
          <w:tcPr>
            <w:tcW w:w="0" w:type="auto"/>
            <w:hideMark/>
          </w:tcPr>
          <w:p w:rsidR="00940BDD" w:rsidRPr="003473A0" w:rsidRDefault="00000000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Chest pain, palpitations, dyspnea, nocturnal tachycardia?</w:t>
            </w:r>
          </w:p>
        </w:tc>
        <w:tc>
          <w:tcPr>
            <w:tcW w:w="0" w:type="auto"/>
            <w:hideMark/>
          </w:tcPr>
          <w:p w:rsidR="00940BDD" w:rsidRPr="003473A0" w:rsidRDefault="00000000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Subclinical carditis may exist without symptoms; triggers echo referral [4]</w:t>
            </w:r>
          </w:p>
        </w:tc>
      </w:tr>
      <w:tr w:rsidR="00940BDD" w:rsidRPr="003473A0" w:rsidTr="003F68FB">
        <w:trPr>
          <w:divId w:val="2086949799"/>
        </w:trPr>
        <w:tc>
          <w:tcPr>
            <w:tcW w:w="0" w:type="auto"/>
            <w:hideMark/>
          </w:tcPr>
          <w:p w:rsidR="00940BDD" w:rsidRPr="003473A0" w:rsidRDefault="00000000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Style w:val="Strong"/>
                <w:rFonts w:ascii="Calibri" w:eastAsia="Times New Roman" w:hAnsi="Calibri" w:cs="Calibri"/>
                <w:color w:val="111111"/>
                <w:sz w:val="20"/>
                <w:szCs w:val="20"/>
              </w:rPr>
              <w:t>Chorea</w:t>
            </w:r>
          </w:p>
        </w:tc>
        <w:tc>
          <w:tcPr>
            <w:tcW w:w="0" w:type="auto"/>
            <w:hideMark/>
          </w:tcPr>
          <w:p w:rsidR="00940BDD" w:rsidRPr="003473A0" w:rsidRDefault="00000000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Involuntary movements, emotional lability, timing from infection</w:t>
            </w:r>
          </w:p>
        </w:tc>
        <w:tc>
          <w:tcPr>
            <w:tcW w:w="0" w:type="auto"/>
            <w:hideMark/>
          </w:tcPr>
          <w:p w:rsidR="00940BDD" w:rsidRPr="003473A0" w:rsidRDefault="00000000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Long latent period; GAS evidence often absent; behavioral change may be first sign [4]</w:t>
            </w:r>
          </w:p>
        </w:tc>
      </w:tr>
      <w:tr w:rsidR="00940BDD" w:rsidRPr="003473A0" w:rsidTr="003F68FB">
        <w:trPr>
          <w:divId w:val="2086949799"/>
        </w:trPr>
        <w:tc>
          <w:tcPr>
            <w:tcW w:w="0" w:type="auto"/>
            <w:hideMark/>
          </w:tcPr>
          <w:p w:rsidR="00940BDD" w:rsidRPr="003473A0" w:rsidRDefault="00000000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Style w:val="Strong"/>
                <w:rFonts w:ascii="Calibri" w:eastAsia="Times New Roman" w:hAnsi="Calibri" w:cs="Calibri"/>
                <w:color w:val="111111"/>
                <w:sz w:val="20"/>
                <w:szCs w:val="20"/>
              </w:rPr>
              <w:t>Rash/nodules</w:t>
            </w:r>
          </w:p>
        </w:tc>
        <w:tc>
          <w:tcPr>
            <w:tcW w:w="0" w:type="auto"/>
            <w:hideMark/>
          </w:tcPr>
          <w:p w:rsidR="00940BDD" w:rsidRPr="003473A0" w:rsidRDefault="00000000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Evanescent rash on trunk? Painless bumps over joints?</w:t>
            </w:r>
          </w:p>
        </w:tc>
        <w:tc>
          <w:tcPr>
            <w:tcW w:w="0" w:type="auto"/>
            <w:hideMark/>
          </w:tcPr>
          <w:p w:rsidR="00940BDD" w:rsidRPr="003473A0" w:rsidRDefault="00000000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Rarely isolated; co-occurrence with carditis raises severity [1]</w:t>
            </w:r>
          </w:p>
        </w:tc>
      </w:tr>
      <w:tr w:rsidR="00940BDD" w:rsidRPr="003473A0" w:rsidTr="003F68FB">
        <w:trPr>
          <w:divId w:val="2086949799"/>
        </w:trPr>
        <w:tc>
          <w:tcPr>
            <w:tcW w:w="0" w:type="auto"/>
            <w:hideMark/>
          </w:tcPr>
          <w:p w:rsidR="00940BDD" w:rsidRPr="003473A0" w:rsidRDefault="00000000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Style w:val="Strong"/>
                <w:rFonts w:ascii="Calibri" w:eastAsia="Times New Roman" w:hAnsi="Calibri" w:cs="Calibri"/>
                <w:color w:val="111111"/>
                <w:sz w:val="20"/>
                <w:szCs w:val="20"/>
              </w:rPr>
              <w:t>Fever</w:t>
            </w:r>
          </w:p>
        </w:tc>
        <w:tc>
          <w:tcPr>
            <w:tcW w:w="0" w:type="auto"/>
            <w:hideMark/>
          </w:tcPr>
          <w:p w:rsidR="00940BDD" w:rsidRPr="003473A0" w:rsidRDefault="00000000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Temperature documented? Antipyretics used?</w:t>
            </w:r>
          </w:p>
        </w:tc>
        <w:tc>
          <w:tcPr>
            <w:tcW w:w="0" w:type="auto"/>
            <w:hideMark/>
          </w:tcPr>
          <w:p w:rsidR="00940BDD" w:rsidRPr="003473A0" w:rsidRDefault="00000000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Antipyretic use may mask fever; threshold differs by population risk [1]</w:t>
            </w:r>
          </w:p>
        </w:tc>
      </w:tr>
      <w:tr w:rsidR="00940BDD" w:rsidRPr="003473A0" w:rsidTr="003F68FB">
        <w:trPr>
          <w:divId w:val="2086949799"/>
        </w:trPr>
        <w:tc>
          <w:tcPr>
            <w:tcW w:w="0" w:type="auto"/>
            <w:hideMark/>
          </w:tcPr>
          <w:p w:rsidR="00940BDD" w:rsidRPr="003473A0" w:rsidRDefault="00000000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Style w:val="Strong"/>
                <w:rFonts w:ascii="Calibri" w:eastAsia="Times New Roman" w:hAnsi="Calibri" w:cs="Calibri"/>
                <w:color w:val="111111"/>
                <w:sz w:val="20"/>
                <w:szCs w:val="20"/>
              </w:rPr>
              <w:t>Prior ARF/RHD</w:t>
            </w:r>
          </w:p>
        </w:tc>
        <w:tc>
          <w:tcPr>
            <w:tcW w:w="0" w:type="auto"/>
            <w:hideMark/>
          </w:tcPr>
          <w:p w:rsidR="00940BDD" w:rsidRPr="003473A0" w:rsidRDefault="00000000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History of ARF, murmur, prophylaxis compliance?</w:t>
            </w:r>
          </w:p>
        </w:tc>
        <w:tc>
          <w:tcPr>
            <w:tcW w:w="0" w:type="auto"/>
            <w:hideMark/>
          </w:tcPr>
          <w:p w:rsidR="00940BDD" w:rsidRPr="003473A0" w:rsidRDefault="00000000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Recurrent ARF increases risk of permanent valve damage [4]</w:t>
            </w:r>
          </w:p>
        </w:tc>
      </w:tr>
      <w:tr w:rsidR="00940BDD" w:rsidRPr="003473A0" w:rsidTr="003F68FB">
        <w:trPr>
          <w:divId w:val="2086949799"/>
        </w:trPr>
        <w:tc>
          <w:tcPr>
            <w:tcW w:w="0" w:type="auto"/>
            <w:hideMark/>
          </w:tcPr>
          <w:p w:rsidR="00940BDD" w:rsidRPr="003473A0" w:rsidRDefault="00000000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Style w:val="Strong"/>
                <w:rFonts w:ascii="Calibri" w:eastAsia="Times New Roman" w:hAnsi="Calibri" w:cs="Calibri"/>
                <w:color w:val="111111"/>
                <w:sz w:val="20"/>
                <w:szCs w:val="20"/>
              </w:rPr>
              <w:t>Risk population</w:t>
            </w:r>
          </w:p>
        </w:tc>
        <w:tc>
          <w:tcPr>
            <w:tcW w:w="0" w:type="auto"/>
            <w:hideMark/>
          </w:tcPr>
          <w:p w:rsidR="00940BDD" w:rsidRPr="003473A0" w:rsidRDefault="00000000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Geographic origin, socioeconomic conditions, age</w:t>
            </w:r>
          </w:p>
        </w:tc>
        <w:tc>
          <w:tcPr>
            <w:tcW w:w="0" w:type="auto"/>
            <w:hideMark/>
          </w:tcPr>
          <w:p w:rsidR="00940BDD" w:rsidRPr="003473A0" w:rsidRDefault="00000000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Determines diagnostic criteria thresholds (low vs. high-risk Jones criteria) [2]</w:t>
            </w:r>
          </w:p>
        </w:tc>
      </w:tr>
    </w:tbl>
    <w:p w:rsidR="00940BDD" w:rsidRPr="003473A0" w:rsidRDefault="00000000" w:rsidP="003F68FB">
      <w:pPr>
        <w:pStyle w:val="NormalWeb"/>
        <w:jc w:val="both"/>
        <w:divId w:val="2086949799"/>
        <w:rPr>
          <w:rFonts w:ascii="Calibri" w:hAnsi="Calibri" w:cs="Calibri"/>
          <w:color w:val="111111"/>
          <w:sz w:val="20"/>
          <w:szCs w:val="20"/>
        </w:rPr>
      </w:pPr>
      <w:r w:rsidRPr="003473A0">
        <w:rPr>
          <w:rFonts w:ascii="Calibri" w:hAnsi="Calibri" w:cs="Calibri"/>
          <w:color w:val="111111"/>
          <w:sz w:val="20"/>
          <w:szCs w:val="20"/>
        </w:rPr>
        <w:lastRenderedPageBreak/>
        <w:t>The 2015 AHA revised Jones Criteria require evidence of antecedent GAS infection plus ≥2 major OR 1 major + 2 minor criteria; diagnostic thresholds differ for low-risk vs. moderate-to-high-risk populations, making epidemiological history essential for correct criterion application. [1]</w:t>
      </w:r>
    </w:p>
    <w:p w:rsidR="00940BDD" w:rsidRPr="003473A0" w:rsidRDefault="00000000" w:rsidP="003F68FB">
      <w:pPr>
        <w:pStyle w:val="NormalWeb"/>
        <w:jc w:val="both"/>
        <w:divId w:val="2086949799"/>
        <w:rPr>
          <w:rFonts w:ascii="Calibri" w:hAnsi="Calibri" w:cs="Calibri"/>
          <w:color w:val="111111"/>
          <w:sz w:val="20"/>
          <w:szCs w:val="20"/>
        </w:rPr>
      </w:pPr>
      <w:r w:rsidRPr="003473A0">
        <w:rPr>
          <w:rStyle w:val="Strong"/>
          <w:rFonts w:ascii="Calibri" w:hAnsi="Calibri" w:cs="Calibri"/>
          <w:color w:val="111111"/>
          <w:sz w:val="20"/>
          <w:szCs w:val="20"/>
        </w:rPr>
        <w:t>References:</w:t>
      </w:r>
    </w:p>
    <w:p w:rsidR="00940BDD" w:rsidRPr="003473A0" w:rsidRDefault="00000000" w:rsidP="003F68FB">
      <w:pPr>
        <w:pStyle w:val="NormalWeb"/>
        <w:jc w:val="both"/>
        <w:divId w:val="2086949799"/>
        <w:rPr>
          <w:rFonts w:ascii="Calibri" w:hAnsi="Calibri" w:cs="Calibri"/>
          <w:color w:val="111111"/>
          <w:sz w:val="20"/>
          <w:szCs w:val="20"/>
        </w:rPr>
      </w:pPr>
      <w:r w:rsidRPr="003473A0">
        <w:rPr>
          <w:rFonts w:ascii="Calibri" w:hAnsi="Calibri" w:cs="Calibri"/>
          <w:color w:val="111111"/>
          <w:sz w:val="20"/>
          <w:szCs w:val="20"/>
        </w:rPr>
        <w:t xml:space="preserve">1. </w:t>
      </w:r>
      <w:hyperlink r:id="rId5" w:history="1">
        <w:r w:rsidRPr="003473A0">
          <w:rPr>
            <w:rStyle w:val="Hyperlink"/>
            <w:rFonts w:ascii="Calibri" w:hAnsi="Calibri" w:cs="Calibri"/>
            <w:sz w:val="20"/>
            <w:szCs w:val="20"/>
          </w:rPr>
          <w:t>Revision of the Jones Criteria for the Diagnosis of Acute Rheumatic Fever in the Era of Doppler Echocardiography</w:t>
        </w:r>
      </w:hyperlink>
      <w:r w:rsidRPr="003473A0">
        <w:rPr>
          <w:rFonts w:ascii="Calibri" w:hAnsi="Calibri" w:cs="Calibri"/>
          <w:color w:val="111111"/>
          <w:sz w:val="20"/>
          <w:szCs w:val="20"/>
        </w:rPr>
        <w:t xml:space="preserve"> Circulation. 2015. DOI: 10.1161/cir.0000000000000205</w:t>
      </w:r>
    </w:p>
    <w:p w:rsidR="00940BDD" w:rsidRPr="003473A0" w:rsidRDefault="00000000" w:rsidP="003F68FB">
      <w:pPr>
        <w:pStyle w:val="NormalWeb"/>
        <w:jc w:val="both"/>
        <w:divId w:val="2086949799"/>
        <w:rPr>
          <w:rFonts w:ascii="Calibri" w:hAnsi="Calibri" w:cs="Calibri"/>
          <w:color w:val="111111"/>
          <w:sz w:val="20"/>
          <w:szCs w:val="20"/>
        </w:rPr>
      </w:pPr>
      <w:r w:rsidRPr="003473A0">
        <w:rPr>
          <w:rFonts w:ascii="Calibri" w:hAnsi="Calibri" w:cs="Calibri"/>
          <w:color w:val="111111"/>
          <w:sz w:val="20"/>
          <w:szCs w:val="20"/>
        </w:rPr>
        <w:t xml:space="preserve">2. </w:t>
      </w:r>
      <w:hyperlink r:id="rId6" w:history="1">
        <w:r w:rsidRPr="003473A0">
          <w:rPr>
            <w:rStyle w:val="Hyperlink"/>
            <w:rFonts w:ascii="Calibri" w:hAnsi="Calibri" w:cs="Calibri"/>
            <w:sz w:val="20"/>
            <w:szCs w:val="20"/>
          </w:rPr>
          <w:t>Persisting burden and challenges of rheumatic heart disease</w:t>
        </w:r>
      </w:hyperlink>
      <w:r w:rsidRPr="003473A0">
        <w:rPr>
          <w:rFonts w:ascii="Calibri" w:hAnsi="Calibri" w:cs="Calibri"/>
          <w:color w:val="111111"/>
          <w:sz w:val="20"/>
          <w:szCs w:val="20"/>
        </w:rPr>
        <w:t xml:space="preserve"> European Heart Journal. 2021. DOI: 10.1093/eurheartj/ehab407</w:t>
      </w:r>
    </w:p>
    <w:p w:rsidR="00940BDD" w:rsidRPr="003473A0" w:rsidRDefault="00000000" w:rsidP="003F68FB">
      <w:pPr>
        <w:pStyle w:val="NormalWeb"/>
        <w:jc w:val="both"/>
        <w:divId w:val="2086949799"/>
        <w:rPr>
          <w:rFonts w:ascii="Calibri" w:hAnsi="Calibri" w:cs="Calibri"/>
          <w:color w:val="111111"/>
          <w:sz w:val="20"/>
          <w:szCs w:val="20"/>
        </w:rPr>
      </w:pPr>
      <w:r w:rsidRPr="003473A0">
        <w:rPr>
          <w:rFonts w:ascii="Calibri" w:hAnsi="Calibri" w:cs="Calibri"/>
          <w:color w:val="111111"/>
          <w:sz w:val="20"/>
          <w:szCs w:val="20"/>
        </w:rPr>
        <w:t xml:space="preserve">3. </w:t>
      </w:r>
      <w:hyperlink r:id="rId7" w:history="1">
        <w:r w:rsidRPr="003473A0">
          <w:rPr>
            <w:rStyle w:val="Hyperlink"/>
            <w:rFonts w:ascii="Calibri" w:hAnsi="Calibri" w:cs="Calibri"/>
            <w:sz w:val="20"/>
            <w:szCs w:val="20"/>
          </w:rPr>
          <w:t>Acute rheumatic fever</w:t>
        </w:r>
      </w:hyperlink>
      <w:r w:rsidRPr="003473A0">
        <w:rPr>
          <w:rFonts w:ascii="Calibri" w:hAnsi="Calibri" w:cs="Calibri"/>
          <w:color w:val="111111"/>
          <w:sz w:val="20"/>
          <w:szCs w:val="20"/>
        </w:rPr>
        <w:t xml:space="preserve"> The Lancet. 2025. DOI: 10.1016/s0140-6736(25)00185-0</w:t>
      </w:r>
    </w:p>
    <w:p w:rsidR="003F68FB" w:rsidRPr="003473A0" w:rsidRDefault="00000000" w:rsidP="003F68FB">
      <w:pPr>
        <w:pStyle w:val="NormalWeb"/>
        <w:jc w:val="both"/>
        <w:divId w:val="2086949799"/>
        <w:rPr>
          <w:rFonts w:ascii="Calibri" w:hAnsi="Calibri" w:cs="Calibri"/>
          <w:color w:val="111111"/>
          <w:sz w:val="20"/>
          <w:szCs w:val="20"/>
        </w:rPr>
      </w:pPr>
      <w:r w:rsidRPr="003473A0">
        <w:rPr>
          <w:rFonts w:ascii="Calibri" w:hAnsi="Calibri" w:cs="Calibri"/>
          <w:color w:val="111111"/>
          <w:sz w:val="20"/>
          <w:szCs w:val="20"/>
        </w:rPr>
        <w:t xml:space="preserve">4. </w:t>
      </w:r>
      <w:hyperlink r:id="rId8" w:history="1">
        <w:r w:rsidRPr="003473A0">
          <w:rPr>
            <w:rStyle w:val="Hyperlink"/>
            <w:rFonts w:ascii="Calibri" w:hAnsi="Calibri" w:cs="Calibri"/>
            <w:sz w:val="20"/>
            <w:szCs w:val="20"/>
          </w:rPr>
          <w:t>Evaluation, Diagnosis, and Treatment of Sydenham Chorea: Consensus Guidelines</w:t>
        </w:r>
      </w:hyperlink>
      <w:r w:rsidRPr="003473A0">
        <w:rPr>
          <w:rFonts w:ascii="Calibri" w:hAnsi="Calibri" w:cs="Calibri"/>
          <w:color w:val="111111"/>
          <w:sz w:val="20"/>
          <w:szCs w:val="20"/>
        </w:rPr>
        <w:t xml:space="preserve"> PEDIATRICS. 2025. DOI: 10.1542/peds.2025-072466</w:t>
      </w:r>
    </w:p>
    <w:p w:rsidR="003F68FB" w:rsidRPr="003473A0" w:rsidRDefault="003F68FB">
      <w:pPr>
        <w:rPr>
          <w:rFonts w:ascii="Calibri" w:hAnsi="Calibri" w:cs="Calibri"/>
          <w:color w:val="111111"/>
          <w:sz w:val="20"/>
          <w:szCs w:val="20"/>
        </w:rPr>
      </w:pPr>
      <w:r w:rsidRPr="003473A0">
        <w:rPr>
          <w:rFonts w:ascii="Calibri" w:hAnsi="Calibri" w:cs="Calibri"/>
          <w:color w:val="111111"/>
          <w:sz w:val="20"/>
          <w:szCs w:val="20"/>
        </w:rPr>
        <w:br w:type="page"/>
      </w:r>
    </w:p>
    <w:p w:rsidR="00F9651A" w:rsidRPr="00F9651A" w:rsidRDefault="00F9651A" w:rsidP="00F9651A">
      <w:pPr>
        <w:keepNext/>
        <w:keepLines/>
        <w:spacing w:before="240"/>
        <w:jc w:val="center"/>
        <w:outlineLvl w:val="0"/>
        <w:divId w:val="2086949799"/>
        <w:rPr>
          <w:rFonts w:ascii="Calibri" w:eastAsia="Times New Roman" w:hAnsi="Calibri" w:cs="Calibri"/>
          <w:color w:val="2F5496" w:themeColor="accent1" w:themeShade="BF"/>
          <w:kern w:val="2"/>
          <w:sz w:val="20"/>
          <w:szCs w:val="20"/>
          <w14:ligatures w14:val="standardContextual"/>
        </w:rPr>
      </w:pPr>
      <w:r w:rsidRPr="00F9651A">
        <w:rPr>
          <w:rFonts w:ascii="Calibri" w:eastAsia="Times New Roman" w:hAnsi="Calibri" w:cs="Calibri"/>
          <w:color w:val="2F5496" w:themeColor="accent1" w:themeShade="BF"/>
          <w:kern w:val="2"/>
          <w:sz w:val="20"/>
          <w:szCs w:val="20"/>
          <w:lang w:val="en-US"/>
          <w14:ligatures w14:val="standardContextual"/>
        </w:rPr>
        <w:lastRenderedPageBreak/>
        <w:t>Physical Examination</w:t>
      </w:r>
      <w:r w:rsidRPr="00F9651A">
        <w:rPr>
          <w:rFonts w:ascii="Calibri" w:eastAsia="Times New Roman" w:hAnsi="Calibri" w:cs="Calibri"/>
          <w:color w:val="2F5496" w:themeColor="accent1" w:themeShade="BF"/>
          <w:kern w:val="2"/>
          <w:sz w:val="20"/>
          <w:szCs w:val="20"/>
          <w14:ligatures w14:val="standardContextual"/>
        </w:rPr>
        <w:t xml:space="preserve"> </w:t>
      </w:r>
    </w:p>
    <w:p w:rsidR="003F68FB" w:rsidRPr="003473A0" w:rsidRDefault="003F68FB" w:rsidP="003F68FB">
      <w:pPr>
        <w:pStyle w:val="NormalWeb"/>
        <w:jc w:val="both"/>
        <w:divId w:val="2086949799"/>
        <w:rPr>
          <w:rFonts w:ascii="Calibri" w:hAnsi="Calibri" w:cs="Calibri"/>
          <w:color w:val="111111"/>
          <w:sz w:val="20"/>
          <w:szCs w:val="20"/>
        </w:rPr>
      </w:pPr>
      <w:r w:rsidRPr="003473A0">
        <w:rPr>
          <w:rFonts w:ascii="Calibri" w:hAnsi="Calibri" w:cs="Calibri"/>
          <w:color w:val="111111"/>
          <w:sz w:val="20"/>
          <w:szCs w:val="20"/>
        </w:rPr>
        <w:t xml:space="preserve">Perform a focused </w:t>
      </w:r>
      <w:r w:rsidRPr="003473A0">
        <w:rPr>
          <w:rStyle w:val="Strong"/>
          <w:rFonts w:ascii="Calibri" w:hAnsi="Calibri" w:cs="Calibri"/>
          <w:color w:val="111111"/>
          <w:sz w:val="20"/>
          <w:szCs w:val="20"/>
        </w:rPr>
        <w:t>head</w:t>
      </w:r>
      <w:r w:rsidRPr="003473A0">
        <w:rPr>
          <w:rStyle w:val="Strong"/>
          <w:rFonts w:ascii="Calibri" w:hAnsi="Calibri" w:cs="Calibri"/>
          <w:color w:val="111111"/>
          <w:sz w:val="20"/>
          <w:szCs w:val="20"/>
        </w:rPr>
        <w:noBreakHyphen/>
        <w:t>to</w:t>
      </w:r>
      <w:r w:rsidRPr="003473A0">
        <w:rPr>
          <w:rStyle w:val="Strong"/>
          <w:rFonts w:ascii="Calibri" w:hAnsi="Calibri" w:cs="Calibri"/>
          <w:color w:val="111111"/>
          <w:sz w:val="20"/>
          <w:szCs w:val="20"/>
        </w:rPr>
        <w:noBreakHyphen/>
        <w:t>toe exam prioritizing Jones major manifestations (carditis, arthritis, chorea, erythema marginatum, subcutaneous nodules)</w:t>
      </w:r>
      <w:r w:rsidRPr="003473A0">
        <w:rPr>
          <w:rFonts w:ascii="Calibri" w:hAnsi="Calibri" w:cs="Calibri"/>
          <w:color w:val="111111"/>
          <w:sz w:val="20"/>
          <w:szCs w:val="20"/>
        </w:rPr>
        <w:t xml:space="preserve"> and objective markers of severity, with </w:t>
      </w:r>
      <w:r w:rsidRPr="003473A0">
        <w:rPr>
          <w:rStyle w:val="Strong"/>
          <w:rFonts w:ascii="Calibri" w:hAnsi="Calibri" w:cs="Calibri"/>
          <w:color w:val="111111"/>
          <w:sz w:val="20"/>
          <w:szCs w:val="20"/>
        </w:rPr>
        <w:t>careful cardiac auscultation plus ECG/echo for all suspected ARF to detect subclinical carditis</w:t>
      </w:r>
      <w:r w:rsidRPr="003473A0">
        <w:rPr>
          <w:rFonts w:ascii="Calibri" w:hAnsi="Calibri" w:cs="Calibri"/>
          <w:color w:val="111111"/>
          <w:sz w:val="20"/>
          <w:szCs w:val="20"/>
        </w:rPr>
        <w:t xml:space="preserve"> [4].</w:t>
      </w:r>
    </w:p>
    <w:p w:rsidR="003F68FB" w:rsidRPr="003473A0" w:rsidRDefault="003F68FB" w:rsidP="003F68FB">
      <w:pPr>
        <w:pStyle w:val="NormalWeb"/>
        <w:jc w:val="both"/>
        <w:divId w:val="2086949799"/>
        <w:rPr>
          <w:rFonts w:ascii="Calibri" w:hAnsi="Calibri" w:cs="Calibri"/>
          <w:color w:val="111111"/>
          <w:sz w:val="20"/>
          <w:szCs w:val="20"/>
        </w:rPr>
      </w:pPr>
      <w:r w:rsidRPr="003473A0">
        <w:rPr>
          <w:rFonts w:ascii="Calibri" w:hAnsi="Calibri" w:cs="Calibri"/>
          <w:color w:val="111111"/>
          <w:sz w:val="20"/>
          <w:szCs w:val="20"/>
        </w:rPr>
        <w:t>All patients with suspected acute rheumatic fever should undergo a careful physical examination for Jones criteria features and have echocardiography with Doppler (even if no murmur) to assess for clinical or subclinical carditis. [4]</w:t>
      </w:r>
    </w:p>
    <w:p w:rsidR="003F68FB" w:rsidRPr="003473A0" w:rsidRDefault="003F68FB" w:rsidP="003F68FB">
      <w:pPr>
        <w:pStyle w:val="Heading2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Fonts w:ascii="Calibri" w:eastAsia="Times New Roman" w:hAnsi="Calibri" w:cs="Calibri"/>
          <w:color w:val="111111"/>
          <w:sz w:val="20"/>
          <w:szCs w:val="20"/>
        </w:rPr>
        <w:t>Physical examination (ranked by clinical impact)</w:t>
      </w:r>
    </w:p>
    <w:p w:rsidR="003F68FB" w:rsidRPr="003473A0" w:rsidRDefault="003F68FB" w:rsidP="003F68FB">
      <w:pPr>
        <w:pStyle w:val="Heading3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Fonts w:ascii="Calibri" w:eastAsia="Times New Roman" w:hAnsi="Calibri" w:cs="Calibri"/>
          <w:color w:val="111111"/>
          <w:sz w:val="20"/>
          <w:szCs w:val="20"/>
        </w:rPr>
        <w:t>1) Cardiovascular (most important—drives prognosis and management)</w:t>
      </w:r>
    </w:p>
    <w:p w:rsidR="003F68FB" w:rsidRPr="003473A0" w:rsidRDefault="003F68FB" w:rsidP="003F68FB">
      <w:pPr>
        <w:numPr>
          <w:ilvl w:val="0"/>
          <w:numId w:val="10"/>
        </w:numPr>
        <w:spacing w:before="100" w:beforeAutospacing="1" w:after="100" w:afterAutospacing="1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t>Vitals/perfusion: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 xml:space="preserve"> fever, tachycardia (including “out of proportion” to fever), BP, capillary refill; assess for </w:t>
      </w: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t>heart failure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 xml:space="preserve"> (work of breathing, cool extremities). (Clinical emphasis in ARF reviews) [3]</w:t>
      </w:r>
    </w:p>
    <w:p w:rsidR="003F68FB" w:rsidRPr="003473A0" w:rsidRDefault="003F68FB" w:rsidP="003F68FB">
      <w:pPr>
        <w:numPr>
          <w:ilvl w:val="0"/>
          <w:numId w:val="10"/>
        </w:numPr>
        <w:spacing w:before="100" w:beforeAutospacing="1" w:after="100" w:afterAutospacing="1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t>Precordial exam/auscultation (systematic):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 xml:space="preserve"> </w:t>
      </w:r>
    </w:p>
    <w:p w:rsidR="003F68FB" w:rsidRPr="003473A0" w:rsidRDefault="003F68FB" w:rsidP="003F68FB">
      <w:pPr>
        <w:numPr>
          <w:ilvl w:val="1"/>
          <w:numId w:val="10"/>
        </w:numPr>
        <w:spacing w:before="100" w:beforeAutospacing="1" w:after="100" w:afterAutospacing="1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Fonts w:ascii="Calibri" w:eastAsia="Times New Roman" w:hAnsi="Calibri" w:cs="Calibri"/>
          <w:color w:val="111111"/>
          <w:sz w:val="20"/>
          <w:szCs w:val="20"/>
        </w:rPr>
        <w:t xml:space="preserve">New </w:t>
      </w: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t>mitral regurgitation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 xml:space="preserve"> murmur (apex, radiates to axilla) and/or </w:t>
      </w: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t>aortic regurgitation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 xml:space="preserve"> murmur (left sternal border) consistent with rheumatic valvulitis [4].</w:t>
      </w:r>
    </w:p>
    <w:p w:rsidR="003F68FB" w:rsidRPr="003473A0" w:rsidRDefault="003F68FB" w:rsidP="003F68FB">
      <w:pPr>
        <w:numPr>
          <w:ilvl w:val="1"/>
          <w:numId w:val="10"/>
        </w:numPr>
        <w:spacing w:before="100" w:beforeAutospacing="1" w:after="100" w:afterAutospacing="1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t>Pericarditis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>: pericardial rub; positional chest pain correlation; look for signs of effusion clinically (muffled heart sounds, JVP if large). ARF pericarditis/effusion assessment is emphasized in clinical ARF evaluations [1].</w:t>
      </w:r>
    </w:p>
    <w:p w:rsidR="003F68FB" w:rsidRPr="003473A0" w:rsidRDefault="003F68FB" w:rsidP="003F68FB">
      <w:pPr>
        <w:numPr>
          <w:ilvl w:val="0"/>
          <w:numId w:val="10"/>
        </w:numPr>
        <w:spacing w:before="100" w:beforeAutospacing="1" w:after="100" w:afterAutospacing="1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t>Signs of volume overload/CHF: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 xml:space="preserve"> raised JVP (if assessable), hepatomegaly, basal crackles, peripheral edema; </w:t>
      </w: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t>cardiomegaly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 xml:space="preserve"> suggested clinically when regurgitation is moderate–severe [3].</w:t>
      </w:r>
    </w:p>
    <w:p w:rsidR="003F68FB" w:rsidRPr="003473A0" w:rsidRDefault="003F68FB" w:rsidP="003F68FB">
      <w:pPr>
        <w:numPr>
          <w:ilvl w:val="0"/>
          <w:numId w:val="10"/>
        </w:numPr>
        <w:spacing w:before="100" w:beforeAutospacing="1" w:after="100" w:afterAutospacing="1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t>Mandatory adjunct “exam extensions”: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 xml:space="preserve"> </w:t>
      </w: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t>12</w:t>
      </w: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noBreakHyphen/>
        <w:t>lead ECG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 xml:space="preserve"> (PR interval) and </w:t>
      </w: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t>echocardiography with Doppler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 xml:space="preserve"> to detect </w:t>
      </w: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t>subclinical carditis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 xml:space="preserve"> and document valve lesions [4]. </w:t>
      </w:r>
    </w:p>
    <w:p w:rsidR="003F68FB" w:rsidRPr="003473A0" w:rsidRDefault="003F68FB" w:rsidP="003F68FB">
      <w:pPr>
        <w:numPr>
          <w:ilvl w:val="1"/>
          <w:numId w:val="10"/>
        </w:numPr>
        <w:spacing w:before="100" w:beforeAutospacing="1" w:after="100" w:afterAutospacing="1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Fonts w:ascii="Calibri" w:eastAsia="Times New Roman" w:hAnsi="Calibri" w:cs="Calibri"/>
          <w:color w:val="111111"/>
          <w:sz w:val="20"/>
          <w:szCs w:val="20"/>
        </w:rPr>
        <w:t xml:space="preserve">In Sydenham chorea specifically, consensus also stresses </w:t>
      </w: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t>echo/ECG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 xml:space="preserve"> because cardiac involvement (including subclinical) is common [2].</w:t>
      </w:r>
    </w:p>
    <w:p w:rsidR="003F68FB" w:rsidRPr="003473A0" w:rsidRDefault="003F68FB" w:rsidP="003F68FB">
      <w:pPr>
        <w:pStyle w:val="Heading3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Fonts w:ascii="Calibri" w:eastAsia="Times New Roman" w:hAnsi="Calibri" w:cs="Calibri"/>
          <w:color w:val="111111"/>
          <w:sz w:val="20"/>
          <w:szCs w:val="20"/>
        </w:rPr>
        <w:t>2) Musculoskeletal (common presentation; exclude mimics on exam)</w:t>
      </w:r>
    </w:p>
    <w:p w:rsidR="003F68FB" w:rsidRPr="003473A0" w:rsidRDefault="003F68FB" w:rsidP="003F68FB">
      <w:pPr>
        <w:numPr>
          <w:ilvl w:val="0"/>
          <w:numId w:val="11"/>
        </w:numPr>
        <w:spacing w:before="100" w:beforeAutospacing="1" w:after="100" w:afterAutospacing="1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t>Joint inspection/palpation/ROM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 xml:space="preserve"> of all large joints: swelling/effusion, warmth, erythema, tenderness, restricted ROM; identify </w:t>
      </w: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t>migratory pattern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 xml:space="preserve"> by examining multiple joints (knees/ankles/elbows/wrists typical) [4].</w:t>
      </w:r>
    </w:p>
    <w:p w:rsidR="003F68FB" w:rsidRPr="003473A0" w:rsidRDefault="003F68FB" w:rsidP="003F68FB">
      <w:pPr>
        <w:numPr>
          <w:ilvl w:val="0"/>
          <w:numId w:val="11"/>
        </w:numPr>
        <w:spacing w:before="100" w:beforeAutospacing="1" w:after="100" w:afterAutospacing="1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t>Function/weight</w:t>
      </w: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noBreakHyphen/>
        <w:t>bearing: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 xml:space="preserve"> gait/limp, refusal to bear weight; helps severity and differential (e.g., septic arthritis) [3].</w:t>
      </w:r>
    </w:p>
    <w:p w:rsidR="003F68FB" w:rsidRPr="003473A0" w:rsidRDefault="003F68FB" w:rsidP="003F68FB">
      <w:pPr>
        <w:numPr>
          <w:ilvl w:val="0"/>
          <w:numId w:val="11"/>
        </w:numPr>
        <w:spacing w:before="100" w:beforeAutospacing="1" w:after="100" w:afterAutospacing="1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t>Red flags for alternatives (exam-based):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 xml:space="preserve"> single very hot joint, extreme pain with passive motion, systemic toxicity → prioritize ruling out </w:t>
      </w: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t>septic arthritis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 xml:space="preserve"> before attributing to ARF [3].</w:t>
      </w:r>
    </w:p>
    <w:p w:rsidR="003F68FB" w:rsidRPr="003473A0" w:rsidRDefault="003F68FB" w:rsidP="003F68FB">
      <w:pPr>
        <w:pStyle w:val="Heading3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Fonts w:ascii="Calibri" w:eastAsia="Times New Roman" w:hAnsi="Calibri" w:cs="Calibri"/>
          <w:color w:val="111111"/>
          <w:sz w:val="20"/>
          <w:szCs w:val="20"/>
        </w:rPr>
        <w:t>3) Neurologic (for Sydenham chorea—can be subtle)</w:t>
      </w:r>
    </w:p>
    <w:p w:rsidR="003F68FB" w:rsidRPr="003473A0" w:rsidRDefault="003F68FB" w:rsidP="003F68FB">
      <w:pPr>
        <w:numPr>
          <w:ilvl w:val="0"/>
          <w:numId w:val="12"/>
        </w:numPr>
        <w:spacing w:before="100" w:beforeAutospacing="1" w:after="100" w:afterAutospacing="1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t>Full neurologic exam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 xml:space="preserve"> with chorea-specific elicitation: </w:t>
      </w:r>
    </w:p>
    <w:p w:rsidR="003F68FB" w:rsidRPr="003473A0" w:rsidRDefault="003F68FB" w:rsidP="003F68FB">
      <w:pPr>
        <w:numPr>
          <w:ilvl w:val="1"/>
          <w:numId w:val="12"/>
        </w:numPr>
        <w:spacing w:before="100" w:beforeAutospacing="1" w:after="100" w:afterAutospacing="1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Fonts w:ascii="Calibri" w:eastAsia="Times New Roman" w:hAnsi="Calibri" w:cs="Calibri"/>
          <w:color w:val="111111"/>
          <w:sz w:val="20"/>
          <w:szCs w:val="20"/>
        </w:rPr>
        <w:t xml:space="preserve">Observe at rest and with tasks (writing, tongue protrusion, gait); look for </w:t>
      </w: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t>“darting tongue,”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 xml:space="preserve"> facial/limb/trunk choreiform movements [2].</w:t>
      </w:r>
    </w:p>
    <w:p w:rsidR="003F68FB" w:rsidRPr="003473A0" w:rsidRDefault="003F68FB" w:rsidP="003F68FB">
      <w:pPr>
        <w:numPr>
          <w:ilvl w:val="1"/>
          <w:numId w:val="12"/>
        </w:numPr>
        <w:spacing w:before="100" w:beforeAutospacing="1" w:after="100" w:afterAutospacing="1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t>Motor impersistence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 xml:space="preserve">: </w:t>
      </w: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t>“milkmaid’s grip”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 xml:space="preserve">; pronator sign; assess tone for </w:t>
      </w: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t>hypotonia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 xml:space="preserve"> (including severe chorea paralytica) [2].</w:t>
      </w:r>
    </w:p>
    <w:p w:rsidR="003F68FB" w:rsidRPr="003473A0" w:rsidRDefault="003F68FB" w:rsidP="003F68FB">
      <w:pPr>
        <w:numPr>
          <w:ilvl w:val="1"/>
          <w:numId w:val="12"/>
        </w:numPr>
        <w:spacing w:before="100" w:beforeAutospacing="1" w:after="100" w:afterAutospacing="1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Fonts w:ascii="Calibri" w:eastAsia="Times New Roman" w:hAnsi="Calibri" w:cs="Calibri"/>
          <w:color w:val="111111"/>
          <w:sz w:val="20"/>
          <w:szCs w:val="20"/>
        </w:rPr>
        <w:t>Screen for other movement disorders (tics) and focal deficits suggesting alternative diagnoses [2].</w:t>
      </w:r>
    </w:p>
    <w:p w:rsidR="003F68FB" w:rsidRPr="003473A0" w:rsidRDefault="003F68FB" w:rsidP="003F68FB">
      <w:pPr>
        <w:numPr>
          <w:ilvl w:val="0"/>
          <w:numId w:val="12"/>
        </w:numPr>
        <w:spacing w:before="100" w:beforeAutospacing="1" w:after="100" w:afterAutospacing="1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Fonts w:ascii="Calibri" w:eastAsia="Times New Roman" w:hAnsi="Calibri" w:cs="Calibri"/>
          <w:color w:val="111111"/>
          <w:sz w:val="20"/>
          <w:szCs w:val="20"/>
        </w:rPr>
        <w:t>Practical documentation: video recording can support baseline/severity tracking when appropriate/consented [2].</w:t>
      </w:r>
    </w:p>
    <w:p w:rsidR="003F68FB" w:rsidRPr="003473A0" w:rsidRDefault="003F68FB" w:rsidP="003F68FB">
      <w:pPr>
        <w:pStyle w:val="Heading3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Fonts w:ascii="Calibri" w:eastAsia="Times New Roman" w:hAnsi="Calibri" w:cs="Calibri"/>
          <w:color w:val="111111"/>
          <w:sz w:val="20"/>
          <w:szCs w:val="20"/>
        </w:rPr>
        <w:t>4) Skin (often missed; exam must actively search)</w:t>
      </w:r>
    </w:p>
    <w:p w:rsidR="003F68FB" w:rsidRPr="003473A0" w:rsidRDefault="003F68FB" w:rsidP="003F68FB">
      <w:pPr>
        <w:numPr>
          <w:ilvl w:val="0"/>
          <w:numId w:val="13"/>
        </w:numPr>
        <w:spacing w:before="100" w:beforeAutospacing="1" w:after="100" w:afterAutospacing="1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t>Erythema marginatum: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 xml:space="preserve"> inspect trunk/proximal limbs; evanescent, annular/serpiginous, blanches; may be heat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noBreakHyphen/>
        <w:t>induced and harder to detect in darker skin—examine in good light and re-check after warming [4].</w:t>
      </w:r>
    </w:p>
    <w:p w:rsidR="003F68FB" w:rsidRPr="003473A0" w:rsidRDefault="003F68FB" w:rsidP="003F68FB">
      <w:pPr>
        <w:numPr>
          <w:ilvl w:val="0"/>
          <w:numId w:val="13"/>
        </w:numPr>
        <w:spacing w:before="100" w:beforeAutospacing="1" w:after="100" w:afterAutospacing="1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lastRenderedPageBreak/>
        <w:t>Subcutaneous nodules: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 xml:space="preserve"> palpate extensor surfaces (elbows, knees, wrists), occiput, and along spinous processes; firm, painless; strongly associated with carditis [4].</w:t>
      </w:r>
    </w:p>
    <w:p w:rsidR="003F68FB" w:rsidRPr="003473A0" w:rsidRDefault="003F68FB" w:rsidP="003F68FB">
      <w:pPr>
        <w:numPr>
          <w:ilvl w:val="0"/>
          <w:numId w:val="13"/>
        </w:numPr>
        <w:spacing w:before="100" w:beforeAutospacing="1" w:after="100" w:afterAutospacing="1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Fonts w:ascii="Calibri" w:eastAsia="Times New Roman" w:hAnsi="Calibri" w:cs="Calibri"/>
          <w:color w:val="111111"/>
          <w:sz w:val="20"/>
          <w:szCs w:val="20"/>
        </w:rPr>
        <w:t>If lesions present, document carefully (photographs used in ARF clinic workflows) [1].</w:t>
      </w:r>
    </w:p>
    <w:p w:rsidR="003F68FB" w:rsidRPr="003473A0" w:rsidRDefault="003F68FB" w:rsidP="003F68FB">
      <w:pPr>
        <w:pStyle w:val="Heading3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Fonts w:ascii="Calibri" w:eastAsia="Times New Roman" w:hAnsi="Calibri" w:cs="Calibri"/>
          <w:color w:val="111111"/>
          <w:sz w:val="20"/>
          <w:szCs w:val="20"/>
        </w:rPr>
        <w:t>5) ENT/respiratory/abdomen (supportive + differential diagnosis coverage)</w:t>
      </w:r>
    </w:p>
    <w:p w:rsidR="003F68FB" w:rsidRPr="003473A0" w:rsidRDefault="003F68FB" w:rsidP="003F68FB">
      <w:pPr>
        <w:numPr>
          <w:ilvl w:val="0"/>
          <w:numId w:val="14"/>
        </w:numPr>
        <w:spacing w:before="100" w:beforeAutospacing="1" w:after="100" w:afterAutospacing="1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t>ENT: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 xml:space="preserve"> pharynx/tonsils and skin for possible antecedent GAS focus; not diagnostic but supports overall assessment framework [5].</w:t>
      </w:r>
    </w:p>
    <w:p w:rsidR="003F68FB" w:rsidRPr="003473A0" w:rsidRDefault="003F68FB" w:rsidP="003F68FB">
      <w:pPr>
        <w:numPr>
          <w:ilvl w:val="0"/>
          <w:numId w:val="14"/>
        </w:numPr>
        <w:spacing w:before="100" w:beforeAutospacing="1" w:after="100" w:afterAutospacing="1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t>Lungs: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 xml:space="preserve"> crackles/effusions as heart failure complication; assess work of breathing [5].</w:t>
      </w:r>
    </w:p>
    <w:p w:rsidR="003F68FB" w:rsidRPr="003473A0" w:rsidRDefault="003F68FB" w:rsidP="003F68FB">
      <w:pPr>
        <w:numPr>
          <w:ilvl w:val="0"/>
          <w:numId w:val="14"/>
        </w:numPr>
        <w:spacing w:before="100" w:beforeAutospacing="1" w:after="100" w:afterAutospacing="1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t>Abdomen: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 xml:space="preserve"> hepatomegaly (congestion), tenderness suggesting alternative infection; general “complete exam” approach supported in fever frameworks where ARF is in the differential [5].</w:t>
      </w:r>
    </w:p>
    <w:p w:rsidR="003F68FB" w:rsidRPr="003473A0" w:rsidRDefault="003F68FB" w:rsidP="003F68FB">
      <w:pPr>
        <w:pStyle w:val="Heading3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Fonts w:ascii="Calibri" w:eastAsia="Times New Roman" w:hAnsi="Calibri" w:cs="Calibri"/>
          <w:color w:val="111111"/>
          <w:sz w:val="20"/>
          <w:szCs w:val="20"/>
        </w:rPr>
        <w:t>Table: High-yield exam targets mapped to Jones features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68"/>
        <w:gridCol w:w="4014"/>
        <w:gridCol w:w="3834"/>
      </w:tblGrid>
      <w:tr w:rsidR="003F68FB" w:rsidRPr="003473A0" w:rsidTr="003F68FB">
        <w:trPr>
          <w:divId w:val="2086949799"/>
        </w:trPr>
        <w:tc>
          <w:tcPr>
            <w:tcW w:w="0" w:type="auto"/>
            <w:hideMark/>
          </w:tcPr>
          <w:p w:rsidR="003F68FB" w:rsidRPr="003473A0" w:rsidRDefault="003F68FB" w:rsidP="005F7E42">
            <w:pPr>
              <w:spacing w:before="150" w:after="15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Exam domain</w:t>
            </w:r>
          </w:p>
        </w:tc>
        <w:tc>
          <w:tcPr>
            <w:tcW w:w="0" w:type="auto"/>
            <w:hideMark/>
          </w:tcPr>
          <w:p w:rsidR="003F68FB" w:rsidRPr="003473A0" w:rsidRDefault="003F68FB" w:rsidP="005F7E42">
            <w:pPr>
              <w:spacing w:before="150" w:after="15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What to look for</w:t>
            </w:r>
          </w:p>
        </w:tc>
        <w:tc>
          <w:tcPr>
            <w:tcW w:w="0" w:type="auto"/>
            <w:hideMark/>
          </w:tcPr>
          <w:p w:rsidR="003F68FB" w:rsidRPr="003473A0" w:rsidRDefault="003F68FB" w:rsidP="005F7E42">
            <w:pPr>
              <w:spacing w:before="150" w:after="15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Clinical Evidence</w:t>
            </w:r>
          </w:p>
        </w:tc>
      </w:tr>
      <w:tr w:rsidR="003F68FB" w:rsidRPr="003473A0" w:rsidTr="003F68FB">
        <w:trPr>
          <w:divId w:val="2086949799"/>
        </w:trPr>
        <w:tc>
          <w:tcPr>
            <w:tcW w:w="0" w:type="auto"/>
            <w:hideMark/>
          </w:tcPr>
          <w:p w:rsidR="003F68FB" w:rsidRPr="003473A0" w:rsidRDefault="003F68FB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Cardiac</w:t>
            </w:r>
          </w:p>
        </w:tc>
        <w:tc>
          <w:tcPr>
            <w:tcW w:w="0" w:type="auto"/>
            <w:hideMark/>
          </w:tcPr>
          <w:p w:rsidR="003F68FB" w:rsidRPr="003473A0" w:rsidRDefault="003F68FB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New MR/AR murmurs, rub, CHF signs; perform ECG/echo for subclinical carditis</w:t>
            </w:r>
          </w:p>
        </w:tc>
        <w:tc>
          <w:tcPr>
            <w:tcW w:w="0" w:type="auto"/>
            <w:hideMark/>
          </w:tcPr>
          <w:p w:rsidR="003F68FB" w:rsidRPr="003473A0" w:rsidRDefault="003F68FB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AHA 2015 Jones update incorporates Doppler echo-defined subclinical carditis and recommends echo in suspected ARF [4]</w:t>
            </w:r>
          </w:p>
        </w:tc>
      </w:tr>
      <w:tr w:rsidR="003F68FB" w:rsidRPr="003473A0" w:rsidTr="003F68FB">
        <w:trPr>
          <w:divId w:val="2086949799"/>
        </w:trPr>
        <w:tc>
          <w:tcPr>
            <w:tcW w:w="0" w:type="auto"/>
            <w:hideMark/>
          </w:tcPr>
          <w:p w:rsidR="003F68FB" w:rsidRPr="003473A0" w:rsidRDefault="003F68FB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Joints</w:t>
            </w:r>
          </w:p>
        </w:tc>
        <w:tc>
          <w:tcPr>
            <w:tcW w:w="0" w:type="auto"/>
            <w:hideMark/>
          </w:tcPr>
          <w:p w:rsidR="003F68FB" w:rsidRPr="003473A0" w:rsidRDefault="003F68FB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Migratory large-joint synovitis; assess gait/weight bearing; exclude septic arthritis on exam</w:t>
            </w:r>
          </w:p>
        </w:tc>
        <w:tc>
          <w:tcPr>
            <w:tcW w:w="0" w:type="auto"/>
            <w:hideMark/>
          </w:tcPr>
          <w:p w:rsidR="003F68FB" w:rsidRPr="003473A0" w:rsidRDefault="003F68FB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ARF arthritis phenotype and diagnostic cautions summarized in major ARF review [3]</w:t>
            </w:r>
          </w:p>
        </w:tc>
      </w:tr>
      <w:tr w:rsidR="003F68FB" w:rsidRPr="003473A0" w:rsidTr="003F68FB">
        <w:trPr>
          <w:divId w:val="2086949799"/>
        </w:trPr>
        <w:tc>
          <w:tcPr>
            <w:tcW w:w="0" w:type="auto"/>
            <w:hideMark/>
          </w:tcPr>
          <w:p w:rsidR="003F68FB" w:rsidRPr="003473A0" w:rsidRDefault="003F68FB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Neurologic</w:t>
            </w:r>
          </w:p>
        </w:tc>
        <w:tc>
          <w:tcPr>
            <w:tcW w:w="0" w:type="auto"/>
            <w:hideMark/>
          </w:tcPr>
          <w:p w:rsidR="003F68FB" w:rsidRPr="003473A0" w:rsidRDefault="003F68FB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Chorea observation + motor impersistence (“milkmaid’s grip”), hypotonia, “darting tongue”; record if feasible</w:t>
            </w:r>
          </w:p>
        </w:tc>
        <w:tc>
          <w:tcPr>
            <w:tcW w:w="0" w:type="auto"/>
            <w:hideMark/>
          </w:tcPr>
          <w:p w:rsidR="003F68FB" w:rsidRPr="003473A0" w:rsidRDefault="003F68FB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Pediatric consensus guideline specifies chorea-focused neuro exam elements and emphasizes concurrent cardiac assessment [2]</w:t>
            </w:r>
          </w:p>
        </w:tc>
      </w:tr>
      <w:tr w:rsidR="003F68FB" w:rsidRPr="003473A0" w:rsidTr="003F68FB">
        <w:trPr>
          <w:divId w:val="2086949799"/>
        </w:trPr>
        <w:tc>
          <w:tcPr>
            <w:tcW w:w="0" w:type="auto"/>
            <w:hideMark/>
          </w:tcPr>
          <w:p w:rsidR="003F68FB" w:rsidRPr="003473A0" w:rsidRDefault="003F68FB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Skin</w:t>
            </w:r>
          </w:p>
        </w:tc>
        <w:tc>
          <w:tcPr>
            <w:tcW w:w="0" w:type="auto"/>
            <w:hideMark/>
          </w:tcPr>
          <w:p w:rsidR="003F68FB" w:rsidRPr="003473A0" w:rsidRDefault="003F68FB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Erythema marginatum (evanescent annular rash), subcutaneous nodules over extensor surfaces/occiput/spine</w:t>
            </w:r>
          </w:p>
        </w:tc>
        <w:tc>
          <w:tcPr>
            <w:tcW w:w="0" w:type="auto"/>
            <w:hideMark/>
          </w:tcPr>
          <w:p w:rsidR="003F68FB" w:rsidRPr="003473A0" w:rsidRDefault="003F68FB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Classic descriptions and association with carditis in Jones criteria revision [4]</w:t>
            </w:r>
          </w:p>
        </w:tc>
      </w:tr>
    </w:tbl>
    <w:p w:rsidR="003F68FB" w:rsidRPr="003473A0" w:rsidRDefault="003F68FB" w:rsidP="003F68FB">
      <w:pPr>
        <w:pStyle w:val="NormalWeb"/>
        <w:divId w:val="2086949799"/>
        <w:rPr>
          <w:rFonts w:ascii="Calibri" w:hAnsi="Calibri" w:cs="Calibri"/>
          <w:color w:val="111111"/>
          <w:sz w:val="20"/>
          <w:szCs w:val="20"/>
        </w:rPr>
      </w:pPr>
      <w:r w:rsidRPr="003473A0">
        <w:rPr>
          <w:rStyle w:val="Strong"/>
          <w:rFonts w:ascii="Calibri" w:hAnsi="Calibri" w:cs="Calibri"/>
          <w:color w:val="111111"/>
          <w:sz w:val="20"/>
          <w:szCs w:val="20"/>
        </w:rPr>
        <w:t>References:</w:t>
      </w:r>
    </w:p>
    <w:p w:rsidR="003F68FB" w:rsidRPr="003473A0" w:rsidRDefault="003F68FB" w:rsidP="003F68FB">
      <w:pPr>
        <w:pStyle w:val="NormalWeb"/>
        <w:divId w:val="2086949799"/>
        <w:rPr>
          <w:rFonts w:ascii="Calibri" w:hAnsi="Calibri" w:cs="Calibri"/>
          <w:color w:val="111111"/>
          <w:sz w:val="20"/>
          <w:szCs w:val="20"/>
        </w:rPr>
      </w:pPr>
      <w:r w:rsidRPr="003473A0">
        <w:rPr>
          <w:rFonts w:ascii="Calibri" w:hAnsi="Calibri" w:cs="Calibri"/>
          <w:color w:val="111111"/>
          <w:sz w:val="20"/>
          <w:szCs w:val="20"/>
        </w:rPr>
        <w:t xml:space="preserve">1. </w:t>
      </w:r>
      <w:hyperlink r:id="rId9" w:history="1">
        <w:r w:rsidRPr="003473A0">
          <w:rPr>
            <w:rStyle w:val="Hyperlink"/>
            <w:rFonts w:ascii="Calibri" w:hAnsi="Calibri" w:cs="Calibri"/>
            <w:sz w:val="20"/>
            <w:szCs w:val="20"/>
          </w:rPr>
          <w:t>Revision of the Jones Criteria for the Diagnosis of Acute Rheumatic Fever in the Era of Doppler Echocardiography</w:t>
        </w:r>
      </w:hyperlink>
      <w:r w:rsidRPr="003473A0">
        <w:rPr>
          <w:rFonts w:ascii="Calibri" w:hAnsi="Calibri" w:cs="Calibri"/>
          <w:color w:val="111111"/>
          <w:sz w:val="20"/>
          <w:szCs w:val="20"/>
        </w:rPr>
        <w:t xml:space="preserve"> Circulation. 2015. DOI: 10.1161/cir.0000000000000205</w:t>
      </w:r>
    </w:p>
    <w:p w:rsidR="003F68FB" w:rsidRPr="003473A0" w:rsidRDefault="003F68FB" w:rsidP="003F68FB">
      <w:pPr>
        <w:pStyle w:val="NormalWeb"/>
        <w:divId w:val="2086949799"/>
        <w:rPr>
          <w:rFonts w:ascii="Calibri" w:hAnsi="Calibri" w:cs="Calibri"/>
          <w:color w:val="111111"/>
          <w:sz w:val="20"/>
          <w:szCs w:val="20"/>
        </w:rPr>
      </w:pPr>
      <w:r w:rsidRPr="003473A0">
        <w:rPr>
          <w:rFonts w:ascii="Calibri" w:hAnsi="Calibri" w:cs="Calibri"/>
          <w:color w:val="111111"/>
          <w:sz w:val="20"/>
          <w:szCs w:val="20"/>
        </w:rPr>
        <w:t xml:space="preserve">2. </w:t>
      </w:r>
      <w:hyperlink r:id="rId10" w:history="1">
        <w:r w:rsidRPr="003473A0">
          <w:rPr>
            <w:rStyle w:val="Hyperlink"/>
            <w:rFonts w:ascii="Calibri" w:hAnsi="Calibri" w:cs="Calibri"/>
            <w:sz w:val="20"/>
            <w:szCs w:val="20"/>
          </w:rPr>
          <w:t>Acute rheumatic fever and rheumatic heart disease</w:t>
        </w:r>
      </w:hyperlink>
      <w:r w:rsidRPr="003473A0">
        <w:rPr>
          <w:rFonts w:ascii="Calibri" w:hAnsi="Calibri" w:cs="Calibri"/>
          <w:color w:val="111111"/>
          <w:sz w:val="20"/>
          <w:szCs w:val="20"/>
        </w:rPr>
        <w:t xml:space="preserve"> Nature Reviews Disease Primers. 2016. DOI: 10.1038/nrdp.2015.84</w:t>
      </w:r>
    </w:p>
    <w:p w:rsidR="003F68FB" w:rsidRPr="003473A0" w:rsidRDefault="003F68FB" w:rsidP="003F68FB">
      <w:pPr>
        <w:pStyle w:val="NormalWeb"/>
        <w:divId w:val="2086949799"/>
        <w:rPr>
          <w:rFonts w:ascii="Calibri" w:hAnsi="Calibri" w:cs="Calibri"/>
          <w:color w:val="111111"/>
          <w:sz w:val="20"/>
          <w:szCs w:val="20"/>
        </w:rPr>
      </w:pPr>
      <w:r w:rsidRPr="003473A0">
        <w:rPr>
          <w:rFonts w:ascii="Calibri" w:hAnsi="Calibri" w:cs="Calibri"/>
          <w:color w:val="111111"/>
          <w:sz w:val="20"/>
          <w:szCs w:val="20"/>
        </w:rPr>
        <w:t xml:space="preserve">3. </w:t>
      </w:r>
      <w:hyperlink r:id="rId11" w:history="1">
        <w:r w:rsidRPr="003473A0">
          <w:rPr>
            <w:rStyle w:val="Hyperlink"/>
            <w:rFonts w:ascii="Calibri" w:hAnsi="Calibri" w:cs="Calibri"/>
            <w:sz w:val="20"/>
            <w:szCs w:val="20"/>
          </w:rPr>
          <w:t>Incidence of acute rheumatic fever in northern and western Uganda: a prospective, population-based study</w:t>
        </w:r>
      </w:hyperlink>
      <w:r w:rsidRPr="003473A0">
        <w:rPr>
          <w:rFonts w:ascii="Calibri" w:hAnsi="Calibri" w:cs="Calibri"/>
          <w:color w:val="111111"/>
          <w:sz w:val="20"/>
          <w:szCs w:val="20"/>
        </w:rPr>
        <w:t xml:space="preserve"> The Lancet Global Health. 2021. DOI: 10.1016/s2214-109x(21)00288-6</w:t>
      </w:r>
    </w:p>
    <w:p w:rsidR="003F68FB" w:rsidRPr="003473A0" w:rsidRDefault="003F68FB" w:rsidP="003F68FB">
      <w:pPr>
        <w:pStyle w:val="NormalWeb"/>
        <w:divId w:val="2086949799"/>
        <w:rPr>
          <w:rFonts w:ascii="Calibri" w:hAnsi="Calibri" w:cs="Calibri"/>
          <w:color w:val="111111"/>
          <w:sz w:val="20"/>
          <w:szCs w:val="20"/>
        </w:rPr>
      </w:pPr>
      <w:r w:rsidRPr="003473A0">
        <w:rPr>
          <w:rFonts w:ascii="Calibri" w:hAnsi="Calibri" w:cs="Calibri"/>
          <w:color w:val="111111"/>
          <w:sz w:val="20"/>
          <w:szCs w:val="20"/>
        </w:rPr>
        <w:t xml:space="preserve">4. </w:t>
      </w:r>
      <w:hyperlink r:id="rId12" w:history="1">
        <w:r w:rsidRPr="003473A0">
          <w:rPr>
            <w:rStyle w:val="Hyperlink"/>
            <w:rFonts w:ascii="Calibri" w:hAnsi="Calibri" w:cs="Calibri"/>
            <w:sz w:val="20"/>
            <w:szCs w:val="20"/>
          </w:rPr>
          <w:t>Evaluation, Diagnosis, and Treatment of Sydenham Chorea: Consensus Guidelines</w:t>
        </w:r>
      </w:hyperlink>
      <w:r w:rsidRPr="003473A0">
        <w:rPr>
          <w:rFonts w:ascii="Calibri" w:hAnsi="Calibri" w:cs="Calibri"/>
          <w:color w:val="111111"/>
          <w:sz w:val="20"/>
          <w:szCs w:val="20"/>
        </w:rPr>
        <w:t xml:space="preserve"> PEDIATRICS. 2025. DOI: 10.1542/peds.2025-072466</w:t>
      </w:r>
    </w:p>
    <w:p w:rsidR="003F68FB" w:rsidRPr="003473A0" w:rsidRDefault="003F68FB" w:rsidP="003F68FB">
      <w:pPr>
        <w:pStyle w:val="NormalWeb"/>
        <w:divId w:val="2086949799"/>
        <w:rPr>
          <w:rFonts w:ascii="Calibri" w:hAnsi="Calibri" w:cs="Calibri"/>
          <w:color w:val="111111"/>
          <w:sz w:val="20"/>
          <w:szCs w:val="20"/>
        </w:rPr>
      </w:pPr>
      <w:r w:rsidRPr="003473A0">
        <w:rPr>
          <w:rFonts w:ascii="Calibri" w:hAnsi="Calibri" w:cs="Calibri"/>
          <w:color w:val="111111"/>
          <w:sz w:val="20"/>
          <w:szCs w:val="20"/>
        </w:rPr>
        <w:t xml:space="preserve">5. </w:t>
      </w:r>
      <w:hyperlink r:id="rId13" w:history="1">
        <w:r w:rsidRPr="003473A0">
          <w:rPr>
            <w:rStyle w:val="Hyperlink"/>
            <w:rFonts w:ascii="Calibri" w:hAnsi="Calibri" w:cs="Calibri"/>
            <w:sz w:val="20"/>
            <w:szCs w:val="20"/>
          </w:rPr>
          <w:t>Prolonged Fever in Children: An Inpatient Diagnostic Framework for Infections in Australia</w:t>
        </w:r>
      </w:hyperlink>
      <w:r w:rsidRPr="003473A0">
        <w:rPr>
          <w:rFonts w:ascii="Calibri" w:hAnsi="Calibri" w:cs="Calibri"/>
          <w:color w:val="111111"/>
          <w:sz w:val="20"/>
          <w:szCs w:val="20"/>
        </w:rPr>
        <w:t xml:space="preserve"> Journal of Paediatrics and Child Health. 2025. DOI: 10.1111/jpc.70027</w:t>
      </w:r>
    </w:p>
    <w:p w:rsidR="003F68FB" w:rsidRPr="003473A0" w:rsidRDefault="003F68FB">
      <w:pPr>
        <w:rPr>
          <w:rFonts w:ascii="Calibri" w:hAnsi="Calibri" w:cs="Calibri"/>
          <w:color w:val="111111"/>
          <w:sz w:val="20"/>
          <w:szCs w:val="20"/>
        </w:rPr>
      </w:pPr>
      <w:r w:rsidRPr="003473A0">
        <w:rPr>
          <w:rFonts w:ascii="Calibri" w:hAnsi="Calibri" w:cs="Calibri"/>
          <w:color w:val="111111"/>
          <w:sz w:val="20"/>
          <w:szCs w:val="20"/>
        </w:rPr>
        <w:br w:type="page"/>
      </w:r>
    </w:p>
    <w:p w:rsidR="00F9651A" w:rsidRPr="00F9651A" w:rsidRDefault="00F9651A" w:rsidP="00F9651A">
      <w:pPr>
        <w:keepNext/>
        <w:keepLines/>
        <w:spacing w:before="240"/>
        <w:jc w:val="center"/>
        <w:outlineLvl w:val="0"/>
        <w:divId w:val="2086949799"/>
        <w:rPr>
          <w:rFonts w:ascii="Calibri" w:eastAsia="Times New Roman" w:hAnsi="Calibri" w:cs="Calibri"/>
          <w:color w:val="000000"/>
          <w:kern w:val="2"/>
          <w:sz w:val="20"/>
          <w:szCs w:val="20"/>
          <w14:ligatures w14:val="standardContextual"/>
        </w:rPr>
      </w:pPr>
      <w:r w:rsidRPr="00F9651A">
        <w:rPr>
          <w:rFonts w:ascii="Calibri" w:eastAsia="Times New Roman" w:hAnsi="Calibri" w:cs="Calibri"/>
          <w:color w:val="2F5496" w:themeColor="accent1" w:themeShade="BF"/>
          <w:kern w:val="2"/>
          <w:sz w:val="20"/>
          <w:szCs w:val="20"/>
          <w:lang w:val="en-US"/>
          <w14:ligatures w14:val="standardContextual"/>
        </w:rPr>
        <w:lastRenderedPageBreak/>
        <w:t>Diagnostic</w:t>
      </w:r>
      <w:r w:rsidRPr="00F9651A">
        <w:rPr>
          <w:rFonts w:ascii="Calibri" w:eastAsia="Times New Roman" w:hAnsi="Calibri" w:cs="Calibri"/>
          <w:color w:val="2F5496" w:themeColor="accent1" w:themeShade="BF"/>
          <w:kern w:val="2"/>
          <w:sz w:val="20"/>
          <w:szCs w:val="20"/>
          <w14:ligatures w14:val="standardContextual"/>
        </w:rPr>
        <w:t xml:space="preserve"> </w:t>
      </w:r>
      <w:r w:rsidRPr="00F9651A">
        <w:rPr>
          <w:rFonts w:ascii="Calibri" w:eastAsia="Times New Roman" w:hAnsi="Calibri" w:cs="Calibri"/>
          <w:color w:val="2F5496" w:themeColor="accent1" w:themeShade="BF"/>
          <w:kern w:val="2"/>
          <w:sz w:val="20"/>
          <w:szCs w:val="20"/>
          <w:lang w:val="en-US"/>
          <w14:ligatures w14:val="standardContextual"/>
        </w:rPr>
        <w:t>Formulation</w:t>
      </w:r>
      <w:r w:rsidRPr="00F9651A">
        <w:rPr>
          <w:rFonts w:ascii="Calibri" w:eastAsia="Times New Roman" w:hAnsi="Calibri" w:cs="Calibri"/>
          <w:color w:val="2F5496" w:themeColor="accent1" w:themeShade="BF"/>
          <w:kern w:val="2"/>
          <w:sz w:val="20"/>
          <w:szCs w:val="20"/>
          <w14:ligatures w14:val="standardContextual"/>
        </w:rPr>
        <w:t xml:space="preserve"> </w:t>
      </w:r>
    </w:p>
    <w:p w:rsidR="003473A0" w:rsidRPr="003473A0" w:rsidRDefault="003473A0" w:rsidP="003473A0">
      <w:pPr>
        <w:pStyle w:val="NormalWeb"/>
        <w:jc w:val="both"/>
        <w:divId w:val="2086949799"/>
        <w:rPr>
          <w:rFonts w:ascii="Calibri" w:hAnsi="Calibri" w:cs="Calibri"/>
          <w:color w:val="111111"/>
          <w:sz w:val="20"/>
          <w:szCs w:val="20"/>
        </w:rPr>
      </w:pPr>
      <w:r w:rsidRPr="003473A0">
        <w:rPr>
          <w:rFonts w:ascii="Calibri" w:hAnsi="Calibri" w:cs="Calibri"/>
          <w:color w:val="111111"/>
          <w:sz w:val="20"/>
          <w:szCs w:val="20"/>
        </w:rPr>
        <w:t xml:space="preserve">Diagnostic formulation in ARF is a </w:t>
      </w:r>
      <w:r w:rsidRPr="003473A0">
        <w:rPr>
          <w:rStyle w:val="Strong"/>
          <w:rFonts w:ascii="Calibri" w:hAnsi="Calibri" w:cs="Calibri"/>
          <w:color w:val="111111"/>
          <w:sz w:val="20"/>
          <w:szCs w:val="20"/>
        </w:rPr>
        <w:t>clinical synthesis</w:t>
      </w:r>
      <w:r w:rsidRPr="003473A0">
        <w:rPr>
          <w:rFonts w:ascii="Calibri" w:hAnsi="Calibri" w:cs="Calibri"/>
          <w:color w:val="111111"/>
          <w:sz w:val="20"/>
          <w:szCs w:val="20"/>
        </w:rPr>
        <w:t xml:space="preserve"> integrating population risk stratification, Jones criteria application, laboratory confirmation of antecedent GAS infection, and echocardiographic assessment — no single test is pathognomonic; diagnosis is always a </w:t>
      </w:r>
      <w:r w:rsidRPr="003473A0">
        <w:rPr>
          <w:rStyle w:val="Strong"/>
          <w:rFonts w:ascii="Calibri" w:hAnsi="Calibri" w:cs="Calibri"/>
          <w:color w:val="111111"/>
          <w:sz w:val="20"/>
          <w:szCs w:val="20"/>
        </w:rPr>
        <w:t>composite judgment</w:t>
      </w:r>
      <w:r w:rsidRPr="003473A0">
        <w:rPr>
          <w:rFonts w:ascii="Calibri" w:hAnsi="Calibri" w:cs="Calibri"/>
          <w:color w:val="111111"/>
          <w:sz w:val="20"/>
          <w:szCs w:val="20"/>
        </w:rPr>
        <w:t xml:space="preserve"> [1].</w:t>
      </w:r>
    </w:p>
    <w:p w:rsidR="003473A0" w:rsidRPr="003473A0" w:rsidRDefault="003473A0" w:rsidP="003473A0">
      <w:pPr>
        <w:pStyle w:val="NormalWeb"/>
        <w:jc w:val="both"/>
        <w:divId w:val="2086949799"/>
        <w:rPr>
          <w:rFonts w:ascii="Calibri" w:hAnsi="Calibri" w:cs="Calibri"/>
          <w:color w:val="111111"/>
          <w:sz w:val="20"/>
          <w:szCs w:val="20"/>
        </w:rPr>
      </w:pPr>
      <w:r w:rsidRPr="003473A0">
        <w:rPr>
          <w:rFonts w:ascii="Calibri" w:hAnsi="Calibri" w:cs="Calibri"/>
          <w:color w:val="111111"/>
          <w:sz w:val="20"/>
          <w:szCs w:val="20"/>
        </w:rPr>
        <w:t xml:space="preserve">The 2015 AHA revised Jones Criteria require evidence of antecedent GAS infection </w:t>
      </w:r>
      <w:r w:rsidRPr="003473A0">
        <w:rPr>
          <w:rStyle w:val="Strong"/>
          <w:rFonts w:ascii="Calibri" w:hAnsi="Calibri" w:cs="Calibri"/>
          <w:color w:val="111111"/>
          <w:sz w:val="20"/>
          <w:szCs w:val="20"/>
        </w:rPr>
        <w:t>plus</w:t>
      </w:r>
      <w:r w:rsidRPr="003473A0">
        <w:rPr>
          <w:rFonts w:ascii="Calibri" w:hAnsi="Calibri" w:cs="Calibri"/>
          <w:color w:val="111111"/>
          <w:sz w:val="20"/>
          <w:szCs w:val="20"/>
        </w:rPr>
        <w:t xml:space="preserve"> ≥2 major OR 1 major + 2 minor criteria, with separate thresholds for low-risk vs. moderate-to-high-risk populations; subclinical carditis (Doppler echocardiography) counts as a major criterion in all populations. [1]</w:t>
      </w:r>
    </w:p>
    <w:p w:rsidR="003473A0" w:rsidRPr="003473A0" w:rsidRDefault="003473A0" w:rsidP="003473A0">
      <w:pPr>
        <w:pStyle w:val="Heading2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Fonts w:ascii="Calibri" w:eastAsia="Times New Roman" w:hAnsi="Calibri" w:cs="Calibri"/>
          <w:color w:val="111111"/>
          <w:sz w:val="20"/>
          <w:szCs w:val="20"/>
        </w:rPr>
        <w:t>Step 1: Establish Population Risk Category (Determines Diagnostic Thresholds)</w:t>
      </w:r>
    </w:p>
    <w:p w:rsidR="003473A0" w:rsidRPr="003473A0" w:rsidRDefault="003473A0" w:rsidP="003473A0">
      <w:pPr>
        <w:pStyle w:val="NormalWeb"/>
        <w:jc w:val="both"/>
        <w:divId w:val="2086949799"/>
        <w:rPr>
          <w:rFonts w:ascii="Calibri" w:hAnsi="Calibri" w:cs="Calibri"/>
          <w:color w:val="111111"/>
          <w:sz w:val="20"/>
          <w:szCs w:val="20"/>
        </w:rPr>
      </w:pPr>
      <w:r w:rsidRPr="003473A0">
        <w:rPr>
          <w:rFonts w:ascii="Calibri" w:hAnsi="Calibri" w:cs="Calibri"/>
          <w:color w:val="111111"/>
          <w:sz w:val="20"/>
          <w:szCs w:val="20"/>
        </w:rPr>
        <w:t xml:space="preserve">This is the </w:t>
      </w:r>
      <w:r w:rsidRPr="003473A0">
        <w:rPr>
          <w:rStyle w:val="Strong"/>
          <w:rFonts w:ascii="Calibri" w:hAnsi="Calibri" w:cs="Calibri"/>
          <w:color w:val="111111"/>
          <w:sz w:val="20"/>
          <w:szCs w:val="20"/>
        </w:rPr>
        <w:t>first decision point</w:t>
      </w:r>
      <w:r w:rsidRPr="003473A0">
        <w:rPr>
          <w:rFonts w:ascii="Calibri" w:hAnsi="Calibri" w:cs="Calibri"/>
          <w:color w:val="111111"/>
          <w:sz w:val="20"/>
          <w:szCs w:val="20"/>
        </w:rPr>
        <w:t xml:space="preserve"> before applying any criteria — it directly changes which manifestations qualify as major vs. minor [1]: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1433"/>
        <w:gridCol w:w="4545"/>
        <w:gridCol w:w="3038"/>
      </w:tblGrid>
      <w:tr w:rsidR="003473A0" w:rsidRPr="003473A0" w:rsidTr="003473A0">
        <w:trPr>
          <w:divId w:val="2086949799"/>
        </w:trPr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Risk Category</w:t>
            </w:r>
          </w:p>
        </w:tc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Definition</w:t>
            </w:r>
          </w:p>
        </w:tc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Diagnostic Threshold Differences</w:t>
            </w:r>
          </w:p>
        </w:tc>
      </w:tr>
      <w:tr w:rsidR="003473A0" w:rsidRPr="003473A0" w:rsidTr="003473A0">
        <w:trPr>
          <w:divId w:val="2086949799"/>
        </w:trPr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Style w:val="Strong"/>
                <w:rFonts w:ascii="Calibri" w:eastAsia="Times New Roman" w:hAnsi="Calibri" w:cs="Calibri"/>
                <w:color w:val="111111"/>
                <w:sz w:val="20"/>
                <w:szCs w:val="20"/>
              </w:rPr>
              <w:t>Low-risk</w:t>
            </w:r>
          </w:p>
        </w:tc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ARF incidence ≤2/100,000/year; RHD prevalence ≤1/1,000 school-age children; high-income countries</w:t>
            </w:r>
          </w:p>
        </w:tc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Migratory polyarthritis only as major; polyarthralgia = minor; fever ≥38.5°C</w:t>
            </w:r>
          </w:p>
        </w:tc>
      </w:tr>
      <w:tr w:rsidR="003473A0" w:rsidRPr="003473A0" w:rsidTr="003473A0">
        <w:trPr>
          <w:divId w:val="2086949799"/>
        </w:trPr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Style w:val="Strong"/>
                <w:rFonts w:ascii="Calibri" w:eastAsia="Times New Roman" w:hAnsi="Calibri" w:cs="Calibri"/>
                <w:color w:val="111111"/>
                <w:sz w:val="20"/>
                <w:szCs w:val="20"/>
              </w:rPr>
              <w:t>Moderate-to-high-risk</w:t>
            </w:r>
          </w:p>
        </w:tc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ARF incidence &gt;2/100,000/year; endemic areas (sub-Saharan Africa, Pacific Islands, South Asia, Indigenous Australians/NZ)</w:t>
            </w:r>
          </w:p>
        </w:tc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Monoarthritis or polyarthralgia = major criterion; fever ≥38°C qualifies</w:t>
            </w:r>
          </w:p>
        </w:tc>
      </w:tr>
    </w:tbl>
    <w:p w:rsidR="003473A0" w:rsidRPr="003473A0" w:rsidRDefault="003473A0" w:rsidP="003473A0">
      <w:pPr>
        <w:pStyle w:val="Heading2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</w:p>
    <w:p w:rsidR="003473A0" w:rsidRPr="003473A0" w:rsidRDefault="003473A0" w:rsidP="003473A0">
      <w:pPr>
        <w:pStyle w:val="Heading2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Fonts w:ascii="Calibri" w:eastAsia="Times New Roman" w:hAnsi="Calibri" w:cs="Calibri"/>
          <w:color w:val="111111"/>
          <w:sz w:val="20"/>
          <w:szCs w:val="20"/>
        </w:rPr>
        <w:t>Step 2: Confirm Antecedent GAS Infection (Required Supporting Evidence)</w:t>
      </w:r>
    </w:p>
    <w:p w:rsidR="003473A0" w:rsidRPr="003473A0" w:rsidRDefault="003473A0" w:rsidP="003473A0">
      <w:pPr>
        <w:pStyle w:val="NormalWeb"/>
        <w:jc w:val="both"/>
        <w:divId w:val="2086949799"/>
        <w:rPr>
          <w:rFonts w:ascii="Calibri" w:hAnsi="Calibri" w:cs="Calibri"/>
          <w:color w:val="111111"/>
          <w:sz w:val="20"/>
          <w:szCs w:val="20"/>
        </w:rPr>
      </w:pPr>
      <w:r w:rsidRPr="003473A0">
        <w:rPr>
          <w:rStyle w:val="Strong"/>
          <w:rFonts w:ascii="Calibri" w:hAnsi="Calibri" w:cs="Calibri"/>
          <w:color w:val="111111"/>
          <w:sz w:val="20"/>
          <w:szCs w:val="20"/>
        </w:rPr>
        <w:t>Absence of GAS evidence does not exclude ARF in Sydenham chorea</w:t>
      </w:r>
      <w:r w:rsidRPr="003473A0">
        <w:rPr>
          <w:rFonts w:ascii="Calibri" w:hAnsi="Calibri" w:cs="Calibri"/>
          <w:color w:val="111111"/>
          <w:sz w:val="20"/>
          <w:szCs w:val="20"/>
        </w:rPr>
        <w:t xml:space="preserve"> (GAS evidence present in only ~15% by throat culture at chorea presentation) [2]; however, in all other presentations, documented GAS evidence is required [1].</w:t>
      </w:r>
    </w:p>
    <w:p w:rsidR="003473A0" w:rsidRPr="003473A0" w:rsidRDefault="003473A0" w:rsidP="003473A0">
      <w:pPr>
        <w:pStyle w:val="Heading3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Fonts w:ascii="Calibri" w:eastAsia="Times New Roman" w:hAnsi="Calibri" w:cs="Calibri"/>
          <w:color w:val="111111"/>
          <w:sz w:val="20"/>
          <w:szCs w:val="20"/>
        </w:rPr>
        <w:t>GAS Evidence Tests (ranked by clinical use)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998"/>
        <w:gridCol w:w="1295"/>
        <w:gridCol w:w="3413"/>
        <w:gridCol w:w="2310"/>
      </w:tblGrid>
      <w:tr w:rsidR="003473A0" w:rsidRPr="003473A0" w:rsidTr="003473A0">
        <w:trPr>
          <w:divId w:val="2086949799"/>
        </w:trPr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Test</w:t>
            </w:r>
          </w:p>
        </w:tc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Timing</w:t>
            </w:r>
          </w:p>
        </w:tc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Interpretation</w:t>
            </w:r>
          </w:p>
        </w:tc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Clinical Evidence</w:t>
            </w:r>
          </w:p>
        </w:tc>
      </w:tr>
      <w:tr w:rsidR="003473A0" w:rsidRPr="003473A0" w:rsidTr="003473A0">
        <w:trPr>
          <w:divId w:val="2086949799"/>
        </w:trPr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Style w:val="Strong"/>
                <w:rFonts w:ascii="Calibri" w:eastAsia="Times New Roman" w:hAnsi="Calibri" w:cs="Calibri"/>
                <w:color w:val="111111"/>
                <w:sz w:val="20"/>
                <w:szCs w:val="20"/>
              </w:rPr>
              <w:t>Throat culture (GAS)</w:t>
            </w:r>
          </w:p>
        </w:tc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Acute</w:t>
            </w:r>
          </w:p>
        </w:tc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Gold standard for active pharyngitis; negative culture common if weeks have elapsed</w:t>
            </w:r>
          </w:p>
        </w:tc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AHA standard [1]; criterion standard per [2]</w:t>
            </w:r>
          </w:p>
        </w:tc>
      </w:tr>
      <w:tr w:rsidR="003473A0" w:rsidRPr="003473A0" w:rsidTr="003473A0">
        <w:trPr>
          <w:divId w:val="2086949799"/>
        </w:trPr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Style w:val="Strong"/>
                <w:rFonts w:ascii="Calibri" w:eastAsia="Times New Roman" w:hAnsi="Calibri" w:cs="Calibri"/>
                <w:color w:val="111111"/>
                <w:sz w:val="20"/>
                <w:szCs w:val="20"/>
              </w:rPr>
              <w:t>Rapid antigen detection test (RADT)</w:t>
            </w:r>
          </w:p>
        </w:tc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Acute</w:t>
            </w:r>
          </w:p>
        </w:tc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High specificity; lower sensitivity — negative RADT in high suspicion requires throat culture confirmation</w:t>
            </w:r>
          </w:p>
        </w:tc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[2]</w:t>
            </w:r>
          </w:p>
        </w:tc>
      </w:tr>
      <w:tr w:rsidR="003473A0" w:rsidRPr="003473A0" w:rsidTr="003473A0">
        <w:trPr>
          <w:divId w:val="2086949799"/>
        </w:trPr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Style w:val="Strong"/>
                <w:rFonts w:ascii="Calibri" w:eastAsia="Times New Roman" w:hAnsi="Calibri" w:cs="Calibri"/>
                <w:color w:val="111111"/>
                <w:sz w:val="20"/>
                <w:szCs w:val="20"/>
              </w:rPr>
              <w:t>Antistreptolysin O (ASO)</w:t>
            </w:r>
          </w:p>
        </w:tc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2–4 weeks post-infection</w:t>
            </w:r>
          </w:p>
        </w:tc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Peaks 3–5 weeks after pharyngitis; most sensitive for pharyngeal infection; less sensitive for skin infection</w:t>
            </w:r>
          </w:p>
        </w:tc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Routinely performed in ARF workup [5]</w:t>
            </w:r>
          </w:p>
        </w:tc>
      </w:tr>
      <w:tr w:rsidR="003473A0" w:rsidRPr="003473A0" w:rsidTr="003473A0">
        <w:trPr>
          <w:divId w:val="2086949799"/>
        </w:trPr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Style w:val="Strong"/>
                <w:rFonts w:ascii="Calibri" w:eastAsia="Times New Roman" w:hAnsi="Calibri" w:cs="Calibri"/>
                <w:color w:val="111111"/>
                <w:sz w:val="20"/>
                <w:szCs w:val="20"/>
              </w:rPr>
              <w:t>Anti-DNase B</w:t>
            </w:r>
          </w:p>
        </w:tc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4–8 weeks post-infection</w:t>
            </w:r>
          </w:p>
        </w:tc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Peaks later; more sensitive for GAS skin (impetigo) infection and for chorea (due to longer latency)</w:t>
            </w:r>
          </w:p>
        </w:tc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Preferred in Sydenham chorea and impetigo-triggered ARF [3]; [4]</w:t>
            </w:r>
          </w:p>
        </w:tc>
      </w:tr>
      <w:tr w:rsidR="003473A0" w:rsidRPr="003473A0" w:rsidTr="003473A0">
        <w:trPr>
          <w:divId w:val="2086949799"/>
        </w:trPr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Style w:val="Strong"/>
                <w:rFonts w:ascii="Calibri" w:eastAsia="Times New Roman" w:hAnsi="Calibri" w:cs="Calibri"/>
                <w:color w:val="111111"/>
                <w:sz w:val="20"/>
                <w:szCs w:val="20"/>
              </w:rPr>
              <w:lastRenderedPageBreak/>
              <w:t>Combined ASO + anti-DNase B</w:t>
            </w:r>
          </w:p>
        </w:tc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Both ordered together</w:t>
            </w:r>
          </w:p>
        </w:tc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 xml:space="preserve">Increases sensitivity to ~90% for recent GAS infection — </w:t>
            </w:r>
            <w:r w:rsidRPr="003473A0">
              <w:rPr>
                <w:rStyle w:val="Strong"/>
                <w:rFonts w:ascii="Calibri" w:eastAsia="Times New Roman" w:hAnsi="Calibri" w:cs="Calibri"/>
                <w:color w:val="111111"/>
                <w:sz w:val="20"/>
                <w:szCs w:val="20"/>
              </w:rPr>
              <w:t>both should be ordered in all suspected ARF</w:t>
            </w:r>
          </w:p>
        </w:tc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[5]; [7]</w:t>
            </w:r>
          </w:p>
        </w:tc>
      </w:tr>
    </w:tbl>
    <w:p w:rsidR="003473A0" w:rsidRPr="003473A0" w:rsidRDefault="003473A0" w:rsidP="003473A0">
      <w:pPr>
        <w:pStyle w:val="NormalWeb"/>
        <w:jc w:val="both"/>
        <w:divId w:val="2086949799"/>
        <w:rPr>
          <w:rFonts w:ascii="Calibri" w:hAnsi="Calibri" w:cs="Calibri"/>
          <w:color w:val="111111"/>
          <w:sz w:val="20"/>
          <w:szCs w:val="20"/>
        </w:rPr>
      </w:pPr>
      <w:r w:rsidRPr="003473A0">
        <w:rPr>
          <w:rFonts w:ascii="Apple Color Emoji" w:hAnsi="Apple Color Emoji" w:cs="Apple Color Emoji"/>
          <w:color w:val="111111"/>
          <w:sz w:val="20"/>
          <w:szCs w:val="20"/>
        </w:rPr>
        <w:t>⚠️</w:t>
      </w:r>
      <w:r w:rsidRPr="003473A0">
        <w:rPr>
          <w:rFonts w:ascii="Calibri" w:hAnsi="Calibri" w:cs="Calibri"/>
          <w:color w:val="111111"/>
          <w:sz w:val="20"/>
          <w:szCs w:val="20"/>
        </w:rPr>
        <w:t xml:space="preserve"> </w:t>
      </w:r>
      <w:r w:rsidRPr="003473A0">
        <w:rPr>
          <w:rStyle w:val="Strong"/>
          <w:rFonts w:ascii="Calibri" w:hAnsi="Calibri" w:cs="Calibri"/>
          <w:color w:val="111111"/>
          <w:sz w:val="20"/>
          <w:szCs w:val="20"/>
        </w:rPr>
        <w:t>Key caveat:</w:t>
      </w:r>
      <w:r w:rsidRPr="003473A0">
        <w:rPr>
          <w:rFonts w:ascii="Calibri" w:hAnsi="Calibri" w:cs="Calibri"/>
          <w:color w:val="111111"/>
          <w:sz w:val="20"/>
          <w:szCs w:val="20"/>
        </w:rPr>
        <w:t xml:space="preserve"> In Sydenham chorea, a GAS-negative workup does not exclude the diagnosis; concurrent carditis on echo strongly supports SC-ARF diagnosis in this setting [2].</w:t>
      </w:r>
    </w:p>
    <w:p w:rsidR="003473A0" w:rsidRPr="003473A0" w:rsidRDefault="003473A0" w:rsidP="003473A0">
      <w:pPr>
        <w:pStyle w:val="Heading2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Fonts w:ascii="Calibri" w:eastAsia="Times New Roman" w:hAnsi="Calibri" w:cs="Calibri"/>
          <w:color w:val="111111"/>
          <w:sz w:val="20"/>
          <w:szCs w:val="20"/>
        </w:rPr>
        <w:t>Step 3: Apply the 2015 Revised Jones Criteria</w:t>
      </w:r>
    </w:p>
    <w:p w:rsidR="003473A0" w:rsidRPr="003473A0" w:rsidRDefault="003473A0" w:rsidP="003473A0">
      <w:pPr>
        <w:pStyle w:val="Heading3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Fonts w:ascii="Calibri" w:eastAsia="Times New Roman" w:hAnsi="Calibri" w:cs="Calibri"/>
          <w:color w:val="111111"/>
          <w:sz w:val="20"/>
          <w:szCs w:val="20"/>
        </w:rPr>
        <w:t>Major Manifestations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45"/>
        <w:gridCol w:w="1921"/>
        <w:gridCol w:w="1866"/>
        <w:gridCol w:w="3684"/>
      </w:tblGrid>
      <w:tr w:rsidR="003473A0" w:rsidRPr="003473A0" w:rsidTr="003473A0">
        <w:trPr>
          <w:divId w:val="2086949799"/>
        </w:trPr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Manifestation</w:t>
            </w:r>
          </w:p>
        </w:tc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Low-risk populations</w:t>
            </w:r>
          </w:p>
        </w:tc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Moderate-to-high-risk populations</w:t>
            </w:r>
          </w:p>
        </w:tc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Key diagnostic note</w:t>
            </w:r>
          </w:p>
        </w:tc>
      </w:tr>
      <w:tr w:rsidR="003473A0" w:rsidRPr="003473A0" w:rsidTr="003473A0">
        <w:trPr>
          <w:divId w:val="2086949799"/>
        </w:trPr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Style w:val="Strong"/>
                <w:rFonts w:ascii="Calibri" w:eastAsia="Times New Roman" w:hAnsi="Calibri" w:cs="Calibri"/>
                <w:color w:val="111111"/>
                <w:sz w:val="20"/>
                <w:szCs w:val="20"/>
              </w:rPr>
              <w:t>Carditis (clinical)</w:t>
            </w:r>
          </w:p>
        </w:tc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New MR or AR murmur on auscultation</w:t>
            </w:r>
          </w:p>
        </w:tc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Same</w:t>
            </w:r>
          </w:p>
        </w:tc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Pancarditis; valvulitis &gt;&gt; myocarditis/pericarditis; isolated pericarditis/myocarditis is rarely rheumatic [1]</w:t>
            </w:r>
          </w:p>
        </w:tc>
      </w:tr>
      <w:tr w:rsidR="003473A0" w:rsidRPr="003473A0" w:rsidTr="003473A0">
        <w:trPr>
          <w:divId w:val="2086949799"/>
        </w:trPr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Style w:val="Strong"/>
                <w:rFonts w:ascii="Calibri" w:eastAsia="Times New Roman" w:hAnsi="Calibri" w:cs="Calibri"/>
                <w:color w:val="111111"/>
                <w:sz w:val="20"/>
                <w:szCs w:val="20"/>
              </w:rPr>
              <w:t>Carditis (subclinical)</w:t>
            </w:r>
          </w:p>
        </w:tc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Doppler echo: MR or AR meeting WHF criteria</w:t>
            </w:r>
          </w:p>
        </w:tc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Same</w:t>
            </w:r>
          </w:p>
        </w:tc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 xml:space="preserve">Weighted pooled prevalence of subclinical carditis = </w:t>
            </w:r>
            <w:r w:rsidRPr="003473A0">
              <w:rPr>
                <w:rStyle w:val="Strong"/>
                <w:rFonts w:ascii="Calibri" w:eastAsia="Times New Roman" w:hAnsi="Calibri" w:cs="Calibri"/>
                <w:color w:val="111111"/>
                <w:sz w:val="20"/>
                <w:szCs w:val="20"/>
              </w:rPr>
              <w:t>16.8%</w:t>
            </w: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 xml:space="preserve"> (95% CI 11.9–21.6%), 23-study meta-analysis [1]</w:t>
            </w:r>
          </w:p>
        </w:tc>
      </w:tr>
      <w:tr w:rsidR="003473A0" w:rsidRPr="003473A0" w:rsidTr="003473A0">
        <w:trPr>
          <w:divId w:val="2086949799"/>
        </w:trPr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Style w:val="Strong"/>
                <w:rFonts w:ascii="Calibri" w:eastAsia="Times New Roman" w:hAnsi="Calibri" w:cs="Calibri"/>
                <w:color w:val="111111"/>
                <w:sz w:val="20"/>
                <w:szCs w:val="20"/>
              </w:rPr>
              <w:t>Arthritis</w:t>
            </w:r>
          </w:p>
        </w:tc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 xml:space="preserve">Migratory </w:t>
            </w:r>
            <w:r w:rsidRPr="003473A0">
              <w:rPr>
                <w:rStyle w:val="Strong"/>
                <w:rFonts w:ascii="Calibri" w:eastAsia="Times New Roman" w:hAnsi="Calibri" w:cs="Calibri"/>
                <w:color w:val="111111"/>
                <w:sz w:val="20"/>
                <w:szCs w:val="20"/>
              </w:rPr>
              <w:t>poly</w:t>
            </w: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arthritis only</w:t>
            </w:r>
          </w:p>
        </w:tc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Monoarthritis or polyarthralgia also qualify</w:t>
            </w:r>
          </w:p>
        </w:tc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NSAIDs/salicylates mask migratory pattern — explicitly document pre-treatment status [1]</w:t>
            </w:r>
          </w:p>
        </w:tc>
      </w:tr>
      <w:tr w:rsidR="003473A0" w:rsidRPr="003473A0" w:rsidTr="003473A0">
        <w:trPr>
          <w:divId w:val="2086949799"/>
        </w:trPr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Style w:val="Strong"/>
                <w:rFonts w:ascii="Calibri" w:eastAsia="Times New Roman" w:hAnsi="Calibri" w:cs="Calibri"/>
                <w:color w:val="111111"/>
                <w:sz w:val="20"/>
                <w:szCs w:val="20"/>
              </w:rPr>
              <w:t>Sydenham chorea</w:t>
            </w:r>
          </w:p>
        </w:tc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Applies (longer latency; GAS evidence often absent)</w:t>
            </w:r>
          </w:p>
        </w:tc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Same</w:t>
            </w:r>
          </w:p>
        </w:tc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Isolated chorea = stand-alone major criterion even without GAS evidence [2]</w:t>
            </w:r>
          </w:p>
        </w:tc>
      </w:tr>
      <w:tr w:rsidR="003473A0" w:rsidRPr="003473A0" w:rsidTr="003473A0">
        <w:trPr>
          <w:divId w:val="2086949799"/>
        </w:trPr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Style w:val="Strong"/>
                <w:rFonts w:ascii="Calibri" w:eastAsia="Times New Roman" w:hAnsi="Calibri" w:cs="Calibri"/>
                <w:color w:val="111111"/>
                <w:sz w:val="20"/>
                <w:szCs w:val="20"/>
              </w:rPr>
              <w:t>Erythema marginatum</w:t>
            </w:r>
          </w:p>
        </w:tc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Applicable (rare, &lt;10%)</w:t>
            </w:r>
          </w:p>
        </w:tc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Same</w:t>
            </w:r>
          </w:p>
        </w:tc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Almost never sole major criterion; highly specific when present [7]</w:t>
            </w:r>
          </w:p>
        </w:tc>
      </w:tr>
      <w:tr w:rsidR="003473A0" w:rsidRPr="003473A0" w:rsidTr="003473A0">
        <w:trPr>
          <w:divId w:val="2086949799"/>
        </w:trPr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Style w:val="Strong"/>
                <w:rFonts w:ascii="Calibri" w:eastAsia="Times New Roman" w:hAnsi="Calibri" w:cs="Calibri"/>
                <w:color w:val="111111"/>
                <w:sz w:val="20"/>
                <w:szCs w:val="20"/>
              </w:rPr>
              <w:t>Subcutaneous nodules</w:t>
            </w:r>
          </w:p>
        </w:tc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Applicable (rare, &lt;10%)</w:t>
            </w:r>
          </w:p>
        </w:tc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Same</w:t>
            </w:r>
          </w:p>
        </w:tc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Strongly associated with carditis; almost never stand-alone [1]</w:t>
            </w:r>
          </w:p>
        </w:tc>
      </w:tr>
    </w:tbl>
    <w:p w:rsidR="003473A0" w:rsidRPr="003473A0" w:rsidRDefault="003473A0" w:rsidP="003473A0">
      <w:pPr>
        <w:pStyle w:val="Heading3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Fonts w:ascii="Calibri" w:eastAsia="Times New Roman" w:hAnsi="Calibri" w:cs="Calibri"/>
          <w:color w:val="111111"/>
          <w:sz w:val="20"/>
          <w:szCs w:val="20"/>
        </w:rPr>
        <w:t>Minor Manifestations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71"/>
        <w:gridCol w:w="1742"/>
        <w:gridCol w:w="1573"/>
        <w:gridCol w:w="3830"/>
      </w:tblGrid>
      <w:tr w:rsidR="003473A0" w:rsidRPr="003473A0" w:rsidTr="003473A0">
        <w:trPr>
          <w:divId w:val="2086949799"/>
        </w:trPr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Manifestation</w:t>
            </w:r>
          </w:p>
        </w:tc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Low-risk threshold</w:t>
            </w:r>
          </w:p>
        </w:tc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High-risk threshold</w:t>
            </w:r>
          </w:p>
        </w:tc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Evidence</w:t>
            </w:r>
          </w:p>
        </w:tc>
      </w:tr>
      <w:tr w:rsidR="003473A0" w:rsidRPr="003473A0" w:rsidTr="003473A0">
        <w:trPr>
          <w:divId w:val="2086949799"/>
        </w:trPr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Style w:val="Strong"/>
                <w:rFonts w:ascii="Calibri" w:eastAsia="Times New Roman" w:hAnsi="Calibri" w:cs="Calibri"/>
                <w:color w:val="111111"/>
                <w:sz w:val="20"/>
                <w:szCs w:val="20"/>
              </w:rPr>
              <w:t>Fever</w:t>
            </w:r>
          </w:p>
        </w:tc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≥38.5°C</w:t>
            </w:r>
          </w:p>
        </w:tc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≥38°C</w:t>
            </w:r>
          </w:p>
        </w:tc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Antipyretic use must be documented to contextualize temperature at time of exam [1]</w:t>
            </w:r>
          </w:p>
        </w:tc>
      </w:tr>
      <w:tr w:rsidR="003473A0" w:rsidRPr="003473A0" w:rsidTr="003473A0">
        <w:trPr>
          <w:divId w:val="2086949799"/>
        </w:trPr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Style w:val="Strong"/>
                <w:rFonts w:ascii="Calibri" w:eastAsia="Times New Roman" w:hAnsi="Calibri" w:cs="Calibri"/>
                <w:color w:val="111111"/>
                <w:sz w:val="20"/>
                <w:szCs w:val="20"/>
              </w:rPr>
              <w:t>Elevated ESR</w:t>
            </w:r>
          </w:p>
        </w:tc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&gt;60 mm/h (1st hour)</w:t>
            </w:r>
          </w:p>
        </w:tc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Same</w:t>
            </w:r>
          </w:p>
        </w:tc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Peak value should be used as ESR evolves during ARF [1]</w:t>
            </w:r>
          </w:p>
        </w:tc>
      </w:tr>
      <w:tr w:rsidR="003473A0" w:rsidRPr="003473A0" w:rsidTr="003473A0">
        <w:trPr>
          <w:divId w:val="2086949799"/>
        </w:trPr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Style w:val="Strong"/>
                <w:rFonts w:ascii="Calibri" w:eastAsia="Times New Roman" w:hAnsi="Calibri" w:cs="Calibri"/>
                <w:color w:val="111111"/>
                <w:sz w:val="20"/>
                <w:szCs w:val="20"/>
              </w:rPr>
              <w:t>Elevated CRP</w:t>
            </w:r>
          </w:p>
        </w:tc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&gt;3.0 mg/dL (&gt;ULN)</w:t>
            </w:r>
          </w:p>
        </w:tc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Same; often &gt;7.0 mg/dL</w:t>
            </w:r>
          </w:p>
        </w:tc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Must exceed lab ULN; commonly much higher [1]</w:t>
            </w:r>
          </w:p>
        </w:tc>
      </w:tr>
      <w:tr w:rsidR="003473A0" w:rsidRPr="003473A0" w:rsidTr="003473A0">
        <w:trPr>
          <w:divId w:val="2086949799"/>
        </w:trPr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Style w:val="Strong"/>
                <w:rFonts w:ascii="Calibri" w:eastAsia="Times New Roman" w:hAnsi="Calibri" w:cs="Calibri"/>
                <w:color w:val="111111"/>
                <w:sz w:val="20"/>
                <w:szCs w:val="20"/>
              </w:rPr>
              <w:lastRenderedPageBreak/>
              <w:t>Prolonged PR interval (ECG)</w:t>
            </w:r>
          </w:p>
        </w:tc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Age-adjusted prolongation</w:t>
            </w:r>
          </w:p>
        </w:tc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Same</w:t>
            </w:r>
          </w:p>
        </w:tc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Not carditis per se — counts as minor criterion independent of carditis [1]</w:t>
            </w:r>
          </w:p>
        </w:tc>
      </w:tr>
      <w:tr w:rsidR="003473A0" w:rsidRPr="003473A0" w:rsidTr="003473A0">
        <w:trPr>
          <w:divId w:val="2086949799"/>
        </w:trPr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Style w:val="Strong"/>
                <w:rFonts w:ascii="Calibri" w:eastAsia="Times New Roman" w:hAnsi="Calibri" w:cs="Calibri"/>
                <w:color w:val="111111"/>
                <w:sz w:val="20"/>
                <w:szCs w:val="20"/>
              </w:rPr>
              <w:t>Polyarthralgia</w:t>
            </w:r>
          </w:p>
        </w:tc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Minor only</w:t>
            </w:r>
          </w:p>
        </w:tc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 xml:space="preserve">Qualifies as </w:t>
            </w:r>
            <w:r w:rsidRPr="003473A0">
              <w:rPr>
                <w:rStyle w:val="Strong"/>
                <w:rFonts w:ascii="Calibri" w:eastAsia="Times New Roman" w:hAnsi="Calibri" w:cs="Calibri"/>
                <w:color w:val="111111"/>
                <w:sz w:val="20"/>
                <w:szCs w:val="20"/>
              </w:rPr>
              <w:t>major</w:t>
            </w: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 xml:space="preserve"> instead</w:t>
            </w:r>
          </w:p>
        </w:tc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Cannot be counted as both major AND minor in same patient [1]</w:t>
            </w:r>
          </w:p>
        </w:tc>
      </w:tr>
    </w:tbl>
    <w:p w:rsidR="003473A0" w:rsidRPr="003473A0" w:rsidRDefault="003473A0" w:rsidP="003473A0">
      <w:pPr>
        <w:pStyle w:val="Heading2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Fonts w:ascii="Calibri" w:eastAsia="Times New Roman" w:hAnsi="Calibri" w:cs="Calibri"/>
          <w:color w:val="111111"/>
          <w:sz w:val="20"/>
          <w:szCs w:val="20"/>
        </w:rPr>
        <w:t>Step 4: Mandatory Investigations — Ordered by Priority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984"/>
        <w:gridCol w:w="3742"/>
        <w:gridCol w:w="3290"/>
      </w:tblGrid>
      <w:tr w:rsidR="003473A0" w:rsidRPr="003473A0" w:rsidTr="003473A0">
        <w:trPr>
          <w:divId w:val="2086949799"/>
        </w:trPr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Investigation</w:t>
            </w:r>
          </w:p>
        </w:tc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Rationale</w:t>
            </w:r>
          </w:p>
        </w:tc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Clinical Evidence</w:t>
            </w:r>
          </w:p>
        </w:tc>
      </w:tr>
      <w:tr w:rsidR="003473A0" w:rsidRPr="003473A0" w:rsidTr="003473A0">
        <w:trPr>
          <w:divId w:val="2086949799"/>
        </w:trPr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Style w:val="Strong"/>
                <w:rFonts w:ascii="Calibri" w:eastAsia="Times New Roman" w:hAnsi="Calibri" w:cs="Calibri"/>
                <w:color w:val="111111"/>
                <w:sz w:val="20"/>
                <w:szCs w:val="20"/>
              </w:rPr>
              <w:t>Echo + Doppler (all patients)</w:t>
            </w:r>
          </w:p>
        </w:tc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Detects subclinical carditis (major criterion); characterizes valvulopathy; mandatory even if no murmur</w:t>
            </w:r>
          </w:p>
        </w:tc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Meta-analysis: subclinical carditis in 16.8% of ARF; persistence/worsening in 44.7% [1]</w:t>
            </w:r>
          </w:p>
        </w:tc>
      </w:tr>
      <w:tr w:rsidR="003473A0" w:rsidRPr="003473A0" w:rsidTr="003473A0">
        <w:trPr>
          <w:divId w:val="2086949799"/>
        </w:trPr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Style w:val="Strong"/>
                <w:rFonts w:ascii="Calibri" w:eastAsia="Times New Roman" w:hAnsi="Calibri" w:cs="Calibri"/>
                <w:color w:val="111111"/>
                <w:sz w:val="20"/>
                <w:szCs w:val="20"/>
              </w:rPr>
              <w:t>12-lead ECG</w:t>
            </w:r>
          </w:p>
        </w:tc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PR interval as minor criterion; baseline for myocarditis screening</w:t>
            </w:r>
          </w:p>
        </w:tc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Standard ARF workup [5]</w:t>
            </w:r>
          </w:p>
        </w:tc>
      </w:tr>
      <w:tr w:rsidR="003473A0" w:rsidRPr="003473A0" w:rsidTr="003473A0">
        <w:trPr>
          <w:divId w:val="2086949799"/>
        </w:trPr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Style w:val="Strong"/>
                <w:rFonts w:ascii="Calibri" w:eastAsia="Times New Roman" w:hAnsi="Calibri" w:cs="Calibri"/>
                <w:color w:val="111111"/>
                <w:sz w:val="20"/>
                <w:szCs w:val="20"/>
              </w:rPr>
              <w:t>ASO + anti-DNase B (both)</w:t>
            </w:r>
          </w:p>
        </w:tc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Maximizes GAS serological sensitivity; anti-DNase B critical for skin infection triggers and chorea</w:t>
            </w:r>
          </w:p>
        </w:tc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[5]; [7]</w:t>
            </w:r>
          </w:p>
        </w:tc>
      </w:tr>
      <w:tr w:rsidR="003473A0" w:rsidRPr="003473A0" w:rsidTr="003473A0">
        <w:trPr>
          <w:divId w:val="2086949799"/>
        </w:trPr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Style w:val="Strong"/>
                <w:rFonts w:ascii="Calibri" w:eastAsia="Times New Roman" w:hAnsi="Calibri" w:cs="Calibri"/>
                <w:color w:val="111111"/>
                <w:sz w:val="20"/>
                <w:szCs w:val="20"/>
              </w:rPr>
              <w:t>Throat culture / RADT</w:t>
            </w:r>
          </w:p>
        </w:tc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Documents active GAS carriage or acute infection</w:t>
            </w:r>
          </w:p>
        </w:tc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[2]</w:t>
            </w:r>
          </w:p>
        </w:tc>
      </w:tr>
      <w:tr w:rsidR="003473A0" w:rsidRPr="003473A0" w:rsidTr="003473A0">
        <w:trPr>
          <w:divId w:val="2086949799"/>
        </w:trPr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Style w:val="Strong"/>
                <w:rFonts w:ascii="Calibri" w:eastAsia="Times New Roman" w:hAnsi="Calibri" w:cs="Calibri"/>
                <w:color w:val="111111"/>
                <w:sz w:val="20"/>
                <w:szCs w:val="20"/>
              </w:rPr>
              <w:t>ESR and CRP</w:t>
            </w:r>
          </w:p>
        </w:tc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Minor criteria; also track treatment response</w:t>
            </w:r>
          </w:p>
        </w:tc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[1]</w:t>
            </w:r>
          </w:p>
        </w:tc>
      </w:tr>
      <w:tr w:rsidR="003473A0" w:rsidRPr="003473A0" w:rsidTr="003473A0">
        <w:trPr>
          <w:divId w:val="2086949799"/>
        </w:trPr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Style w:val="Strong"/>
                <w:rFonts w:ascii="Calibri" w:eastAsia="Times New Roman" w:hAnsi="Calibri" w:cs="Calibri"/>
                <w:color w:val="111111"/>
                <w:sz w:val="20"/>
                <w:szCs w:val="20"/>
              </w:rPr>
              <w:t>CBC with differential</w:t>
            </w:r>
          </w:p>
        </w:tc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Detects leukocytosis; excludes cytopenias and alternative diagnoses</w:t>
            </w:r>
          </w:p>
        </w:tc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[5]</w:t>
            </w:r>
          </w:p>
        </w:tc>
      </w:tr>
      <w:tr w:rsidR="003473A0" w:rsidRPr="003473A0" w:rsidTr="003473A0">
        <w:trPr>
          <w:divId w:val="2086949799"/>
        </w:trPr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Style w:val="Strong"/>
                <w:rFonts w:ascii="Calibri" w:eastAsia="Times New Roman" w:hAnsi="Calibri" w:cs="Calibri"/>
                <w:color w:val="111111"/>
                <w:sz w:val="20"/>
                <w:szCs w:val="20"/>
              </w:rPr>
              <w:t>MRI brain (if chorea and diagnostic uncertainty)</w:t>
            </w:r>
          </w:p>
        </w:tc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Exclude structural/demyelinating causes; basal ganglia signal abnormalities may be seen acutely</w:t>
            </w:r>
          </w:p>
        </w:tc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Neuroimaging recommended in atypical/low-confidence SC presentations [2]</w:t>
            </w:r>
          </w:p>
        </w:tc>
      </w:tr>
    </w:tbl>
    <w:p w:rsidR="003473A0" w:rsidRPr="003473A0" w:rsidRDefault="003473A0" w:rsidP="003473A0">
      <w:pPr>
        <w:pStyle w:val="Heading2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Fonts w:ascii="Calibri" w:eastAsia="Times New Roman" w:hAnsi="Calibri" w:cs="Calibri"/>
          <w:color w:val="111111"/>
          <w:sz w:val="20"/>
          <w:szCs w:val="20"/>
        </w:rPr>
        <w:t>Step 5: Special Diagnostic Scenarios</w:t>
      </w:r>
    </w:p>
    <w:p w:rsidR="003473A0" w:rsidRPr="003473A0" w:rsidRDefault="003473A0" w:rsidP="003473A0">
      <w:pPr>
        <w:pStyle w:val="Heading3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Fonts w:ascii="Calibri" w:eastAsia="Times New Roman" w:hAnsi="Calibri" w:cs="Calibri"/>
          <w:color w:val="111111"/>
          <w:sz w:val="20"/>
          <w:szCs w:val="20"/>
        </w:rPr>
        <w:t>Recurrent ARF</w:t>
      </w:r>
    </w:p>
    <w:p w:rsidR="003473A0" w:rsidRPr="003473A0" w:rsidRDefault="003473A0" w:rsidP="003473A0">
      <w:pPr>
        <w:numPr>
          <w:ilvl w:val="0"/>
          <w:numId w:val="15"/>
        </w:numPr>
        <w:spacing w:before="100" w:beforeAutospacing="1" w:after="100" w:afterAutospacing="1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Fonts w:ascii="Calibri" w:eastAsia="Times New Roman" w:hAnsi="Calibri" w:cs="Calibri"/>
          <w:color w:val="111111"/>
          <w:sz w:val="20"/>
          <w:szCs w:val="20"/>
        </w:rPr>
        <w:t xml:space="preserve">Full Jones criteria </w:t>
      </w: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t>may not be met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 xml:space="preserve"> — a history of prior ARF/RHD plus 1 major or 2 minor criteria with GAS evidence is sufficient in the appropriate clinical context; </w:t>
      </w: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t>beware of under-diagnosis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 xml:space="preserve"> [1]</w:t>
      </w:r>
    </w:p>
    <w:p w:rsidR="003473A0" w:rsidRPr="003473A0" w:rsidRDefault="003473A0" w:rsidP="003473A0">
      <w:pPr>
        <w:numPr>
          <w:ilvl w:val="0"/>
          <w:numId w:val="15"/>
        </w:numPr>
        <w:spacing w:before="100" w:beforeAutospacing="1" w:after="100" w:afterAutospacing="1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Fonts w:ascii="Calibri" w:eastAsia="Times New Roman" w:hAnsi="Calibri" w:cs="Calibri"/>
          <w:color w:val="111111"/>
          <w:sz w:val="20"/>
          <w:szCs w:val="20"/>
        </w:rPr>
        <w:t>Recurrence without symptoms is possible — GAS infection does not need to be symptomatic to trigger recurrence [6]</w:t>
      </w:r>
    </w:p>
    <w:p w:rsidR="003473A0" w:rsidRPr="003473A0" w:rsidRDefault="003473A0" w:rsidP="003473A0">
      <w:pPr>
        <w:pStyle w:val="Heading3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Fonts w:ascii="Calibri" w:eastAsia="Times New Roman" w:hAnsi="Calibri" w:cs="Calibri"/>
          <w:color w:val="111111"/>
          <w:sz w:val="20"/>
          <w:szCs w:val="20"/>
        </w:rPr>
        <w:t>Sydenham Chorea as Sole Manifestation</w:t>
      </w:r>
    </w:p>
    <w:p w:rsidR="003473A0" w:rsidRPr="003473A0" w:rsidRDefault="003473A0" w:rsidP="003473A0">
      <w:pPr>
        <w:numPr>
          <w:ilvl w:val="0"/>
          <w:numId w:val="16"/>
        </w:numPr>
        <w:spacing w:before="100" w:beforeAutospacing="1" w:after="100" w:afterAutospacing="1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t>Stand-alone major criterion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 xml:space="preserve"> — chorea alone is sufficient for ARF diagnosis even without GAS evidence, particularly in high-risk populations [2]</w:t>
      </w:r>
    </w:p>
    <w:p w:rsidR="003473A0" w:rsidRPr="003473A0" w:rsidRDefault="003473A0" w:rsidP="003473A0">
      <w:pPr>
        <w:numPr>
          <w:ilvl w:val="0"/>
          <w:numId w:val="16"/>
        </w:numPr>
        <w:spacing w:before="100" w:beforeAutospacing="1" w:after="100" w:afterAutospacing="1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Fonts w:ascii="Calibri" w:eastAsia="Times New Roman" w:hAnsi="Calibri" w:cs="Calibri"/>
          <w:color w:val="111111"/>
          <w:sz w:val="20"/>
          <w:szCs w:val="20"/>
        </w:rPr>
        <w:t>Concurrent echocardiography is strongly recommended given high prevalence of subclinical carditis [2]</w:t>
      </w:r>
    </w:p>
    <w:p w:rsidR="003473A0" w:rsidRPr="003473A0" w:rsidRDefault="003473A0" w:rsidP="003473A0">
      <w:pPr>
        <w:pStyle w:val="Heading3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Fonts w:ascii="Calibri" w:eastAsia="Times New Roman" w:hAnsi="Calibri" w:cs="Calibri"/>
          <w:color w:val="111111"/>
          <w:sz w:val="20"/>
          <w:szCs w:val="20"/>
        </w:rPr>
        <w:t>When Criteria Are Not Fully Met</w:t>
      </w:r>
    </w:p>
    <w:p w:rsidR="003473A0" w:rsidRPr="003473A0" w:rsidRDefault="003473A0" w:rsidP="003473A0">
      <w:pPr>
        <w:numPr>
          <w:ilvl w:val="0"/>
          <w:numId w:val="17"/>
        </w:numPr>
        <w:spacing w:before="100" w:beforeAutospacing="1" w:after="100" w:afterAutospacing="1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Fonts w:ascii="Calibri" w:eastAsia="Times New Roman" w:hAnsi="Calibri" w:cs="Calibri"/>
          <w:color w:val="111111"/>
          <w:sz w:val="20"/>
          <w:szCs w:val="20"/>
        </w:rPr>
        <w:lastRenderedPageBreak/>
        <w:t xml:space="preserve">In high-incidence settings with unavailable labs or unreliable history, </w:t>
      </w: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t>clinical acumen takes precedence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 xml:space="preserve"> — clinician should document reasoning explicitly and manage accordingly [1]</w:t>
      </w:r>
    </w:p>
    <w:p w:rsidR="003473A0" w:rsidRPr="003473A0" w:rsidRDefault="003473A0" w:rsidP="003473A0">
      <w:pPr>
        <w:pStyle w:val="Heading2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Fonts w:ascii="Calibri" w:eastAsia="Times New Roman" w:hAnsi="Calibri" w:cs="Calibri"/>
          <w:color w:val="111111"/>
          <w:sz w:val="20"/>
          <w:szCs w:val="20"/>
        </w:rPr>
        <w:t>Step 6: Differential Diagnosis — Conditions to Exclude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466"/>
        <w:gridCol w:w="6550"/>
      </w:tblGrid>
      <w:tr w:rsidR="003473A0" w:rsidRPr="003473A0" w:rsidTr="003473A0">
        <w:trPr>
          <w:divId w:val="2086949799"/>
        </w:trPr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Condition</w:t>
            </w:r>
          </w:p>
        </w:tc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Key distinguishing features</w:t>
            </w:r>
          </w:p>
        </w:tc>
      </w:tr>
      <w:tr w:rsidR="003473A0" w:rsidRPr="003473A0" w:rsidTr="003473A0">
        <w:trPr>
          <w:divId w:val="2086949799"/>
        </w:trPr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Style w:val="Strong"/>
                <w:rFonts w:ascii="Calibri" w:eastAsia="Times New Roman" w:hAnsi="Calibri" w:cs="Calibri"/>
                <w:color w:val="111111"/>
                <w:sz w:val="20"/>
                <w:szCs w:val="20"/>
              </w:rPr>
              <w:t>Septic arthritis</w:t>
            </w:r>
          </w:p>
        </w:tc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 xml:space="preserve">Single hot joint + fever + toxicity; passive ROM extremely painful; joint fluid required to exclude; </w:t>
            </w:r>
            <w:r w:rsidRPr="003473A0">
              <w:rPr>
                <w:rStyle w:val="Strong"/>
                <w:rFonts w:ascii="Calibri" w:eastAsia="Times New Roman" w:hAnsi="Calibri" w:cs="Calibri"/>
                <w:color w:val="111111"/>
                <w:sz w:val="20"/>
                <w:szCs w:val="20"/>
              </w:rPr>
              <w:t>must always be considered before attributing monoarthritis to ARF</w:t>
            </w: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 xml:space="preserve"> [7]</w:t>
            </w:r>
          </w:p>
        </w:tc>
      </w:tr>
      <w:tr w:rsidR="003473A0" w:rsidRPr="003473A0" w:rsidTr="003473A0">
        <w:trPr>
          <w:divId w:val="2086949799"/>
        </w:trPr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Style w:val="Strong"/>
                <w:rFonts w:ascii="Calibri" w:eastAsia="Times New Roman" w:hAnsi="Calibri" w:cs="Calibri"/>
                <w:color w:val="111111"/>
                <w:sz w:val="20"/>
                <w:szCs w:val="20"/>
              </w:rPr>
              <w:t>Juvenile idiopathic arthritis</w:t>
            </w:r>
          </w:p>
        </w:tc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Chronic course, morning stiffness, salmon-colored rash (systemic JIA), no GAS evidence</w:t>
            </w:r>
          </w:p>
        </w:tc>
      </w:tr>
      <w:tr w:rsidR="003473A0" w:rsidRPr="003473A0" w:rsidTr="003473A0">
        <w:trPr>
          <w:divId w:val="2086949799"/>
        </w:trPr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Style w:val="Strong"/>
                <w:rFonts w:ascii="Calibri" w:eastAsia="Times New Roman" w:hAnsi="Calibri" w:cs="Calibri"/>
                <w:color w:val="111111"/>
                <w:sz w:val="20"/>
                <w:szCs w:val="20"/>
              </w:rPr>
              <w:t>Reactive arthritis (non-GAS)</w:t>
            </w:r>
          </w:p>
        </w:tc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Post-enteric or urogenital GI infection; uveitis, urethritis, conjunctivitis; negative streptococcal serology</w:t>
            </w:r>
          </w:p>
        </w:tc>
      </w:tr>
      <w:tr w:rsidR="003473A0" w:rsidRPr="003473A0" w:rsidTr="003473A0">
        <w:trPr>
          <w:divId w:val="2086949799"/>
        </w:trPr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Style w:val="Strong"/>
                <w:rFonts w:ascii="Calibri" w:eastAsia="Times New Roman" w:hAnsi="Calibri" w:cs="Calibri"/>
                <w:color w:val="111111"/>
                <w:sz w:val="20"/>
                <w:szCs w:val="20"/>
              </w:rPr>
              <w:t>Viral arthritis</w:t>
            </w: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 xml:space="preserve"> (parvovirus, EBV)</w:t>
            </w:r>
          </w:p>
        </w:tc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Small joints, rash, serological differentiation</w:t>
            </w:r>
          </w:p>
        </w:tc>
      </w:tr>
      <w:tr w:rsidR="003473A0" w:rsidRPr="003473A0" w:rsidTr="003473A0">
        <w:trPr>
          <w:divId w:val="2086949799"/>
        </w:trPr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Style w:val="Strong"/>
                <w:rFonts w:ascii="Calibri" w:eastAsia="Times New Roman" w:hAnsi="Calibri" w:cs="Calibri"/>
                <w:color w:val="111111"/>
                <w:sz w:val="20"/>
                <w:szCs w:val="20"/>
              </w:rPr>
              <w:t>Infective endocarditis</w:t>
            </w:r>
          </w:p>
        </w:tc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Valvular damage without migratory arthritis; vegetations on echo; blood cultures positive</w:t>
            </w:r>
          </w:p>
        </w:tc>
      </w:tr>
      <w:tr w:rsidR="003473A0" w:rsidRPr="003473A0" w:rsidTr="003473A0">
        <w:trPr>
          <w:divId w:val="2086949799"/>
        </w:trPr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Style w:val="Strong"/>
                <w:rFonts w:ascii="Calibri" w:eastAsia="Times New Roman" w:hAnsi="Calibri" w:cs="Calibri"/>
                <w:color w:val="111111"/>
                <w:sz w:val="20"/>
                <w:szCs w:val="20"/>
              </w:rPr>
              <w:t>Other chorea</w:t>
            </w:r>
          </w:p>
        </w:tc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SLE (anti-dsDNA, ANA), Huntington disease, drug-induced, Wilson disease, antiphospholipid syndrome — exclude based on age, serology, family history [2]</w:t>
            </w:r>
          </w:p>
        </w:tc>
      </w:tr>
      <w:tr w:rsidR="003473A0" w:rsidRPr="003473A0" w:rsidTr="003473A0">
        <w:trPr>
          <w:divId w:val="2086949799"/>
        </w:trPr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Style w:val="Strong"/>
                <w:rFonts w:ascii="Calibri" w:eastAsia="Times New Roman" w:hAnsi="Calibri" w:cs="Calibri"/>
                <w:color w:val="111111"/>
                <w:sz w:val="20"/>
                <w:szCs w:val="20"/>
              </w:rPr>
              <w:t>Poststreptococcal reactive arthritis (PSRA)</w:t>
            </w:r>
          </w:p>
        </w:tc>
        <w:tc>
          <w:tcPr>
            <w:tcW w:w="0" w:type="auto"/>
            <w:hideMark/>
          </w:tcPr>
          <w:p w:rsidR="003473A0" w:rsidRPr="003473A0" w:rsidRDefault="003473A0" w:rsidP="005F7E42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 xml:space="preserve">Does not fulfill Jones criteria; longer latency; less migratory; non-rheumatic pattern; </w:t>
            </w:r>
            <w:r w:rsidRPr="003473A0">
              <w:rPr>
                <w:rStyle w:val="Strong"/>
                <w:rFonts w:ascii="Calibri" w:eastAsia="Times New Roman" w:hAnsi="Calibri" w:cs="Calibri"/>
                <w:color w:val="111111"/>
                <w:sz w:val="20"/>
                <w:szCs w:val="20"/>
              </w:rPr>
              <w:t>some later develop ARF/RHD — requires cardiology follow-up and possible prophylaxis</w:t>
            </w:r>
            <w:r w:rsidRPr="003473A0"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 xml:space="preserve"> [1]</w:t>
            </w:r>
          </w:p>
        </w:tc>
      </w:tr>
    </w:tbl>
    <w:p w:rsidR="003473A0" w:rsidRPr="003473A0" w:rsidRDefault="003473A0" w:rsidP="003473A0">
      <w:pPr>
        <w:pStyle w:val="Heading2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Fonts w:ascii="Calibri" w:eastAsia="Times New Roman" w:hAnsi="Calibri" w:cs="Calibri"/>
          <w:color w:val="111111"/>
          <w:sz w:val="20"/>
          <w:szCs w:val="20"/>
        </w:rPr>
        <w:t>Diagnostic Formulation Summary</w:t>
      </w:r>
    </w:p>
    <w:p w:rsidR="003473A0" w:rsidRPr="003473A0" w:rsidRDefault="003473A0" w:rsidP="003473A0">
      <w:pPr>
        <w:pStyle w:val="NormalWeb"/>
        <w:jc w:val="both"/>
        <w:divId w:val="2086949799"/>
        <w:rPr>
          <w:rFonts w:ascii="Calibri" w:hAnsi="Calibri" w:cs="Calibri"/>
          <w:color w:val="111111"/>
          <w:sz w:val="20"/>
          <w:szCs w:val="20"/>
        </w:rPr>
      </w:pPr>
      <w:r w:rsidRPr="003473A0">
        <w:rPr>
          <w:rStyle w:val="Strong"/>
          <w:rFonts w:ascii="Calibri" w:hAnsi="Calibri" w:cs="Calibri"/>
          <w:color w:val="111111"/>
          <w:sz w:val="20"/>
          <w:szCs w:val="20"/>
        </w:rPr>
        <w:t>ARF diagnosis requires ALL three elements:</w:t>
      </w:r>
    </w:p>
    <w:p w:rsidR="003473A0" w:rsidRPr="003473A0" w:rsidRDefault="003473A0" w:rsidP="003473A0">
      <w:pPr>
        <w:numPr>
          <w:ilvl w:val="0"/>
          <w:numId w:val="18"/>
        </w:numPr>
        <w:spacing w:before="100" w:beforeAutospacing="1" w:after="100" w:afterAutospacing="1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Fonts w:ascii="Apple Color Emoji" w:eastAsia="Times New Roman" w:hAnsi="Apple Color Emoji" w:cs="Apple Color Emoji"/>
          <w:color w:val="111111"/>
          <w:sz w:val="20"/>
          <w:szCs w:val="20"/>
        </w:rPr>
        <w:t>✅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 xml:space="preserve"> </w:t>
      </w: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t>GAS evidence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 xml:space="preserve"> (serology, culture, or RADT) — </w:t>
      </w:r>
      <w:r w:rsidRPr="003473A0">
        <w:rPr>
          <w:rStyle w:val="Emphasis"/>
          <w:rFonts w:ascii="Calibri" w:eastAsia="Times New Roman" w:hAnsi="Calibri" w:cs="Calibri"/>
          <w:color w:val="111111"/>
          <w:sz w:val="20"/>
          <w:szCs w:val="20"/>
        </w:rPr>
        <w:t>except in isolated Sydenham chorea</w:t>
      </w:r>
    </w:p>
    <w:p w:rsidR="003473A0" w:rsidRPr="003473A0" w:rsidRDefault="003473A0" w:rsidP="003473A0">
      <w:pPr>
        <w:numPr>
          <w:ilvl w:val="0"/>
          <w:numId w:val="18"/>
        </w:numPr>
        <w:spacing w:before="100" w:beforeAutospacing="1" w:after="100" w:afterAutospacing="1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Fonts w:ascii="Apple Color Emoji" w:eastAsia="Times New Roman" w:hAnsi="Apple Color Emoji" w:cs="Apple Color Emoji"/>
          <w:color w:val="111111"/>
          <w:sz w:val="20"/>
          <w:szCs w:val="20"/>
        </w:rPr>
        <w:t>✅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 xml:space="preserve"> </w:t>
      </w: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t>Jones criteria fulfilled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 xml:space="preserve"> (2 major OR 1 major + 2 minor) — </w:t>
      </w:r>
      <w:r w:rsidRPr="003473A0">
        <w:rPr>
          <w:rStyle w:val="Emphasis"/>
          <w:rFonts w:ascii="Calibri" w:eastAsia="Times New Roman" w:hAnsi="Calibri" w:cs="Calibri"/>
          <w:color w:val="111111"/>
          <w:sz w:val="20"/>
          <w:szCs w:val="20"/>
        </w:rPr>
        <w:t>adjusted for population risk</w:t>
      </w:r>
    </w:p>
    <w:p w:rsidR="003473A0" w:rsidRPr="003473A0" w:rsidRDefault="003473A0" w:rsidP="003473A0">
      <w:pPr>
        <w:numPr>
          <w:ilvl w:val="0"/>
          <w:numId w:val="18"/>
        </w:numPr>
        <w:spacing w:before="100" w:beforeAutospacing="1" w:after="100" w:afterAutospacing="1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Fonts w:ascii="Apple Color Emoji" w:eastAsia="Times New Roman" w:hAnsi="Apple Color Emoji" w:cs="Apple Color Emoji"/>
          <w:color w:val="111111"/>
          <w:sz w:val="20"/>
          <w:szCs w:val="20"/>
        </w:rPr>
        <w:t>✅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 xml:space="preserve"> </w:t>
      </w: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t>Alternative diagnoses excluded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 xml:space="preserve"> — especially septic arthritis and non-ARF chorea</w:t>
      </w:r>
    </w:p>
    <w:p w:rsidR="003473A0" w:rsidRPr="003473A0" w:rsidRDefault="003473A0" w:rsidP="003473A0">
      <w:pPr>
        <w:pStyle w:val="NormalWeb"/>
        <w:jc w:val="both"/>
        <w:divId w:val="2086949799"/>
        <w:rPr>
          <w:rFonts w:ascii="Calibri" w:hAnsi="Calibri" w:cs="Calibri"/>
          <w:color w:val="111111"/>
          <w:sz w:val="20"/>
          <w:szCs w:val="20"/>
        </w:rPr>
      </w:pPr>
      <w:r w:rsidRPr="003473A0">
        <w:rPr>
          <w:rStyle w:val="Strong"/>
          <w:rFonts w:ascii="Calibri" w:hAnsi="Calibri" w:cs="Calibri"/>
          <w:color w:val="111111"/>
          <w:sz w:val="20"/>
          <w:szCs w:val="20"/>
        </w:rPr>
        <w:t>Critical pitfalls to avoid:</w:t>
      </w:r>
    </w:p>
    <w:p w:rsidR="003473A0" w:rsidRPr="003473A0" w:rsidRDefault="003473A0" w:rsidP="003473A0">
      <w:pPr>
        <w:numPr>
          <w:ilvl w:val="0"/>
          <w:numId w:val="19"/>
        </w:numPr>
        <w:spacing w:before="100" w:beforeAutospacing="1" w:after="100" w:afterAutospacing="1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Fonts w:ascii="Calibri" w:eastAsia="Times New Roman" w:hAnsi="Calibri" w:cs="Calibri"/>
          <w:color w:val="111111"/>
          <w:sz w:val="20"/>
          <w:szCs w:val="20"/>
        </w:rPr>
        <w:t>Diagnosing ARF on arthralgia + fever alone without GAS evidence in a low-risk population (overdiagnosis → unnecessary long-term prophylaxis)</w:t>
      </w:r>
    </w:p>
    <w:p w:rsidR="003473A0" w:rsidRPr="003473A0" w:rsidRDefault="003473A0" w:rsidP="003473A0">
      <w:pPr>
        <w:numPr>
          <w:ilvl w:val="0"/>
          <w:numId w:val="19"/>
        </w:numPr>
        <w:spacing w:before="100" w:beforeAutospacing="1" w:after="100" w:afterAutospacing="1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Fonts w:ascii="Calibri" w:eastAsia="Times New Roman" w:hAnsi="Calibri" w:cs="Calibri"/>
          <w:color w:val="111111"/>
          <w:sz w:val="20"/>
          <w:szCs w:val="20"/>
        </w:rPr>
        <w:t>Missing subclinical carditis by omitting echocardiography — this changes prognosis and prophylaxis duration [1]</w:t>
      </w:r>
    </w:p>
    <w:p w:rsidR="003473A0" w:rsidRPr="003473A0" w:rsidRDefault="003473A0" w:rsidP="003473A0">
      <w:pPr>
        <w:numPr>
          <w:ilvl w:val="0"/>
          <w:numId w:val="19"/>
        </w:numPr>
        <w:spacing w:before="100" w:beforeAutospacing="1" w:after="100" w:afterAutospacing="1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Fonts w:ascii="Calibri" w:eastAsia="Times New Roman" w:hAnsi="Calibri" w:cs="Calibri"/>
          <w:color w:val="111111"/>
          <w:sz w:val="20"/>
          <w:szCs w:val="20"/>
        </w:rPr>
        <w:t>Dismissing chorea without cardiac workup — up to 72% of untreated SC patients relapse and develop RHD [2]</w:t>
      </w:r>
    </w:p>
    <w:p w:rsidR="003473A0" w:rsidRPr="003473A0" w:rsidRDefault="003473A0" w:rsidP="003473A0">
      <w:pPr>
        <w:numPr>
          <w:ilvl w:val="0"/>
          <w:numId w:val="19"/>
        </w:numPr>
        <w:spacing w:before="100" w:beforeAutospacing="1" w:after="100" w:afterAutospacing="1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Fonts w:ascii="Calibri" w:eastAsia="Times New Roman" w:hAnsi="Calibri" w:cs="Calibri"/>
          <w:color w:val="111111"/>
          <w:sz w:val="20"/>
          <w:szCs w:val="20"/>
        </w:rPr>
        <w:t>Applying low-risk thresholds to high-risk populations — causes systematic underdiagnosis and missed RHD [3]</w:t>
      </w:r>
    </w:p>
    <w:p w:rsidR="003473A0" w:rsidRPr="003473A0" w:rsidRDefault="003473A0" w:rsidP="003473A0">
      <w:pPr>
        <w:pStyle w:val="NormalWeb"/>
        <w:jc w:val="both"/>
        <w:divId w:val="2086949799"/>
        <w:rPr>
          <w:rFonts w:ascii="Calibri" w:hAnsi="Calibri" w:cs="Calibri"/>
          <w:color w:val="111111"/>
          <w:sz w:val="20"/>
          <w:szCs w:val="20"/>
        </w:rPr>
      </w:pPr>
      <w:r w:rsidRPr="003473A0">
        <w:rPr>
          <w:rStyle w:val="Strong"/>
          <w:rFonts w:ascii="Calibri" w:hAnsi="Calibri" w:cs="Calibri"/>
          <w:color w:val="111111"/>
          <w:sz w:val="20"/>
          <w:szCs w:val="20"/>
        </w:rPr>
        <w:t>References:</w:t>
      </w:r>
    </w:p>
    <w:p w:rsidR="003473A0" w:rsidRPr="003473A0" w:rsidRDefault="003473A0" w:rsidP="003473A0">
      <w:pPr>
        <w:pStyle w:val="NormalWeb"/>
        <w:jc w:val="both"/>
        <w:divId w:val="2086949799"/>
        <w:rPr>
          <w:rFonts w:ascii="Calibri" w:hAnsi="Calibri" w:cs="Calibri"/>
          <w:color w:val="111111"/>
          <w:sz w:val="20"/>
          <w:szCs w:val="20"/>
        </w:rPr>
      </w:pPr>
      <w:r w:rsidRPr="003473A0">
        <w:rPr>
          <w:rFonts w:ascii="Calibri" w:hAnsi="Calibri" w:cs="Calibri"/>
          <w:color w:val="111111"/>
          <w:sz w:val="20"/>
          <w:szCs w:val="20"/>
        </w:rPr>
        <w:t xml:space="preserve">1. </w:t>
      </w:r>
      <w:hyperlink r:id="rId14" w:history="1">
        <w:r w:rsidRPr="003473A0">
          <w:rPr>
            <w:rStyle w:val="Hyperlink"/>
            <w:rFonts w:ascii="Calibri" w:hAnsi="Calibri" w:cs="Calibri"/>
            <w:sz w:val="20"/>
            <w:szCs w:val="20"/>
          </w:rPr>
          <w:t>Revision of the Jones Criteria for the Diagnosis of Acute Rheumatic Fever in the Era of Doppler Echocardiography</w:t>
        </w:r>
      </w:hyperlink>
      <w:r w:rsidRPr="003473A0">
        <w:rPr>
          <w:rFonts w:ascii="Calibri" w:hAnsi="Calibri" w:cs="Calibri"/>
          <w:color w:val="111111"/>
          <w:sz w:val="20"/>
          <w:szCs w:val="20"/>
        </w:rPr>
        <w:t xml:space="preserve"> Circulation. 2015. DOI: 10.1161/cir.0000000000000205</w:t>
      </w:r>
    </w:p>
    <w:p w:rsidR="003473A0" w:rsidRPr="003473A0" w:rsidRDefault="003473A0" w:rsidP="003473A0">
      <w:pPr>
        <w:pStyle w:val="NormalWeb"/>
        <w:jc w:val="both"/>
        <w:divId w:val="2086949799"/>
        <w:rPr>
          <w:rFonts w:ascii="Calibri" w:hAnsi="Calibri" w:cs="Calibri"/>
          <w:color w:val="111111"/>
          <w:sz w:val="20"/>
          <w:szCs w:val="20"/>
        </w:rPr>
      </w:pPr>
      <w:r w:rsidRPr="003473A0">
        <w:rPr>
          <w:rFonts w:ascii="Calibri" w:hAnsi="Calibri" w:cs="Calibri"/>
          <w:color w:val="111111"/>
          <w:sz w:val="20"/>
          <w:szCs w:val="20"/>
        </w:rPr>
        <w:lastRenderedPageBreak/>
        <w:t xml:space="preserve">2. </w:t>
      </w:r>
      <w:hyperlink r:id="rId15" w:history="1">
        <w:r w:rsidRPr="003473A0">
          <w:rPr>
            <w:rStyle w:val="Hyperlink"/>
            <w:rFonts w:ascii="Calibri" w:hAnsi="Calibri" w:cs="Calibri"/>
            <w:sz w:val="20"/>
            <w:szCs w:val="20"/>
          </w:rPr>
          <w:t>Evaluation, Diagnosis, and Treatment of Sydenham Chorea: Consensus Guidelines</w:t>
        </w:r>
      </w:hyperlink>
      <w:r w:rsidRPr="003473A0">
        <w:rPr>
          <w:rFonts w:ascii="Calibri" w:hAnsi="Calibri" w:cs="Calibri"/>
          <w:color w:val="111111"/>
          <w:sz w:val="20"/>
          <w:szCs w:val="20"/>
        </w:rPr>
        <w:t xml:space="preserve"> PEDIATRICS. 2025. DOI: 10.1542/peds.2025-072466</w:t>
      </w:r>
    </w:p>
    <w:p w:rsidR="003473A0" w:rsidRPr="003473A0" w:rsidRDefault="003473A0" w:rsidP="003473A0">
      <w:pPr>
        <w:pStyle w:val="NormalWeb"/>
        <w:jc w:val="both"/>
        <w:divId w:val="2086949799"/>
        <w:rPr>
          <w:rFonts w:ascii="Calibri" w:hAnsi="Calibri" w:cs="Calibri"/>
          <w:color w:val="111111"/>
          <w:sz w:val="20"/>
          <w:szCs w:val="20"/>
        </w:rPr>
      </w:pPr>
      <w:r w:rsidRPr="003473A0">
        <w:rPr>
          <w:rFonts w:ascii="Calibri" w:hAnsi="Calibri" w:cs="Calibri"/>
          <w:color w:val="111111"/>
          <w:sz w:val="20"/>
          <w:szCs w:val="20"/>
        </w:rPr>
        <w:t xml:space="preserve">3. </w:t>
      </w:r>
      <w:hyperlink r:id="rId16" w:history="1">
        <w:r w:rsidRPr="003473A0">
          <w:rPr>
            <w:rStyle w:val="Hyperlink"/>
            <w:rFonts w:ascii="Calibri" w:hAnsi="Calibri" w:cs="Calibri"/>
            <w:sz w:val="20"/>
            <w:szCs w:val="20"/>
          </w:rPr>
          <w:t>Prevention of Rheumatic Fever and Diagnosis and Treatment of Acute Streptococcal Pharyngitis</w:t>
        </w:r>
      </w:hyperlink>
      <w:r w:rsidRPr="003473A0">
        <w:rPr>
          <w:rFonts w:ascii="Calibri" w:hAnsi="Calibri" w:cs="Calibri"/>
          <w:color w:val="111111"/>
          <w:sz w:val="20"/>
          <w:szCs w:val="20"/>
        </w:rPr>
        <w:t xml:space="preserve"> Circulation. 2009. DOI: 10.1161/circulationaha.109.191959</w:t>
      </w:r>
    </w:p>
    <w:p w:rsidR="003473A0" w:rsidRPr="003473A0" w:rsidRDefault="003473A0" w:rsidP="003473A0">
      <w:pPr>
        <w:pStyle w:val="NormalWeb"/>
        <w:jc w:val="both"/>
        <w:divId w:val="2086949799"/>
        <w:rPr>
          <w:rFonts w:ascii="Calibri" w:hAnsi="Calibri" w:cs="Calibri"/>
          <w:color w:val="111111"/>
          <w:sz w:val="20"/>
          <w:szCs w:val="20"/>
        </w:rPr>
      </w:pPr>
      <w:r w:rsidRPr="003473A0">
        <w:rPr>
          <w:rFonts w:ascii="Calibri" w:hAnsi="Calibri" w:cs="Calibri"/>
          <w:color w:val="111111"/>
          <w:sz w:val="20"/>
          <w:szCs w:val="20"/>
        </w:rPr>
        <w:t xml:space="preserve">4. </w:t>
      </w:r>
      <w:hyperlink r:id="rId17" w:history="1">
        <w:r w:rsidRPr="003473A0">
          <w:rPr>
            <w:rStyle w:val="Hyperlink"/>
            <w:rFonts w:ascii="Calibri" w:hAnsi="Calibri" w:cs="Calibri"/>
            <w:sz w:val="20"/>
            <w:szCs w:val="20"/>
          </w:rPr>
          <w:t>Incidence of acute rheumatic fever in northern and western Uganda: a prospective, population-based study</w:t>
        </w:r>
      </w:hyperlink>
      <w:r w:rsidRPr="003473A0">
        <w:rPr>
          <w:rFonts w:ascii="Calibri" w:hAnsi="Calibri" w:cs="Calibri"/>
          <w:color w:val="111111"/>
          <w:sz w:val="20"/>
          <w:szCs w:val="20"/>
        </w:rPr>
        <w:t xml:space="preserve"> The Lancet Global Health. 2021. DOI: 10.1016/s2214-109x(21)00288-6</w:t>
      </w:r>
    </w:p>
    <w:p w:rsidR="003473A0" w:rsidRPr="003473A0" w:rsidRDefault="003473A0" w:rsidP="003473A0">
      <w:pPr>
        <w:pStyle w:val="NormalWeb"/>
        <w:jc w:val="both"/>
        <w:divId w:val="2086949799"/>
        <w:rPr>
          <w:rFonts w:ascii="Calibri" w:hAnsi="Calibri" w:cs="Calibri"/>
          <w:color w:val="111111"/>
          <w:sz w:val="20"/>
          <w:szCs w:val="20"/>
        </w:rPr>
      </w:pPr>
      <w:r w:rsidRPr="003473A0">
        <w:rPr>
          <w:rFonts w:ascii="Calibri" w:hAnsi="Calibri" w:cs="Calibri"/>
          <w:color w:val="111111"/>
          <w:sz w:val="20"/>
          <w:szCs w:val="20"/>
        </w:rPr>
        <w:t xml:space="preserve">5. </w:t>
      </w:r>
      <w:hyperlink r:id="rId18" w:history="1">
        <w:r w:rsidRPr="003473A0">
          <w:rPr>
            <w:rStyle w:val="Hyperlink"/>
            <w:rFonts w:ascii="Calibri" w:hAnsi="Calibri" w:cs="Calibri"/>
            <w:sz w:val="20"/>
            <w:szCs w:val="20"/>
          </w:rPr>
          <w:t>Acute rheumatic fever</w:t>
        </w:r>
      </w:hyperlink>
      <w:r w:rsidRPr="003473A0">
        <w:rPr>
          <w:rFonts w:ascii="Calibri" w:hAnsi="Calibri" w:cs="Calibri"/>
          <w:color w:val="111111"/>
          <w:sz w:val="20"/>
          <w:szCs w:val="20"/>
        </w:rPr>
        <w:t xml:space="preserve"> The Lancet. 2025. DOI: 10.1016/s0140-6736(25)00185-0</w:t>
      </w:r>
    </w:p>
    <w:p w:rsidR="003473A0" w:rsidRPr="003473A0" w:rsidRDefault="003473A0" w:rsidP="003473A0">
      <w:pPr>
        <w:pStyle w:val="NormalWeb"/>
        <w:jc w:val="both"/>
        <w:divId w:val="2086949799"/>
        <w:rPr>
          <w:rFonts w:ascii="Calibri" w:hAnsi="Calibri" w:cs="Calibri"/>
          <w:color w:val="111111"/>
          <w:sz w:val="20"/>
          <w:szCs w:val="20"/>
        </w:rPr>
      </w:pPr>
      <w:r w:rsidRPr="003473A0">
        <w:rPr>
          <w:rFonts w:ascii="Calibri" w:hAnsi="Calibri" w:cs="Calibri"/>
          <w:color w:val="111111"/>
          <w:sz w:val="20"/>
          <w:szCs w:val="20"/>
        </w:rPr>
        <w:t xml:space="preserve">6. </w:t>
      </w:r>
      <w:hyperlink r:id="rId19" w:history="1">
        <w:r w:rsidRPr="003473A0">
          <w:rPr>
            <w:rStyle w:val="Hyperlink"/>
            <w:rFonts w:ascii="Calibri" w:hAnsi="Calibri" w:cs="Calibri"/>
            <w:sz w:val="20"/>
            <w:szCs w:val="20"/>
          </w:rPr>
          <w:t>Acute rheumatic fever and rheumatic heart disease</w:t>
        </w:r>
      </w:hyperlink>
      <w:r w:rsidRPr="003473A0">
        <w:rPr>
          <w:rFonts w:ascii="Calibri" w:hAnsi="Calibri" w:cs="Calibri"/>
          <w:color w:val="111111"/>
          <w:sz w:val="20"/>
          <w:szCs w:val="20"/>
        </w:rPr>
        <w:t xml:space="preserve"> Nature Reviews Disease Primers. 2016. DOI: 10.1038/nrdp.2015.84</w:t>
      </w:r>
    </w:p>
    <w:p w:rsidR="003473A0" w:rsidRPr="003473A0" w:rsidRDefault="003473A0" w:rsidP="003473A0">
      <w:pPr>
        <w:pStyle w:val="NormalWeb"/>
        <w:jc w:val="both"/>
        <w:divId w:val="2086949799"/>
        <w:rPr>
          <w:rFonts w:ascii="Calibri" w:hAnsi="Calibri" w:cs="Calibri"/>
          <w:color w:val="111111"/>
          <w:sz w:val="20"/>
          <w:szCs w:val="20"/>
        </w:rPr>
      </w:pPr>
      <w:r w:rsidRPr="003473A0">
        <w:rPr>
          <w:rFonts w:ascii="Calibri" w:hAnsi="Calibri" w:cs="Calibri"/>
          <w:color w:val="111111"/>
          <w:sz w:val="20"/>
          <w:szCs w:val="20"/>
        </w:rPr>
        <w:t xml:space="preserve">7. </w:t>
      </w:r>
      <w:hyperlink r:id="rId20" w:history="1">
        <w:r w:rsidRPr="003473A0">
          <w:rPr>
            <w:rStyle w:val="Hyperlink"/>
            <w:rFonts w:ascii="Calibri" w:hAnsi="Calibri" w:cs="Calibri"/>
            <w:sz w:val="20"/>
            <w:szCs w:val="20"/>
          </w:rPr>
          <w:t>2020 ACC/AHA Guideline for the Management of Patients With Valvular Heart Disease: A Report of the American College of Cardiology/American Heart Association Joint Committee on Clinical Practice Guidelines</w:t>
        </w:r>
      </w:hyperlink>
      <w:r w:rsidRPr="003473A0">
        <w:rPr>
          <w:rFonts w:ascii="Calibri" w:hAnsi="Calibri" w:cs="Calibri"/>
          <w:color w:val="111111"/>
          <w:sz w:val="20"/>
          <w:szCs w:val="20"/>
        </w:rPr>
        <w:t xml:space="preserve"> Circulation. 2020. DOI: 10.1161/cir.0000000000000923</w:t>
      </w:r>
    </w:p>
    <w:p w:rsidR="003473A0" w:rsidRPr="003473A0" w:rsidRDefault="003473A0">
      <w:pPr>
        <w:rPr>
          <w:rFonts w:ascii="Calibri" w:hAnsi="Calibri" w:cs="Calibri"/>
          <w:color w:val="111111"/>
          <w:sz w:val="20"/>
          <w:szCs w:val="20"/>
        </w:rPr>
      </w:pPr>
      <w:r w:rsidRPr="003473A0">
        <w:rPr>
          <w:rFonts w:ascii="Calibri" w:hAnsi="Calibri" w:cs="Calibri"/>
          <w:color w:val="111111"/>
          <w:sz w:val="20"/>
          <w:szCs w:val="20"/>
        </w:rPr>
        <w:br w:type="page"/>
      </w:r>
    </w:p>
    <w:p w:rsidR="00F9651A" w:rsidRPr="00F9651A" w:rsidRDefault="00F9651A" w:rsidP="00F9651A">
      <w:pPr>
        <w:keepNext/>
        <w:keepLines/>
        <w:spacing w:before="240"/>
        <w:jc w:val="center"/>
        <w:outlineLvl w:val="0"/>
        <w:divId w:val="2086949799"/>
        <w:rPr>
          <w:rFonts w:ascii="Calibri" w:eastAsia="Times New Roman" w:hAnsi="Calibri" w:cs="Calibri"/>
          <w:color w:val="000000"/>
          <w:kern w:val="2"/>
          <w:sz w:val="20"/>
          <w:szCs w:val="20"/>
          <w14:ligatures w14:val="standardContextual"/>
        </w:rPr>
      </w:pPr>
      <w:r w:rsidRPr="00F9651A">
        <w:rPr>
          <w:rFonts w:ascii="Calibri" w:eastAsia="Times New Roman" w:hAnsi="Calibri" w:cs="Calibri"/>
          <w:color w:val="2F5496" w:themeColor="accent1" w:themeShade="BF"/>
          <w:kern w:val="2"/>
          <w:sz w:val="20"/>
          <w:szCs w:val="20"/>
          <w:lang w:val="en-US"/>
          <w14:ligatures w14:val="standardContextual"/>
        </w:rPr>
        <w:lastRenderedPageBreak/>
        <w:t xml:space="preserve">Management </w:t>
      </w:r>
    </w:p>
    <w:p w:rsidR="003473A0" w:rsidRPr="003473A0" w:rsidRDefault="003473A0" w:rsidP="003473A0">
      <w:pPr>
        <w:pStyle w:val="NormalWeb"/>
        <w:jc w:val="both"/>
        <w:divId w:val="2086949799"/>
        <w:rPr>
          <w:rFonts w:ascii="Calibri" w:hAnsi="Calibri" w:cs="Calibri"/>
          <w:color w:val="111111"/>
          <w:sz w:val="20"/>
          <w:szCs w:val="20"/>
        </w:rPr>
      </w:pPr>
      <w:r w:rsidRPr="003473A0">
        <w:rPr>
          <w:rFonts w:ascii="Calibri" w:hAnsi="Calibri" w:cs="Calibri"/>
          <w:color w:val="111111"/>
          <w:sz w:val="20"/>
          <w:szCs w:val="20"/>
        </w:rPr>
        <w:t>In confirmed or strongly suspected acute rheumatic fever, treat to (1) eradicate GAS, (2) control inflammation/symptoms (arthritis/carditis), (3) manage cardiac complications guided by echocardiography, (4) treat Sydenham chorea when disabling, and (5) start long</w:t>
      </w:r>
      <w:r w:rsidRPr="003473A0">
        <w:rPr>
          <w:rFonts w:ascii="Calibri" w:hAnsi="Calibri" w:cs="Calibri"/>
          <w:color w:val="111111"/>
          <w:sz w:val="20"/>
          <w:szCs w:val="20"/>
        </w:rPr>
        <w:noBreakHyphen/>
        <w:t>term secondary antibiotic prophylaxis with benzathine penicillin G (preferred) with duration determined by presence of carditis and residual valvular disease. [2]</w:t>
      </w:r>
    </w:p>
    <w:p w:rsidR="003473A0" w:rsidRPr="003473A0" w:rsidRDefault="003473A0" w:rsidP="003473A0">
      <w:pPr>
        <w:pStyle w:val="Heading2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Fonts w:ascii="Calibri" w:eastAsia="Times New Roman" w:hAnsi="Calibri" w:cs="Calibri"/>
          <w:color w:val="111111"/>
          <w:sz w:val="20"/>
          <w:szCs w:val="20"/>
        </w:rPr>
        <w:t>1) Immediate priorities (same day)</w:t>
      </w:r>
    </w:p>
    <w:p w:rsidR="003473A0" w:rsidRPr="003473A0" w:rsidRDefault="003473A0" w:rsidP="003473A0">
      <w:pPr>
        <w:pStyle w:val="Heading3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Fonts w:ascii="Calibri" w:eastAsia="Times New Roman" w:hAnsi="Calibri" w:cs="Calibri"/>
          <w:color w:val="111111"/>
          <w:sz w:val="20"/>
          <w:szCs w:val="20"/>
        </w:rPr>
        <w:t>A. Risk stratify and stabilize (highest impact if severe carditis)</w:t>
      </w:r>
    </w:p>
    <w:p w:rsidR="003473A0" w:rsidRPr="003473A0" w:rsidRDefault="003473A0" w:rsidP="003473A0">
      <w:pPr>
        <w:numPr>
          <w:ilvl w:val="0"/>
          <w:numId w:val="20"/>
        </w:numPr>
        <w:spacing w:before="100" w:beforeAutospacing="1" w:after="100" w:afterAutospacing="1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t>Echocardiography with Doppler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 xml:space="preserve"> early to define valvulitis severity and heart failure risk and to guide follow-up/prophylaxis duration (valvular disease on echo is what drives long-term risk and duration decisions) [2].</w:t>
      </w:r>
    </w:p>
    <w:p w:rsidR="003473A0" w:rsidRPr="003473A0" w:rsidRDefault="003473A0" w:rsidP="003473A0">
      <w:pPr>
        <w:numPr>
          <w:ilvl w:val="0"/>
          <w:numId w:val="20"/>
        </w:numPr>
        <w:spacing w:before="100" w:beforeAutospacing="1" w:after="100" w:afterAutospacing="1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t>Manage heart failure/pericardial complications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 xml:space="preserve"> per standard HF/pericarditis care pathways (diuretics/afterload reduction, oxygen/ventilatory support as needed) and involve cardiology early if moderate–severe regurgitation or decompensation; ACC/AHA VHD guideline emphasizes preventing recurrence to avoid worsening RHD and provides prophylaxis framework even post–valve surgery [2].</w:t>
      </w:r>
    </w:p>
    <w:p w:rsidR="003473A0" w:rsidRPr="003473A0" w:rsidRDefault="003473A0" w:rsidP="003473A0">
      <w:pPr>
        <w:pStyle w:val="Heading3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Fonts w:ascii="Calibri" w:eastAsia="Times New Roman" w:hAnsi="Calibri" w:cs="Calibri"/>
          <w:color w:val="111111"/>
          <w:sz w:val="20"/>
          <w:szCs w:val="20"/>
        </w:rPr>
        <w:t>B. Eradicate GAS (treat even if throat culture negative when ARF/SC diagnosed)</w:t>
      </w:r>
    </w:p>
    <w:p w:rsidR="003473A0" w:rsidRPr="003473A0" w:rsidRDefault="003473A0" w:rsidP="003473A0">
      <w:pPr>
        <w:numPr>
          <w:ilvl w:val="0"/>
          <w:numId w:val="21"/>
        </w:numPr>
        <w:spacing w:before="100" w:beforeAutospacing="1" w:after="100" w:afterAutospacing="1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Fonts w:ascii="Calibri" w:eastAsia="Times New Roman" w:hAnsi="Calibri" w:cs="Calibri"/>
          <w:color w:val="111111"/>
          <w:sz w:val="20"/>
          <w:szCs w:val="20"/>
        </w:rPr>
        <w:t xml:space="preserve">Antibiotics are given to </w:t>
      </w: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t>eradicate GAS and reduce transmission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>, and are recommended at ARF/SC diagnosis regardless of culture status in SC guidance [3].</w:t>
      </w:r>
    </w:p>
    <w:p w:rsidR="003473A0" w:rsidRPr="003473A0" w:rsidRDefault="003473A0" w:rsidP="003473A0">
      <w:pPr>
        <w:numPr>
          <w:ilvl w:val="0"/>
          <w:numId w:val="21"/>
        </w:numPr>
        <w:spacing w:before="100" w:beforeAutospacing="1" w:after="100" w:afterAutospacing="1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Fonts w:ascii="Calibri" w:eastAsia="Times New Roman" w:hAnsi="Calibri" w:cs="Calibri"/>
          <w:color w:val="111111"/>
          <w:sz w:val="20"/>
          <w:szCs w:val="20"/>
        </w:rPr>
        <w:t xml:space="preserve">Regimens (examples explicitly recommended for SC/ARF at diagnosis): </w:t>
      </w:r>
    </w:p>
    <w:p w:rsidR="003473A0" w:rsidRPr="003473A0" w:rsidRDefault="003473A0" w:rsidP="003473A0">
      <w:pPr>
        <w:numPr>
          <w:ilvl w:val="1"/>
          <w:numId w:val="21"/>
        </w:numPr>
        <w:spacing w:before="100" w:beforeAutospacing="1" w:after="100" w:afterAutospacing="1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t>IM benzathine benzylpenicillin G single dose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 xml:space="preserve"> (preferred when feasible) [3].</w:t>
      </w:r>
    </w:p>
    <w:p w:rsidR="003473A0" w:rsidRPr="003473A0" w:rsidRDefault="003473A0" w:rsidP="003473A0">
      <w:pPr>
        <w:numPr>
          <w:ilvl w:val="1"/>
          <w:numId w:val="21"/>
        </w:numPr>
        <w:spacing w:before="100" w:beforeAutospacing="1" w:after="100" w:afterAutospacing="1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t>Oral penicillin V or oral amoxicillin for 10 days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 xml:space="preserve"> as alternatives [3].</w:t>
      </w:r>
    </w:p>
    <w:p w:rsidR="003473A0" w:rsidRPr="003473A0" w:rsidRDefault="003473A0" w:rsidP="003473A0">
      <w:pPr>
        <w:numPr>
          <w:ilvl w:val="1"/>
          <w:numId w:val="21"/>
        </w:numPr>
        <w:spacing w:before="100" w:beforeAutospacing="1" w:after="100" w:afterAutospacing="1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t>Penicillin allergy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>: non-immediate—</w:t>
      </w: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t>1st gen cephalosporin (e.g., cephalexin) 10 days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>; immediate—</w:t>
      </w: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t>macrolide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>; clindamycin if needed [3]. (Use local dosing standards; the guideline provides pediatric dosing ranges.)</w:t>
      </w:r>
    </w:p>
    <w:p w:rsidR="003473A0" w:rsidRPr="003473A0" w:rsidRDefault="003473A0" w:rsidP="003473A0">
      <w:pPr>
        <w:pStyle w:val="Heading2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Fonts w:ascii="Calibri" w:eastAsia="Times New Roman" w:hAnsi="Calibri" w:cs="Calibri"/>
          <w:color w:val="111111"/>
          <w:sz w:val="20"/>
          <w:szCs w:val="20"/>
        </w:rPr>
        <w:t>2) Anti-inflammatory / symptomatic therapy (after diagnosis reasonably secured)</w:t>
      </w:r>
    </w:p>
    <w:p w:rsidR="003473A0" w:rsidRPr="003473A0" w:rsidRDefault="003473A0" w:rsidP="003473A0">
      <w:pPr>
        <w:numPr>
          <w:ilvl w:val="0"/>
          <w:numId w:val="22"/>
        </w:numPr>
        <w:spacing w:before="100" w:beforeAutospacing="1" w:after="100" w:afterAutospacing="1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t>Arthritis (typical driver of pain/disability):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 xml:space="preserve"> NSAIDs/aspirin are standard symptom control; Australian guideline specifically advises </w:t>
      </w: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t>withhold NSAIDs until diagnosis is confirmed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 xml:space="preserve"> to avoid masking migratory arthritis and complicating diagnostic certainty [1].</w:t>
      </w:r>
    </w:p>
    <w:p w:rsidR="003473A0" w:rsidRPr="003473A0" w:rsidRDefault="003473A0" w:rsidP="003473A0">
      <w:pPr>
        <w:numPr>
          <w:ilvl w:val="0"/>
          <w:numId w:val="22"/>
        </w:numPr>
        <w:spacing w:before="100" w:beforeAutospacing="1" w:after="100" w:afterAutospacing="1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t>Carditis: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 xml:space="preserve"> </w:t>
      </w:r>
    </w:p>
    <w:p w:rsidR="003473A0" w:rsidRPr="003473A0" w:rsidRDefault="003473A0" w:rsidP="003473A0">
      <w:pPr>
        <w:numPr>
          <w:ilvl w:val="1"/>
          <w:numId w:val="22"/>
        </w:numPr>
        <w:spacing w:before="100" w:beforeAutospacing="1" w:after="100" w:afterAutospacing="1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Fonts w:ascii="Calibri" w:eastAsia="Times New Roman" w:hAnsi="Calibri" w:cs="Calibri"/>
          <w:color w:val="111111"/>
          <w:sz w:val="20"/>
          <w:szCs w:val="20"/>
        </w:rPr>
        <w:t xml:space="preserve">For </w:t>
      </w: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t>mild carditis without heart failure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>, anti-inflammatory therapy is mainly symptomatic; it does not replace HF management.</w:t>
      </w:r>
    </w:p>
    <w:p w:rsidR="003473A0" w:rsidRPr="003473A0" w:rsidRDefault="003473A0" w:rsidP="003473A0">
      <w:pPr>
        <w:numPr>
          <w:ilvl w:val="1"/>
          <w:numId w:val="22"/>
        </w:numPr>
        <w:spacing w:before="100" w:beforeAutospacing="1" w:after="100" w:afterAutospacing="1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t>Corticosteroids may be considered in severe acute carditis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 xml:space="preserve"> (e.g., significant valvular regurgitation/heart failure), per Australian guidance [1]. (Evidence quality for steroids in carditis is limited; use is typically reserved for severe disease.)</w:t>
      </w:r>
    </w:p>
    <w:p w:rsidR="003473A0" w:rsidRPr="003473A0" w:rsidRDefault="003473A0" w:rsidP="003473A0">
      <w:pPr>
        <w:pStyle w:val="Heading2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Fonts w:ascii="Calibri" w:eastAsia="Times New Roman" w:hAnsi="Calibri" w:cs="Calibri"/>
          <w:color w:val="111111"/>
          <w:sz w:val="20"/>
          <w:szCs w:val="20"/>
        </w:rPr>
        <w:t>3) Sydenham chorea management (if present)</w:t>
      </w:r>
    </w:p>
    <w:p w:rsidR="003473A0" w:rsidRPr="003473A0" w:rsidRDefault="003473A0" w:rsidP="003473A0">
      <w:pPr>
        <w:pStyle w:val="Heading3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Fonts w:ascii="Calibri" w:eastAsia="Times New Roman" w:hAnsi="Calibri" w:cs="Calibri"/>
          <w:color w:val="111111"/>
          <w:sz w:val="20"/>
          <w:szCs w:val="20"/>
        </w:rPr>
        <w:t>A. Core measures (all severities)</w:t>
      </w:r>
    </w:p>
    <w:p w:rsidR="003473A0" w:rsidRPr="003473A0" w:rsidRDefault="003473A0" w:rsidP="003473A0">
      <w:pPr>
        <w:numPr>
          <w:ilvl w:val="0"/>
          <w:numId w:val="23"/>
        </w:numPr>
        <w:spacing w:before="100" w:beforeAutospacing="1" w:after="100" w:afterAutospacing="1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Fonts w:ascii="Calibri" w:eastAsia="Times New Roman" w:hAnsi="Calibri" w:cs="Calibri"/>
          <w:color w:val="111111"/>
          <w:sz w:val="20"/>
          <w:szCs w:val="20"/>
        </w:rPr>
        <w:t>Provide safety/functional supports (school accommodations; PT/OT/speech/rehab as needed) per consensus recommendations [3].</w:t>
      </w:r>
    </w:p>
    <w:p w:rsidR="003473A0" w:rsidRPr="003473A0" w:rsidRDefault="003473A0" w:rsidP="003473A0">
      <w:pPr>
        <w:numPr>
          <w:ilvl w:val="0"/>
          <w:numId w:val="23"/>
        </w:numPr>
        <w:spacing w:before="100" w:beforeAutospacing="1" w:after="100" w:afterAutospacing="1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t>Antibiotic eradication therapy at diagnosis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 xml:space="preserve"> and </w:t>
      </w: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t>long-term secondary prophylaxis for all SC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 xml:space="preserve"> (even without carditis) [3].</w:t>
      </w:r>
    </w:p>
    <w:p w:rsidR="003473A0" w:rsidRPr="003473A0" w:rsidRDefault="003473A0" w:rsidP="003473A0">
      <w:pPr>
        <w:pStyle w:val="Heading3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Fonts w:ascii="Calibri" w:eastAsia="Times New Roman" w:hAnsi="Calibri" w:cs="Calibri"/>
          <w:color w:val="111111"/>
          <w:sz w:val="20"/>
          <w:szCs w:val="20"/>
        </w:rPr>
        <w:t>B. Immunotherapy (severity-based)</w:t>
      </w:r>
    </w:p>
    <w:p w:rsidR="003473A0" w:rsidRPr="003473A0" w:rsidRDefault="003473A0" w:rsidP="003473A0">
      <w:pPr>
        <w:numPr>
          <w:ilvl w:val="0"/>
          <w:numId w:val="24"/>
        </w:numPr>
        <w:spacing w:before="100" w:beforeAutospacing="1" w:after="100" w:afterAutospacing="1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t>Mild SC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>: may not require immunotherapy [3].</w:t>
      </w:r>
    </w:p>
    <w:p w:rsidR="003473A0" w:rsidRPr="003473A0" w:rsidRDefault="003473A0" w:rsidP="003473A0">
      <w:pPr>
        <w:numPr>
          <w:ilvl w:val="0"/>
          <w:numId w:val="24"/>
        </w:numPr>
        <w:spacing w:before="100" w:beforeAutospacing="1" w:after="100" w:afterAutospacing="1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t>Moderate–severe SC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 xml:space="preserve">: offer </w:t>
      </w: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t>corticosteroids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>; guideline notes evidence suggests shorter duration and possibly reduced relapse risk, but overall evidence base is limited (small RCT + observational data) [3].</w:t>
      </w:r>
    </w:p>
    <w:p w:rsidR="003473A0" w:rsidRPr="003473A0" w:rsidRDefault="003473A0" w:rsidP="003473A0">
      <w:pPr>
        <w:numPr>
          <w:ilvl w:val="0"/>
          <w:numId w:val="24"/>
        </w:numPr>
        <w:spacing w:before="100" w:beforeAutospacing="1" w:after="100" w:afterAutospacing="1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lastRenderedPageBreak/>
        <w:t>Inadequate recovery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 xml:space="preserve">: consider </w:t>
      </w: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t>IVIG or plasma exchange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 xml:space="preserve"> [3].</w:t>
      </w:r>
    </w:p>
    <w:p w:rsidR="003473A0" w:rsidRPr="003473A0" w:rsidRDefault="003473A0" w:rsidP="003473A0">
      <w:pPr>
        <w:pStyle w:val="Heading3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Fonts w:ascii="Calibri" w:eastAsia="Times New Roman" w:hAnsi="Calibri" w:cs="Calibri"/>
          <w:color w:val="111111"/>
          <w:sz w:val="20"/>
          <w:szCs w:val="20"/>
        </w:rPr>
        <w:t>C. Symptomatic pharmacotherapy (when movements cause disability/injury)</w:t>
      </w:r>
    </w:p>
    <w:p w:rsidR="003473A0" w:rsidRPr="003473A0" w:rsidRDefault="003473A0" w:rsidP="003473A0">
      <w:pPr>
        <w:numPr>
          <w:ilvl w:val="0"/>
          <w:numId w:val="25"/>
        </w:numPr>
        <w:spacing w:before="100" w:beforeAutospacing="1" w:after="100" w:afterAutospacing="1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Fonts w:ascii="Calibri" w:eastAsia="Times New Roman" w:hAnsi="Calibri" w:cs="Calibri"/>
          <w:color w:val="111111"/>
          <w:sz w:val="20"/>
          <w:szCs w:val="20"/>
        </w:rPr>
        <w:t xml:space="preserve">Many chorea cases do not require medication; if needed, Australian guideline recommends </w:t>
      </w: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t>carbamazepine or sodium valproate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 xml:space="preserve"> [1]. (Use neuro/paeds guidance for agent selection and dosing; monitor sedation, hepatic effects, and interactions.)</w:t>
      </w:r>
    </w:p>
    <w:p w:rsidR="003473A0" w:rsidRPr="003473A0" w:rsidRDefault="003473A0" w:rsidP="003473A0">
      <w:pPr>
        <w:pStyle w:val="Heading2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Fonts w:ascii="Calibri" w:eastAsia="Times New Roman" w:hAnsi="Calibri" w:cs="Calibri"/>
          <w:color w:val="111111"/>
          <w:sz w:val="20"/>
          <w:szCs w:val="20"/>
        </w:rPr>
        <w:t>4) Secondary prophylaxis (most important long-term intervention)</w:t>
      </w:r>
    </w:p>
    <w:p w:rsidR="003473A0" w:rsidRPr="003473A0" w:rsidRDefault="003473A0" w:rsidP="003473A0">
      <w:pPr>
        <w:numPr>
          <w:ilvl w:val="0"/>
          <w:numId w:val="26"/>
        </w:numPr>
        <w:spacing w:before="100" w:beforeAutospacing="1" w:after="100" w:afterAutospacing="1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Fonts w:ascii="Calibri" w:eastAsia="Times New Roman" w:hAnsi="Calibri" w:cs="Calibri"/>
          <w:color w:val="111111"/>
          <w:sz w:val="20"/>
          <w:szCs w:val="20"/>
        </w:rPr>
        <w:t xml:space="preserve">Start </w:t>
      </w: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t>continuous secondary antistreptococcal prophylaxis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 xml:space="preserve"> once ARF is diagnosed (or SC diagnosed) to prevent recurrences that worsen RHD; ACC/AHA emphasizes recurrence can occur even when symptomatic pharyngitis is treated—prophylaxis is required [2].</w:t>
      </w:r>
    </w:p>
    <w:p w:rsidR="003473A0" w:rsidRPr="003473A0" w:rsidRDefault="003473A0" w:rsidP="003473A0">
      <w:pPr>
        <w:numPr>
          <w:ilvl w:val="0"/>
          <w:numId w:val="26"/>
        </w:numPr>
        <w:spacing w:before="100" w:beforeAutospacing="1" w:after="100" w:afterAutospacing="1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t>Preferred regimen: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 xml:space="preserve"> </w:t>
      </w: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t>benzathine penicillin G 1.2 million units IM every 4 weeks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 xml:space="preserve">; </w:t>
      </w: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t>every 3 weeks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 xml:space="preserve"> in certain high-risk situations or breakthrough infections despite adherence [2].</w:t>
      </w:r>
    </w:p>
    <w:p w:rsidR="003473A0" w:rsidRPr="003473A0" w:rsidRDefault="003473A0" w:rsidP="003473A0">
      <w:pPr>
        <w:numPr>
          <w:ilvl w:val="0"/>
          <w:numId w:val="26"/>
        </w:numPr>
        <w:spacing w:before="100" w:beforeAutospacing="1" w:after="100" w:afterAutospacing="1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t>Alternatives: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 xml:space="preserve"> oral penicillin V, sulfadiazine, or macrolide/azalide in select allergies/intolerance [2].</w:t>
      </w:r>
    </w:p>
    <w:p w:rsidR="003473A0" w:rsidRPr="003473A0" w:rsidRDefault="003473A0" w:rsidP="003473A0">
      <w:pPr>
        <w:numPr>
          <w:ilvl w:val="0"/>
          <w:numId w:val="26"/>
        </w:numPr>
        <w:spacing w:before="100" w:beforeAutospacing="1" w:after="100" w:afterAutospacing="1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t>Duration (ACC/AHA framework; based on echo/clinical evidence of valvular disease):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 xml:space="preserve"> </w:t>
      </w:r>
    </w:p>
    <w:p w:rsidR="003473A0" w:rsidRPr="003473A0" w:rsidRDefault="003473A0" w:rsidP="003473A0">
      <w:pPr>
        <w:numPr>
          <w:ilvl w:val="1"/>
          <w:numId w:val="26"/>
        </w:numPr>
        <w:spacing w:before="100" w:beforeAutospacing="1" w:after="100" w:afterAutospacing="1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t>No carditis: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 xml:space="preserve"> </w:t>
      </w: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t>5 years or until age 21 (whichever longer)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 xml:space="preserve"> [2].</w:t>
      </w:r>
    </w:p>
    <w:p w:rsidR="003473A0" w:rsidRPr="003473A0" w:rsidRDefault="003473A0" w:rsidP="003473A0">
      <w:pPr>
        <w:numPr>
          <w:ilvl w:val="1"/>
          <w:numId w:val="26"/>
        </w:numPr>
        <w:spacing w:before="100" w:beforeAutospacing="1" w:after="100" w:afterAutospacing="1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t>Carditis, no residual valvular disease: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 xml:space="preserve"> </w:t>
      </w: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t>10 years or until age 21 (whichever longer)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 xml:space="preserve"> [2].</w:t>
      </w:r>
    </w:p>
    <w:p w:rsidR="003473A0" w:rsidRPr="003473A0" w:rsidRDefault="003473A0" w:rsidP="003473A0">
      <w:pPr>
        <w:numPr>
          <w:ilvl w:val="1"/>
          <w:numId w:val="26"/>
        </w:numPr>
        <w:spacing w:before="100" w:beforeAutospacing="1" w:after="100" w:afterAutospacing="1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t>Carditis with residual valvular disease: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 xml:space="preserve"> </w:t>
      </w: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t>10 years or until age 40 (whichever longer)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>; lifelong may be appropriate if high ongoing GAS exposure risk [2].</w:t>
      </w:r>
    </w:p>
    <w:p w:rsidR="003473A0" w:rsidRPr="003473A0" w:rsidRDefault="003473A0" w:rsidP="003473A0">
      <w:pPr>
        <w:numPr>
          <w:ilvl w:val="1"/>
          <w:numId w:val="26"/>
        </w:numPr>
        <w:spacing w:before="100" w:beforeAutospacing="1" w:after="100" w:afterAutospacing="1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Fonts w:ascii="Calibri" w:eastAsia="Times New Roman" w:hAnsi="Calibri" w:cs="Calibri"/>
          <w:color w:val="111111"/>
          <w:sz w:val="20"/>
          <w:szCs w:val="20"/>
        </w:rPr>
        <w:t xml:space="preserve">Prophylaxis is required </w:t>
      </w: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t>even after valve replacement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 xml:space="preserve"> [2].</w:t>
      </w:r>
    </w:p>
    <w:p w:rsidR="003473A0" w:rsidRPr="003473A0" w:rsidRDefault="003473A0" w:rsidP="003473A0">
      <w:pPr>
        <w:numPr>
          <w:ilvl w:val="0"/>
          <w:numId w:val="26"/>
        </w:numPr>
        <w:spacing w:before="100" w:beforeAutospacing="1" w:after="100" w:afterAutospacing="1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t>Adherence/pain minimization for IM injections: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 xml:space="preserve"> SC consensus recommends systematic pain/distress reduction strategies; adding local anesthetic to benzathine penicillin may improve tolerability and adherence [3].</w:t>
      </w:r>
    </w:p>
    <w:p w:rsidR="003473A0" w:rsidRPr="003473A0" w:rsidRDefault="003473A0" w:rsidP="003473A0">
      <w:pPr>
        <w:pStyle w:val="Heading2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Fonts w:ascii="Calibri" w:eastAsia="Times New Roman" w:hAnsi="Calibri" w:cs="Calibri"/>
          <w:color w:val="111111"/>
          <w:sz w:val="20"/>
          <w:szCs w:val="20"/>
        </w:rPr>
        <w:t>5) Follow-up and documentation (to prevent progression to RHD)</w:t>
      </w:r>
    </w:p>
    <w:p w:rsidR="003473A0" w:rsidRPr="003473A0" w:rsidRDefault="003473A0" w:rsidP="003473A0">
      <w:pPr>
        <w:numPr>
          <w:ilvl w:val="0"/>
          <w:numId w:val="27"/>
        </w:numPr>
        <w:spacing w:before="100" w:beforeAutospacing="1" w:after="100" w:afterAutospacing="1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Fonts w:ascii="Calibri" w:eastAsia="Times New Roman" w:hAnsi="Calibri" w:cs="Calibri"/>
          <w:color w:val="111111"/>
          <w:sz w:val="20"/>
          <w:szCs w:val="20"/>
        </w:rPr>
        <w:t xml:space="preserve">Document: ARF episode date, Jones manifestations, GAS evidence, </w:t>
      </w: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t>baseline echo findings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>, secondary prophylaxis plan (agent/interval/duration), and follow-up echo schedule; Australian guidance emphasizes structured care plans and coordinated programs in high-burden settings [4].</w:t>
      </w:r>
    </w:p>
    <w:p w:rsidR="003473A0" w:rsidRPr="003473A0" w:rsidRDefault="003473A0" w:rsidP="003473A0">
      <w:pPr>
        <w:numPr>
          <w:ilvl w:val="0"/>
          <w:numId w:val="27"/>
        </w:numPr>
        <w:spacing w:before="100" w:beforeAutospacing="1" w:after="100" w:afterAutospacing="1"/>
        <w:jc w:val="both"/>
        <w:divId w:val="2086949799"/>
        <w:rPr>
          <w:rFonts w:ascii="Calibri" w:eastAsia="Times New Roman" w:hAnsi="Calibri" w:cs="Calibri"/>
          <w:color w:val="111111"/>
          <w:sz w:val="20"/>
          <w:szCs w:val="20"/>
        </w:rPr>
      </w:pPr>
      <w:r w:rsidRPr="003473A0">
        <w:rPr>
          <w:rFonts w:ascii="Calibri" w:eastAsia="Times New Roman" w:hAnsi="Calibri" w:cs="Calibri"/>
          <w:color w:val="111111"/>
          <w:sz w:val="20"/>
          <w:szCs w:val="20"/>
        </w:rPr>
        <w:t xml:space="preserve">Cardiology follow-up intensity is driven by </w:t>
      </w:r>
      <w:r w:rsidRPr="003473A0">
        <w:rPr>
          <w:rStyle w:val="Strong"/>
          <w:rFonts w:ascii="Calibri" w:eastAsia="Times New Roman" w:hAnsi="Calibri" w:cs="Calibri"/>
          <w:color w:val="111111"/>
          <w:sz w:val="20"/>
          <w:szCs w:val="20"/>
        </w:rPr>
        <w:t>valve lesion severity</w:t>
      </w:r>
      <w:r w:rsidRPr="003473A0">
        <w:rPr>
          <w:rFonts w:ascii="Calibri" w:eastAsia="Times New Roman" w:hAnsi="Calibri" w:cs="Calibri"/>
          <w:color w:val="111111"/>
          <w:sz w:val="20"/>
          <w:szCs w:val="20"/>
        </w:rPr>
        <w:t xml:space="preserve"> and symptoms; the VHD guideline framework is used for timing of interventions if chronic rheumatic valve disease evolves [2].</w:t>
      </w:r>
    </w:p>
    <w:p w:rsidR="003473A0" w:rsidRPr="003473A0" w:rsidRDefault="003473A0" w:rsidP="003473A0">
      <w:pPr>
        <w:pStyle w:val="NormalWeb"/>
        <w:jc w:val="both"/>
        <w:divId w:val="2086949799"/>
        <w:rPr>
          <w:rFonts w:ascii="Calibri" w:hAnsi="Calibri" w:cs="Calibri"/>
          <w:color w:val="111111"/>
          <w:sz w:val="20"/>
          <w:szCs w:val="20"/>
        </w:rPr>
      </w:pPr>
      <w:r w:rsidRPr="003473A0">
        <w:rPr>
          <w:rStyle w:val="Strong"/>
          <w:rFonts w:ascii="Calibri" w:hAnsi="Calibri" w:cs="Calibri"/>
          <w:color w:val="111111"/>
          <w:sz w:val="20"/>
          <w:szCs w:val="20"/>
        </w:rPr>
        <w:t>References:</w:t>
      </w:r>
    </w:p>
    <w:p w:rsidR="003473A0" w:rsidRPr="003473A0" w:rsidRDefault="003473A0" w:rsidP="003473A0">
      <w:pPr>
        <w:pStyle w:val="NormalWeb"/>
        <w:jc w:val="both"/>
        <w:divId w:val="2086949799"/>
        <w:rPr>
          <w:rFonts w:ascii="Calibri" w:hAnsi="Calibri" w:cs="Calibri"/>
          <w:color w:val="111111"/>
          <w:sz w:val="20"/>
          <w:szCs w:val="20"/>
        </w:rPr>
      </w:pPr>
      <w:r w:rsidRPr="003473A0">
        <w:rPr>
          <w:rFonts w:ascii="Calibri" w:hAnsi="Calibri" w:cs="Calibri"/>
          <w:color w:val="111111"/>
          <w:sz w:val="20"/>
          <w:szCs w:val="20"/>
        </w:rPr>
        <w:t xml:space="preserve">1. </w:t>
      </w:r>
      <w:hyperlink r:id="rId21" w:history="1">
        <w:r w:rsidRPr="003473A0">
          <w:rPr>
            <w:rStyle w:val="Hyperlink"/>
            <w:rFonts w:ascii="Calibri" w:hAnsi="Calibri" w:cs="Calibri"/>
            <w:sz w:val="20"/>
            <w:szCs w:val="20"/>
          </w:rPr>
          <w:t>2020 ACC/AHA Guideline for the Management of Patients With Valvular Heart Disease: A Report of the American College of Cardiology/American Heart Association Joint Committee on Clinical Practice Guidelines</w:t>
        </w:r>
      </w:hyperlink>
      <w:r w:rsidRPr="003473A0">
        <w:rPr>
          <w:rFonts w:ascii="Calibri" w:hAnsi="Calibri" w:cs="Calibri"/>
          <w:color w:val="111111"/>
          <w:sz w:val="20"/>
          <w:szCs w:val="20"/>
        </w:rPr>
        <w:t xml:space="preserve"> Circulation. 2020. DOI: 10.1161/cir.0000000000000923</w:t>
      </w:r>
    </w:p>
    <w:p w:rsidR="003473A0" w:rsidRPr="003473A0" w:rsidRDefault="003473A0" w:rsidP="003473A0">
      <w:pPr>
        <w:pStyle w:val="NormalWeb"/>
        <w:jc w:val="both"/>
        <w:divId w:val="2086949799"/>
        <w:rPr>
          <w:rFonts w:ascii="Calibri" w:hAnsi="Calibri" w:cs="Calibri"/>
          <w:color w:val="111111"/>
          <w:sz w:val="20"/>
          <w:szCs w:val="20"/>
        </w:rPr>
      </w:pPr>
      <w:r w:rsidRPr="003473A0">
        <w:rPr>
          <w:rFonts w:ascii="Calibri" w:hAnsi="Calibri" w:cs="Calibri"/>
          <w:color w:val="111111"/>
          <w:sz w:val="20"/>
          <w:szCs w:val="20"/>
        </w:rPr>
        <w:t xml:space="preserve">2. </w:t>
      </w:r>
      <w:hyperlink r:id="rId22" w:history="1">
        <w:r w:rsidRPr="003473A0">
          <w:rPr>
            <w:rStyle w:val="Hyperlink"/>
            <w:rFonts w:ascii="Calibri" w:hAnsi="Calibri" w:cs="Calibri"/>
            <w:sz w:val="20"/>
            <w:szCs w:val="20"/>
          </w:rPr>
          <w:t>Evaluation, Diagnosis, and Treatment of Sydenham Chorea: Consensus Guidelines</w:t>
        </w:r>
      </w:hyperlink>
      <w:r w:rsidRPr="003473A0">
        <w:rPr>
          <w:rFonts w:ascii="Calibri" w:hAnsi="Calibri" w:cs="Calibri"/>
          <w:color w:val="111111"/>
          <w:sz w:val="20"/>
          <w:szCs w:val="20"/>
        </w:rPr>
        <w:t xml:space="preserve"> PEDIATRICS. 2025. DOI: 10.1542/peds.2025-072466</w:t>
      </w:r>
    </w:p>
    <w:p w:rsidR="003473A0" w:rsidRPr="003473A0" w:rsidRDefault="003473A0" w:rsidP="003473A0">
      <w:pPr>
        <w:pStyle w:val="NormalWeb"/>
        <w:jc w:val="both"/>
        <w:divId w:val="2086949799"/>
        <w:rPr>
          <w:rFonts w:ascii="Calibri" w:hAnsi="Calibri" w:cs="Calibri"/>
          <w:color w:val="111111"/>
          <w:sz w:val="20"/>
          <w:szCs w:val="20"/>
        </w:rPr>
      </w:pPr>
      <w:r w:rsidRPr="003473A0">
        <w:rPr>
          <w:rFonts w:ascii="Calibri" w:hAnsi="Calibri" w:cs="Calibri"/>
          <w:color w:val="111111"/>
          <w:sz w:val="20"/>
          <w:szCs w:val="20"/>
        </w:rPr>
        <w:t xml:space="preserve">3. </w:t>
      </w:r>
      <w:hyperlink r:id="rId23" w:history="1">
        <w:r w:rsidRPr="003473A0">
          <w:rPr>
            <w:rStyle w:val="Hyperlink"/>
            <w:rFonts w:ascii="Calibri" w:hAnsi="Calibri" w:cs="Calibri"/>
            <w:sz w:val="20"/>
            <w:szCs w:val="20"/>
          </w:rPr>
          <w:t>An Australian guideline for rheumatic fever and rheumatic heart disease: an abridged outline</w:t>
        </w:r>
      </w:hyperlink>
      <w:r w:rsidRPr="003473A0">
        <w:rPr>
          <w:rFonts w:ascii="Calibri" w:hAnsi="Calibri" w:cs="Calibri"/>
          <w:color w:val="111111"/>
          <w:sz w:val="20"/>
          <w:szCs w:val="20"/>
        </w:rPr>
        <w:t xml:space="preserve"> The Medical Journal of Australia. 2007. DOI: 10.5694/j.1326-5377.2007.tb01059.x</w:t>
      </w:r>
    </w:p>
    <w:p w:rsidR="003473A0" w:rsidRPr="003473A0" w:rsidRDefault="003473A0" w:rsidP="003473A0">
      <w:pPr>
        <w:pStyle w:val="NormalWeb"/>
        <w:jc w:val="both"/>
        <w:divId w:val="2086949799"/>
        <w:rPr>
          <w:rFonts w:ascii="Calibri" w:hAnsi="Calibri" w:cs="Calibri"/>
          <w:color w:val="111111"/>
          <w:sz w:val="20"/>
          <w:szCs w:val="20"/>
        </w:rPr>
      </w:pPr>
      <w:r w:rsidRPr="003473A0">
        <w:rPr>
          <w:rFonts w:ascii="Calibri" w:hAnsi="Calibri" w:cs="Calibri"/>
          <w:color w:val="111111"/>
          <w:sz w:val="20"/>
          <w:szCs w:val="20"/>
        </w:rPr>
        <w:t xml:space="preserve">4. </w:t>
      </w:r>
      <w:hyperlink r:id="rId24" w:history="1">
        <w:r w:rsidRPr="003473A0">
          <w:rPr>
            <w:rStyle w:val="Hyperlink"/>
            <w:rFonts w:ascii="Calibri" w:hAnsi="Calibri" w:cs="Calibri"/>
            <w:sz w:val="20"/>
            <w:szCs w:val="20"/>
          </w:rPr>
          <w:t>The 2020 Australian guideline for prevention, diagnosis and management of acute rheumatic fever and rheumatic heart disease</w:t>
        </w:r>
      </w:hyperlink>
      <w:r w:rsidRPr="003473A0">
        <w:rPr>
          <w:rFonts w:ascii="Calibri" w:hAnsi="Calibri" w:cs="Calibri"/>
          <w:color w:val="111111"/>
          <w:sz w:val="20"/>
          <w:szCs w:val="20"/>
        </w:rPr>
        <w:t xml:space="preserve"> The Medical Journal of Australia. 2020. DOI: 10.5694/mja2.50851</w:t>
      </w:r>
    </w:p>
    <w:p w:rsidR="003F68FB" w:rsidRPr="003473A0" w:rsidRDefault="003F68FB" w:rsidP="003473A0">
      <w:pPr>
        <w:pStyle w:val="NormalWeb"/>
        <w:jc w:val="both"/>
        <w:divId w:val="2086949799"/>
        <w:rPr>
          <w:rFonts w:ascii="Calibri" w:hAnsi="Calibri" w:cs="Calibri"/>
          <w:color w:val="111111"/>
          <w:sz w:val="20"/>
          <w:szCs w:val="20"/>
        </w:rPr>
      </w:pPr>
    </w:p>
    <w:p w:rsidR="00AA0D04" w:rsidRPr="003473A0" w:rsidRDefault="00AA0D04" w:rsidP="003473A0">
      <w:pPr>
        <w:pStyle w:val="NormalWeb"/>
        <w:jc w:val="both"/>
        <w:divId w:val="2086949799"/>
        <w:rPr>
          <w:rFonts w:ascii="Calibri" w:hAnsi="Calibri" w:cs="Calibri"/>
          <w:color w:val="111111"/>
          <w:sz w:val="20"/>
          <w:szCs w:val="20"/>
        </w:rPr>
      </w:pPr>
    </w:p>
    <w:sectPr w:rsidR="00AA0D04" w:rsidRPr="00347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6109B"/>
    <w:multiLevelType w:val="multilevel"/>
    <w:tmpl w:val="6226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E1104"/>
    <w:multiLevelType w:val="multilevel"/>
    <w:tmpl w:val="D9427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E66031"/>
    <w:multiLevelType w:val="multilevel"/>
    <w:tmpl w:val="0C487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9493D"/>
    <w:multiLevelType w:val="multilevel"/>
    <w:tmpl w:val="D57A4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4D39A1"/>
    <w:multiLevelType w:val="multilevel"/>
    <w:tmpl w:val="4D7A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513CE2"/>
    <w:multiLevelType w:val="multilevel"/>
    <w:tmpl w:val="F096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8A3B90"/>
    <w:multiLevelType w:val="multilevel"/>
    <w:tmpl w:val="644C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E21501"/>
    <w:multiLevelType w:val="multilevel"/>
    <w:tmpl w:val="D6F4C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2D7D82"/>
    <w:multiLevelType w:val="multilevel"/>
    <w:tmpl w:val="8C50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4D4641"/>
    <w:multiLevelType w:val="multilevel"/>
    <w:tmpl w:val="DD2EE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E2637B"/>
    <w:multiLevelType w:val="multilevel"/>
    <w:tmpl w:val="8982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94665D"/>
    <w:multiLevelType w:val="multilevel"/>
    <w:tmpl w:val="93FCB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841546"/>
    <w:multiLevelType w:val="multilevel"/>
    <w:tmpl w:val="B444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4B0D3C"/>
    <w:multiLevelType w:val="multilevel"/>
    <w:tmpl w:val="DD20D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5330D2"/>
    <w:multiLevelType w:val="multilevel"/>
    <w:tmpl w:val="44A0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542000"/>
    <w:multiLevelType w:val="multilevel"/>
    <w:tmpl w:val="96F49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CE73A1"/>
    <w:multiLevelType w:val="multilevel"/>
    <w:tmpl w:val="6132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C537C8"/>
    <w:multiLevelType w:val="multilevel"/>
    <w:tmpl w:val="7A40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152FAD"/>
    <w:multiLevelType w:val="multilevel"/>
    <w:tmpl w:val="7FAEA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BA4192"/>
    <w:multiLevelType w:val="multilevel"/>
    <w:tmpl w:val="5B4E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CE4D81"/>
    <w:multiLevelType w:val="multilevel"/>
    <w:tmpl w:val="25BE4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2F5CFB"/>
    <w:multiLevelType w:val="multilevel"/>
    <w:tmpl w:val="84C29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A82C6D"/>
    <w:multiLevelType w:val="multilevel"/>
    <w:tmpl w:val="02083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BC570D"/>
    <w:multiLevelType w:val="multilevel"/>
    <w:tmpl w:val="B82A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231A60"/>
    <w:multiLevelType w:val="multilevel"/>
    <w:tmpl w:val="0E90F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7C4982"/>
    <w:multiLevelType w:val="multilevel"/>
    <w:tmpl w:val="77EE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2541CA"/>
    <w:multiLevelType w:val="multilevel"/>
    <w:tmpl w:val="5372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2897316">
    <w:abstractNumId w:val="17"/>
  </w:num>
  <w:num w:numId="2" w16cid:durableId="1909876249">
    <w:abstractNumId w:val="26"/>
  </w:num>
  <w:num w:numId="3" w16cid:durableId="1621188128">
    <w:abstractNumId w:val="6"/>
  </w:num>
  <w:num w:numId="4" w16cid:durableId="784470602">
    <w:abstractNumId w:val="9"/>
  </w:num>
  <w:num w:numId="5" w16cid:durableId="1677148768">
    <w:abstractNumId w:val="22"/>
  </w:num>
  <w:num w:numId="6" w16cid:durableId="286740984">
    <w:abstractNumId w:val="7"/>
  </w:num>
  <w:num w:numId="7" w16cid:durableId="802892080">
    <w:abstractNumId w:val="13"/>
  </w:num>
  <w:num w:numId="8" w16cid:durableId="112481574">
    <w:abstractNumId w:val="16"/>
  </w:num>
  <w:num w:numId="9" w16cid:durableId="126819672">
    <w:abstractNumId w:val="21"/>
  </w:num>
  <w:num w:numId="10" w16cid:durableId="730810087">
    <w:abstractNumId w:val="10"/>
  </w:num>
  <w:num w:numId="11" w16cid:durableId="1545949514">
    <w:abstractNumId w:val="14"/>
  </w:num>
  <w:num w:numId="12" w16cid:durableId="384454130">
    <w:abstractNumId w:val="15"/>
  </w:num>
  <w:num w:numId="13" w16cid:durableId="777216719">
    <w:abstractNumId w:val="25"/>
  </w:num>
  <w:num w:numId="14" w16cid:durableId="283728883">
    <w:abstractNumId w:val="19"/>
  </w:num>
  <w:num w:numId="15" w16cid:durableId="1835338866">
    <w:abstractNumId w:val="11"/>
  </w:num>
  <w:num w:numId="16" w16cid:durableId="1177889845">
    <w:abstractNumId w:val="1"/>
  </w:num>
  <w:num w:numId="17" w16cid:durableId="2038575666">
    <w:abstractNumId w:val="5"/>
  </w:num>
  <w:num w:numId="18" w16cid:durableId="1792742534">
    <w:abstractNumId w:val="3"/>
  </w:num>
  <w:num w:numId="19" w16cid:durableId="24139281">
    <w:abstractNumId w:val="2"/>
  </w:num>
  <w:num w:numId="20" w16cid:durableId="1370227071">
    <w:abstractNumId w:val="24"/>
  </w:num>
  <w:num w:numId="21" w16cid:durableId="797643691">
    <w:abstractNumId w:val="0"/>
  </w:num>
  <w:num w:numId="22" w16cid:durableId="816923507">
    <w:abstractNumId w:val="12"/>
  </w:num>
  <w:num w:numId="23" w16cid:durableId="37248310">
    <w:abstractNumId w:val="20"/>
  </w:num>
  <w:num w:numId="24" w16cid:durableId="803160129">
    <w:abstractNumId w:val="4"/>
  </w:num>
  <w:num w:numId="25" w16cid:durableId="241991057">
    <w:abstractNumId w:val="8"/>
  </w:num>
  <w:num w:numId="26" w16cid:durableId="374426280">
    <w:abstractNumId w:val="23"/>
  </w:num>
  <w:num w:numId="27" w16cid:durableId="159982789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8FB"/>
    <w:rsid w:val="003375EB"/>
    <w:rsid w:val="003473A0"/>
    <w:rsid w:val="003F68FB"/>
    <w:rsid w:val="00940BDD"/>
    <w:rsid w:val="00AA0D04"/>
    <w:rsid w:val="00E42022"/>
    <w:rsid w:val="00F96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1EAADD"/>
  <w15:chartTrackingRefBased/>
  <w15:docId w15:val="{14987A24-7B99-FE45-83C9-C01743B84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TZ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270" w:after="120"/>
      <w:outlineLvl w:val="0"/>
    </w:pPr>
    <w:rPr>
      <w:b/>
      <w:bCs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spacing w:before="24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spacing w:before="210" w:after="9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link w:val="Heading4Char"/>
    <w:uiPriority w:val="9"/>
    <w:qFormat/>
    <w:pPr>
      <w:spacing w:before="180" w:after="90"/>
      <w:outlineLvl w:val="3"/>
    </w:pPr>
    <w:rPr>
      <w:b/>
      <w:bCs/>
    </w:rPr>
  </w:style>
  <w:style w:type="paragraph" w:styleId="Heading5">
    <w:name w:val="heading 5"/>
    <w:basedOn w:val="Normal"/>
    <w:link w:val="Heading5Char"/>
    <w:uiPriority w:val="9"/>
    <w:qFormat/>
    <w:pPr>
      <w:spacing w:before="180" w:after="90"/>
      <w:outlineLvl w:val="4"/>
    </w:pPr>
    <w:rPr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pPr>
      <w:spacing w:before="180" w:after="90"/>
      <w:outlineLvl w:val="5"/>
    </w:pPr>
    <w:rPr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1A0DAB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1A0DAB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Menlo" w:eastAsiaTheme="minorEastAsia" w:hAnsi="Menlo" w:cs="Menlo" w:hint="default"/>
      <w:sz w:val="20"/>
      <w:szCs w:val="20"/>
      <w:shd w:val="clear" w:color="auto" w:fill="F6F8FA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hd w:val="clear" w:color="auto" w:fill="F6F8F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 w:cs="Consolas"/>
    </w:rPr>
  </w:style>
  <w:style w:type="paragraph" w:customStyle="1" w:styleId="msonormal0">
    <w:name w:val="msonormal"/>
    <w:basedOn w:val="Normal"/>
    <w:pPr>
      <w:spacing w:before="120" w:after="120"/>
    </w:pPr>
  </w:style>
  <w:style w:type="paragraph" w:styleId="NormalWeb">
    <w:name w:val="Normal (Web)"/>
    <w:basedOn w:val="Normal"/>
    <w:uiPriority w:val="99"/>
    <w:semiHidden/>
    <w:unhideWhenUsed/>
    <w:pPr>
      <w:spacing w:before="120" w:after="12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rsid w:val="003F68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473A0"/>
    <w:rPr>
      <w:i/>
      <w:iCs/>
    </w:rPr>
  </w:style>
  <w:style w:type="table" w:styleId="TableGridLight">
    <w:name w:val="Grid Table Light"/>
    <w:basedOn w:val="TableNormal"/>
    <w:uiPriority w:val="40"/>
    <w:rsid w:val="003473A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69497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542/peds.2025-072466" TargetMode="External"/><Relationship Id="rId13" Type="http://schemas.openxmlformats.org/officeDocument/2006/relationships/hyperlink" Target="https://doi.org/10.1111/jpc.70027" TargetMode="External"/><Relationship Id="rId18" Type="http://schemas.openxmlformats.org/officeDocument/2006/relationships/hyperlink" Target="https://doi.org/10.1016/s0140-6736(25)00185-0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doi.org/10.1161/cir.0000000000000923" TargetMode="External"/><Relationship Id="rId7" Type="http://schemas.openxmlformats.org/officeDocument/2006/relationships/hyperlink" Target="https://doi.org/10.1016/s0140-6736(25)00185-0" TargetMode="External"/><Relationship Id="rId12" Type="http://schemas.openxmlformats.org/officeDocument/2006/relationships/hyperlink" Target="https://doi.org/10.1542/peds.2025-072466" TargetMode="External"/><Relationship Id="rId17" Type="http://schemas.openxmlformats.org/officeDocument/2006/relationships/hyperlink" Target="https://doi.org/10.1016/s2214-109x(21)00288-6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oi.org/10.1161/circulationaha.109.191959" TargetMode="External"/><Relationship Id="rId20" Type="http://schemas.openxmlformats.org/officeDocument/2006/relationships/hyperlink" Target="https://doi.org/10.1161/cir.0000000000000923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i.org/10.1093/eurheartj/ehab407" TargetMode="External"/><Relationship Id="rId11" Type="http://schemas.openxmlformats.org/officeDocument/2006/relationships/hyperlink" Target="https://doi.org/10.1016/s2214-109x(21)00288-6" TargetMode="External"/><Relationship Id="rId24" Type="http://schemas.openxmlformats.org/officeDocument/2006/relationships/hyperlink" Target="https://doi.org/10.5694/mja2.50851" TargetMode="External"/><Relationship Id="rId5" Type="http://schemas.openxmlformats.org/officeDocument/2006/relationships/hyperlink" Target="https://doi.org/10.1161/cir.0000000000000205" TargetMode="External"/><Relationship Id="rId15" Type="http://schemas.openxmlformats.org/officeDocument/2006/relationships/hyperlink" Target="https://doi.org/10.1542/peds.2025-072466" TargetMode="External"/><Relationship Id="rId23" Type="http://schemas.openxmlformats.org/officeDocument/2006/relationships/hyperlink" Target="https://doi.org/10.5694/j.1326-5377.2007.tb01059.x" TargetMode="External"/><Relationship Id="rId10" Type="http://schemas.openxmlformats.org/officeDocument/2006/relationships/hyperlink" Target="https://doi.org/10.1038/nrdp.2015.84" TargetMode="External"/><Relationship Id="rId19" Type="http://schemas.openxmlformats.org/officeDocument/2006/relationships/hyperlink" Target="https://doi.org/10.1038/nrdp.2015.8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161/cir.0000000000000205" TargetMode="External"/><Relationship Id="rId14" Type="http://schemas.openxmlformats.org/officeDocument/2006/relationships/hyperlink" Target="https://doi.org/10.1161/cir.0000000000000205" TargetMode="External"/><Relationship Id="rId22" Type="http://schemas.openxmlformats.org/officeDocument/2006/relationships/hyperlink" Target="https://doi.org/10.1542/peds.2025-07246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4138</Words>
  <Characters>23591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Vera Answer 1</vt:lpstr>
    </vt:vector>
  </TitlesOfParts>
  <Company/>
  <LinksUpToDate>false</LinksUpToDate>
  <CharactersWithSpaces>27674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Vera Answer 1</dc:title>
  <dc:subject/>
  <dc:creator>clinicalrythm</dc:creator>
  <cp:keywords/>
  <dc:description/>
  <cp:lastModifiedBy>clinicalrythm</cp:lastModifiedBy>
  <cp:revision>3</cp:revision>
  <dcterms:created xsi:type="dcterms:W3CDTF">2026-06-04T15:53:00Z</dcterms:created>
  <dcterms:modified xsi:type="dcterms:W3CDTF">2026-06-04T21:31:00Z</dcterms:modified>
</cp:coreProperties>
</file>