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D39E5F">
      <w:pPr>
        <w:spacing w:before="360"/>
        <w:jc w:val="both"/>
      </w:pPr>
      <w:r>
        <w:t>OSCE Blueprint</w:t>
      </w:r>
    </w:p>
    <w:p w14:paraId="412F23E4">
      <w:r>
        <w:t>Suggested format: 8 minutes per station. Each station is scored out of 10. Candidates should verbalise clinical reasoning, prioritise life-threatening problems and demonstrate safe technique where a device is shown.</w:t>
      </w:r>
    </w:p>
    <w:p w14:paraId="11209F3A"/>
    <w:p w14:paraId="00288BE0">
      <w:r>
        <w:t xml:space="preserve">Station 1. </w:t>
      </w:r>
    </w:p>
    <w:p w14:paraId="57F83409">
      <w:pPr>
        <w:spacing w:after="0"/>
      </w:pPr>
    </w:p>
    <w:tbl>
      <w:tblPr>
        <w:tblStyle w:val="12"/>
        <w:tblW w:w="0" w:type="auto"/>
        <w:jc w:val="center"/>
        <w:tblLayout w:type="autofit"/>
        <w:tblCellMar>
          <w:top w:w="0" w:type="dxa"/>
          <w:left w:w="108" w:type="dxa"/>
          <w:bottom w:w="0" w:type="dxa"/>
          <w:right w:w="108" w:type="dxa"/>
        </w:tblCellMar>
      </w:tblPr>
      <w:tblGrid>
        <w:gridCol w:w="10166"/>
      </w:tblGrid>
      <w:tr w14:paraId="7E22A92C">
        <w:trPr>
          <w:jc w:val="center"/>
        </w:trPr>
        <w:tc>
          <w:tcPr>
            <w:tcW w:w="10166" w:type="dxa"/>
            <w:shd w:val="clear" w:color="auto" w:fill="F2F2F2"/>
            <w:tcMar>
              <w:top w:w="110" w:type="dxa"/>
              <w:left w:w="130" w:type="dxa"/>
              <w:bottom w:w="110" w:type="dxa"/>
              <w:right w:w="130" w:type="dxa"/>
            </w:tcMar>
          </w:tcPr>
          <w:p w14:paraId="141AED88">
            <w:r>
              <w:rPr>
                <w:b/>
              </w:rPr>
              <w:t>Clinical scenario</w:t>
            </w:r>
            <w:r>
              <w:rPr>
                <w:b/>
              </w:rPr>
              <w:br w:type="textWrapping"/>
            </w:r>
            <w:r>
              <w:t>A 26-year-old woman with known asthma presents with rapidly worsening wheeze and breathlessness after a viral upper-respiratory illness. She is sitting upright and can speak only in short phrases. RR 34/min, HR 126/min, BP 132/78 mmHg, SpO₂ 89% on room air. Her peak expiratory flow (PEF) is 160 L/min; her documented personal best is 450 L/min. She has widespread wheeze and reduced air entry bilaterally.</w:t>
            </w:r>
          </w:p>
        </w:tc>
      </w:tr>
    </w:tbl>
    <w:p w14:paraId="1EFCE095">
      <w:pPr>
        <w:spacing w:after="0"/>
      </w:pPr>
    </w:p>
    <w:tbl>
      <w:tblPr>
        <w:tblStyle w:val="12"/>
        <w:tblW w:w="0" w:type="auto"/>
        <w:jc w:val="center"/>
        <w:tblLayout w:type="fixed"/>
        <w:tblCellMar>
          <w:top w:w="0" w:type="dxa"/>
          <w:left w:w="108" w:type="dxa"/>
          <w:bottom w:w="0" w:type="dxa"/>
          <w:right w:w="108" w:type="dxa"/>
        </w:tblCellMar>
      </w:tblPr>
      <w:tblGrid>
        <w:gridCol w:w="5083"/>
        <w:gridCol w:w="5083"/>
      </w:tblGrid>
      <w:tr w14:paraId="275B571A">
        <w:tblPrEx>
          <w:tblCellMar>
            <w:top w:w="0" w:type="dxa"/>
            <w:left w:w="108" w:type="dxa"/>
            <w:bottom w:w="0" w:type="dxa"/>
            <w:right w:w="108" w:type="dxa"/>
          </w:tblCellMar>
        </w:tblPrEx>
        <w:trPr>
          <w:jc w:val="center"/>
        </w:trPr>
        <w:tc>
          <w:tcPr>
            <w:tcW w:w="5083" w:type="dxa"/>
            <w:tcMar>
              <w:top w:w="40" w:type="dxa"/>
              <w:left w:w="70" w:type="dxa"/>
              <w:bottom w:w="40" w:type="dxa"/>
              <w:right w:w="70" w:type="dxa"/>
            </w:tcMar>
          </w:tcPr>
          <w:p w14:paraId="50CF115E">
            <w:pPr>
              <w:jc w:val="center"/>
            </w:pPr>
            <w:r>
              <w:drawing>
                <wp:inline distT="0" distB="0" distL="114300" distR="114300">
                  <wp:extent cx="2251075" cy="2498725"/>
                  <wp:effectExtent l="0" t="0" r="9525"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2251075" cy="2499359"/>
                          </a:xfrm>
                          <a:prstGeom prst="rect">
                            <a:avLst/>
                          </a:prstGeom>
                        </pic:spPr>
                      </pic:pic>
                    </a:graphicData>
                  </a:graphic>
                </wp:inline>
              </w:drawing>
            </w:r>
          </w:p>
        </w:tc>
        <w:tc>
          <w:tcPr>
            <w:tcW w:w="5083" w:type="dxa"/>
            <w:tcMar>
              <w:top w:w="40" w:type="dxa"/>
              <w:left w:w="70" w:type="dxa"/>
              <w:bottom w:w="40" w:type="dxa"/>
              <w:right w:w="70" w:type="dxa"/>
            </w:tcMar>
          </w:tcPr>
          <w:p w14:paraId="4CA97D55">
            <w:pPr>
              <w:jc w:val="center"/>
            </w:pPr>
            <w:r>
              <w:drawing>
                <wp:inline distT="0" distB="0" distL="114300" distR="114300">
                  <wp:extent cx="2564765" cy="2418715"/>
                  <wp:effectExtent l="0" t="0" r="635"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2564765" cy="2418715"/>
                          </a:xfrm>
                          <a:prstGeom prst="rect">
                            <a:avLst/>
                          </a:prstGeom>
                        </pic:spPr>
                      </pic:pic>
                    </a:graphicData>
                  </a:graphic>
                </wp:inline>
              </w:drawing>
            </w:r>
          </w:p>
        </w:tc>
      </w:tr>
      <w:tr w14:paraId="557759AF">
        <w:tblPrEx>
          <w:tblCellMar>
            <w:top w:w="0" w:type="dxa"/>
            <w:left w:w="108" w:type="dxa"/>
            <w:bottom w:w="0" w:type="dxa"/>
            <w:right w:w="108" w:type="dxa"/>
          </w:tblCellMar>
        </w:tblPrEx>
        <w:trPr>
          <w:jc w:val="center"/>
        </w:trPr>
        <w:tc>
          <w:tcPr>
            <w:tcW w:w="5083" w:type="dxa"/>
            <w:tcMar>
              <w:top w:w="40" w:type="dxa"/>
              <w:left w:w="70" w:type="dxa"/>
              <w:bottom w:w="40" w:type="dxa"/>
              <w:right w:w="70" w:type="dxa"/>
            </w:tcMar>
          </w:tcPr>
          <w:p w14:paraId="17B8AB22">
            <w:pPr>
              <w:jc w:val="center"/>
            </w:pPr>
            <w:r>
              <w:rPr>
                <w:b/>
                <w:sz w:val="18"/>
              </w:rPr>
              <w:t xml:space="preserve">Image A </w:t>
            </w:r>
          </w:p>
        </w:tc>
        <w:tc>
          <w:tcPr>
            <w:tcW w:w="5083" w:type="dxa"/>
            <w:tcMar>
              <w:top w:w="40" w:type="dxa"/>
              <w:left w:w="70" w:type="dxa"/>
              <w:bottom w:w="40" w:type="dxa"/>
              <w:right w:w="70" w:type="dxa"/>
            </w:tcMar>
          </w:tcPr>
          <w:p w14:paraId="2231F3F6">
            <w:pPr>
              <w:jc w:val="center"/>
            </w:pPr>
            <w:r>
              <w:rPr>
                <w:b/>
                <w:sz w:val="18"/>
              </w:rPr>
              <w:t xml:space="preserve">Image B </w:t>
            </w:r>
          </w:p>
        </w:tc>
      </w:tr>
    </w:tbl>
    <w:p w14:paraId="1D41DA32">
      <w:pPr>
        <w:spacing w:after="0"/>
      </w:pPr>
    </w:p>
    <w:p w14:paraId="212AC18A">
      <w:pPr>
        <w:pStyle w:val="4"/>
      </w:pPr>
      <w:r>
        <w:t>Candidate tasks</w:t>
      </w:r>
    </w:p>
    <w:p w14:paraId="525E0964">
      <w:pPr>
        <w:ind w:left="360" w:hanging="317"/>
      </w:pPr>
      <w:r>
        <w:rPr>
          <w:b/>
        </w:rPr>
        <w:t xml:space="preserve">1. </w:t>
      </w:r>
      <w:r>
        <w:t>State the most likely diagnosis and classify the severity. Support your answer using the data provided.</w:t>
      </w:r>
    </w:p>
    <w:p w14:paraId="3A06BC45">
      <w:pPr>
        <w:ind w:left="360" w:hanging="317"/>
      </w:pPr>
      <w:r>
        <w:rPr>
          <w:b/>
        </w:rPr>
        <w:t xml:space="preserve">2. </w:t>
      </w:r>
      <w:r>
        <w:t>Calculate the PEF as a percentage of her personal best and explain what this adds to your assessment.</w:t>
      </w:r>
    </w:p>
    <w:p w14:paraId="17F382D2">
      <w:pPr>
        <w:ind w:left="360" w:hanging="317"/>
      </w:pPr>
      <w:r>
        <w:rPr>
          <w:b/>
        </w:rPr>
        <w:t xml:space="preserve">3. </w:t>
      </w:r>
      <w:r>
        <w:t>State the immediate treatment you would initiate during the first hour, including the oxygen target.</w:t>
      </w:r>
    </w:p>
    <w:p w14:paraId="31E63F2E">
      <w:pPr>
        <w:ind w:left="360" w:hanging="317"/>
      </w:pPr>
      <w:r>
        <w:rPr>
          <w:b/>
        </w:rPr>
        <w:t xml:space="preserve">4. </w:t>
      </w:r>
      <w:r>
        <w:t>Describe how you would correctly measure PEF using Image A.</w:t>
      </w:r>
    </w:p>
    <w:p w14:paraId="65B113EA">
      <w:pPr>
        <w:ind w:left="360" w:hanging="317"/>
      </w:pPr>
      <w:r>
        <w:rPr>
          <w:b/>
        </w:rPr>
        <w:t xml:space="preserve">5. </w:t>
      </w:r>
      <w:r>
        <w:t>Using Image B, demonstrate or describe correct pMDI + spacer technique for rapid bronchodilator delivery.</w:t>
      </w:r>
    </w:p>
    <w:p w14:paraId="04E1A16C">
      <w:pPr>
        <w:ind w:left="360" w:hanging="317"/>
      </w:pPr>
      <w:r>
        <w:rPr>
          <w:b/>
        </w:rPr>
        <w:t xml:space="preserve">6. </w:t>
      </w:r>
      <w:r>
        <w:t>Name two investigations you would order only if the course is atypical, severe or not responding, and explain why routine testing can sometimes delay treatment.</w:t>
      </w:r>
    </w:p>
    <w:p w14:paraId="73FD5869">
      <w:pPr>
        <w:pStyle w:val="165"/>
      </w:pPr>
    </w:p>
    <w:p w14:paraId="49282772">
      <w:r>
        <w:br w:type="page"/>
      </w:r>
    </w:p>
    <w:p w14:paraId="58D9F17A">
      <w:pPr>
        <w:spacing w:after="0"/>
      </w:pPr>
      <w:r>
        <w:t xml:space="preserve">Station 2. </w:t>
      </w:r>
    </w:p>
    <w:tbl>
      <w:tblPr>
        <w:tblStyle w:val="12"/>
        <w:tblW w:w="0" w:type="auto"/>
        <w:jc w:val="center"/>
        <w:tblLayout w:type="autofit"/>
        <w:tblCellMar>
          <w:top w:w="0" w:type="dxa"/>
          <w:left w:w="108" w:type="dxa"/>
          <w:bottom w:w="0" w:type="dxa"/>
          <w:right w:w="108" w:type="dxa"/>
        </w:tblCellMar>
      </w:tblPr>
      <w:tblGrid>
        <w:gridCol w:w="10166"/>
      </w:tblGrid>
      <w:tr w14:paraId="6E36228B">
        <w:tblPrEx>
          <w:tblCellMar>
            <w:top w:w="0" w:type="dxa"/>
            <w:left w:w="108" w:type="dxa"/>
            <w:bottom w:w="0" w:type="dxa"/>
            <w:right w:w="108" w:type="dxa"/>
          </w:tblCellMar>
        </w:tblPrEx>
        <w:trPr>
          <w:jc w:val="center"/>
        </w:trPr>
        <w:tc>
          <w:tcPr>
            <w:tcW w:w="10166" w:type="dxa"/>
            <w:shd w:val="clear" w:color="auto" w:fill="F2F2F2"/>
            <w:tcMar>
              <w:top w:w="110" w:type="dxa"/>
              <w:left w:w="130" w:type="dxa"/>
              <w:bottom w:w="110" w:type="dxa"/>
              <w:right w:w="130" w:type="dxa"/>
            </w:tcMar>
          </w:tcPr>
          <w:p w14:paraId="67E56EC1">
            <w:r>
              <w:rPr>
                <w:b/>
              </w:rPr>
              <w:t>Clinical scenario</w:t>
            </w:r>
            <w:r>
              <w:rPr>
                <w:b/>
              </w:rPr>
              <w:br w:type="textWrapping"/>
            </w:r>
            <w:r>
              <w:t>A 68-year-old man with severe COPD presents with increased dyspnoea, productive cough and somnolence. RR 30/min, HR 112/min, BP 146/82 mmHg and SpO₂ 78% on room air. Arterial blood gas on room air: pH 7.27, PaCO₂ 8.8 kPa, PaO₂ 6.9 kPa, HCO₃⁻ 31 mmol/L. He is rousable, cooperative and protecting his airway.</w:t>
            </w:r>
          </w:p>
        </w:tc>
      </w:tr>
    </w:tbl>
    <w:p w14:paraId="51F0BA97">
      <w:pPr>
        <w:spacing w:after="0"/>
      </w:pPr>
    </w:p>
    <w:tbl>
      <w:tblPr>
        <w:tblStyle w:val="12"/>
        <w:tblW w:w="0" w:type="auto"/>
        <w:jc w:val="center"/>
        <w:tblLayout w:type="fixed"/>
        <w:tblCellMar>
          <w:top w:w="0" w:type="dxa"/>
          <w:left w:w="108" w:type="dxa"/>
          <w:bottom w:w="0" w:type="dxa"/>
          <w:right w:w="108" w:type="dxa"/>
        </w:tblCellMar>
      </w:tblPr>
      <w:tblGrid>
        <w:gridCol w:w="5083"/>
        <w:gridCol w:w="5083"/>
      </w:tblGrid>
      <w:tr w14:paraId="2712D701">
        <w:tblPrEx>
          <w:tblCellMar>
            <w:top w:w="0" w:type="dxa"/>
            <w:left w:w="108" w:type="dxa"/>
            <w:bottom w:w="0" w:type="dxa"/>
            <w:right w:w="108" w:type="dxa"/>
          </w:tblCellMar>
        </w:tblPrEx>
        <w:trPr>
          <w:jc w:val="center"/>
        </w:trPr>
        <w:tc>
          <w:tcPr>
            <w:tcW w:w="5083" w:type="dxa"/>
            <w:tcMar>
              <w:top w:w="40" w:type="dxa"/>
              <w:left w:w="70" w:type="dxa"/>
              <w:bottom w:w="40" w:type="dxa"/>
              <w:right w:w="70" w:type="dxa"/>
            </w:tcMar>
          </w:tcPr>
          <w:p w14:paraId="58E96051">
            <w:pPr>
              <w:jc w:val="center"/>
            </w:pPr>
            <w:r>
              <w:drawing>
                <wp:inline distT="0" distB="0" distL="114300" distR="114300">
                  <wp:extent cx="2789555" cy="1779905"/>
                  <wp:effectExtent l="0" t="0" r="4445" b="1079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2789555" cy="1779905"/>
                          </a:xfrm>
                          <a:prstGeom prst="rect">
                            <a:avLst/>
                          </a:prstGeom>
                        </pic:spPr>
                      </pic:pic>
                    </a:graphicData>
                  </a:graphic>
                </wp:inline>
              </w:drawing>
            </w:r>
          </w:p>
        </w:tc>
        <w:tc>
          <w:tcPr>
            <w:tcW w:w="5083" w:type="dxa"/>
            <w:tcMar>
              <w:top w:w="40" w:type="dxa"/>
              <w:left w:w="70" w:type="dxa"/>
              <w:bottom w:w="40" w:type="dxa"/>
              <w:right w:w="70" w:type="dxa"/>
            </w:tcMar>
          </w:tcPr>
          <w:p w14:paraId="6CB5F52D">
            <w:pPr>
              <w:jc w:val="center"/>
            </w:pPr>
            <w:r>
              <w:drawing>
                <wp:inline distT="0" distB="0" distL="114300" distR="114300">
                  <wp:extent cx="2439035" cy="1839595"/>
                  <wp:effectExtent l="0" t="0" r="12065"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2439035" cy="1839595"/>
                          </a:xfrm>
                          <a:prstGeom prst="rect">
                            <a:avLst/>
                          </a:prstGeom>
                        </pic:spPr>
                      </pic:pic>
                    </a:graphicData>
                  </a:graphic>
                </wp:inline>
              </w:drawing>
            </w:r>
          </w:p>
        </w:tc>
      </w:tr>
      <w:tr w14:paraId="09A0F5F1">
        <w:tblPrEx>
          <w:tblCellMar>
            <w:top w:w="0" w:type="dxa"/>
            <w:left w:w="108" w:type="dxa"/>
            <w:bottom w:w="0" w:type="dxa"/>
            <w:right w:w="108" w:type="dxa"/>
          </w:tblCellMar>
        </w:tblPrEx>
        <w:trPr>
          <w:jc w:val="center"/>
        </w:trPr>
        <w:tc>
          <w:tcPr>
            <w:tcW w:w="5083" w:type="dxa"/>
            <w:tcMar>
              <w:top w:w="40" w:type="dxa"/>
              <w:left w:w="70" w:type="dxa"/>
              <w:bottom w:w="40" w:type="dxa"/>
              <w:right w:w="70" w:type="dxa"/>
            </w:tcMar>
          </w:tcPr>
          <w:p w14:paraId="64A6CC14">
            <w:pPr>
              <w:jc w:val="center"/>
            </w:pPr>
            <w:r>
              <w:rPr>
                <w:b/>
                <w:sz w:val="18"/>
              </w:rPr>
              <w:t xml:space="preserve">Image A </w:t>
            </w:r>
          </w:p>
        </w:tc>
        <w:tc>
          <w:tcPr>
            <w:tcW w:w="5083" w:type="dxa"/>
            <w:tcMar>
              <w:top w:w="40" w:type="dxa"/>
              <w:left w:w="70" w:type="dxa"/>
              <w:bottom w:w="40" w:type="dxa"/>
              <w:right w:w="70" w:type="dxa"/>
            </w:tcMar>
          </w:tcPr>
          <w:p w14:paraId="469A5ED0">
            <w:pPr>
              <w:jc w:val="center"/>
            </w:pPr>
            <w:r>
              <w:rPr>
                <w:b/>
                <w:sz w:val="18"/>
              </w:rPr>
              <w:t xml:space="preserve">Image B </w:t>
            </w:r>
          </w:p>
        </w:tc>
      </w:tr>
    </w:tbl>
    <w:p w14:paraId="42DE506B">
      <w:pPr>
        <w:spacing w:after="0"/>
      </w:pPr>
    </w:p>
    <w:p w14:paraId="195B47C5">
      <w:pPr>
        <w:pStyle w:val="4"/>
      </w:pPr>
      <w:r>
        <w:t>Candidate tasks</w:t>
      </w:r>
    </w:p>
    <w:p w14:paraId="14C0E825">
      <w:pPr>
        <w:ind w:left="360" w:hanging="317"/>
      </w:pPr>
      <w:r>
        <w:rPr>
          <w:b/>
        </w:rPr>
        <w:t xml:space="preserve">1. </w:t>
      </w:r>
      <w:r>
        <w:t>Interpret the ABG completely, including the likely chronic component.</w:t>
      </w:r>
    </w:p>
    <w:p w14:paraId="5139E2CD">
      <w:pPr>
        <w:ind w:left="360" w:hanging="317"/>
      </w:pPr>
      <w:r>
        <w:rPr>
          <w:b/>
        </w:rPr>
        <w:t xml:space="preserve">2. </w:t>
      </w:r>
      <w:r>
        <w:t>State your immediate oxygen strategy, target saturation and how you would reassess its safety.</w:t>
      </w:r>
    </w:p>
    <w:p w14:paraId="656FF69E">
      <w:pPr>
        <w:ind w:left="360" w:hanging="317"/>
      </w:pPr>
      <w:r>
        <w:rPr>
          <w:b/>
        </w:rPr>
        <w:t xml:space="preserve">3. </w:t>
      </w:r>
      <w:r>
        <w:t>Outline initial drug treatment for the COPD exacerbation and state when antibiotics are justified.</w:t>
      </w:r>
    </w:p>
    <w:p w14:paraId="4D649C17">
      <w:pPr>
        <w:ind w:left="360" w:hanging="317"/>
      </w:pPr>
      <w:r>
        <w:rPr>
          <w:b/>
        </w:rPr>
        <w:t xml:space="preserve">4. </w:t>
      </w:r>
      <w:r>
        <w:t>Identify Image A and explain how it differs from a simple face mask in oxygen delivery.</w:t>
      </w:r>
    </w:p>
    <w:p w14:paraId="0B124C4B">
      <w:pPr>
        <w:ind w:left="360" w:hanging="317"/>
      </w:pPr>
      <w:r>
        <w:rPr>
          <w:b/>
        </w:rPr>
        <w:t xml:space="preserve">5. </w:t>
      </w:r>
      <w:r>
        <w:t>State whether non-invasive ventilation is indicated. If yes, identify Image B and explain what IPAP and EPAP accomplish physiologically.</w:t>
      </w:r>
    </w:p>
    <w:p w14:paraId="08F853E7">
      <w:pPr>
        <w:ind w:left="360" w:hanging="317"/>
      </w:pPr>
      <w:r>
        <w:rPr>
          <w:b/>
        </w:rPr>
        <w:t xml:space="preserve">6. </w:t>
      </w:r>
      <w:r>
        <w:t>Give three contraindications or warning features that would make NIV unsafe or prompt early intubation/critical-care review.</w:t>
      </w:r>
    </w:p>
    <w:p w14:paraId="4FE1413A">
      <w:r>
        <w:br w:type="page"/>
      </w:r>
    </w:p>
    <w:p w14:paraId="4050941F">
      <w:pPr>
        <w:spacing w:after="0"/>
      </w:pPr>
      <w:r>
        <w:t xml:space="preserve">Station 3. </w:t>
      </w:r>
    </w:p>
    <w:tbl>
      <w:tblPr>
        <w:tblStyle w:val="12"/>
        <w:tblW w:w="0" w:type="auto"/>
        <w:jc w:val="center"/>
        <w:tblLayout w:type="autofit"/>
        <w:tblCellMar>
          <w:top w:w="0" w:type="dxa"/>
          <w:left w:w="108" w:type="dxa"/>
          <w:bottom w:w="0" w:type="dxa"/>
          <w:right w:w="108" w:type="dxa"/>
        </w:tblCellMar>
      </w:tblPr>
      <w:tblGrid>
        <w:gridCol w:w="10166"/>
      </w:tblGrid>
      <w:tr w14:paraId="196CE0B4">
        <w:tblPrEx>
          <w:tblCellMar>
            <w:top w:w="0" w:type="dxa"/>
            <w:left w:w="108" w:type="dxa"/>
            <w:bottom w:w="0" w:type="dxa"/>
            <w:right w:w="108" w:type="dxa"/>
          </w:tblCellMar>
        </w:tblPrEx>
        <w:trPr>
          <w:jc w:val="center"/>
        </w:trPr>
        <w:tc>
          <w:tcPr>
            <w:tcW w:w="10166" w:type="dxa"/>
            <w:shd w:val="clear" w:color="auto" w:fill="F2F2F2"/>
            <w:tcMar>
              <w:top w:w="110" w:type="dxa"/>
              <w:left w:w="130" w:type="dxa"/>
              <w:bottom w:w="110" w:type="dxa"/>
              <w:right w:w="130" w:type="dxa"/>
            </w:tcMar>
          </w:tcPr>
          <w:p w14:paraId="10F53CA3">
            <w:r>
              <w:rPr>
                <w:b/>
              </w:rPr>
              <w:t>Clinical scenario</w:t>
            </w:r>
            <w:r>
              <w:rPr>
                <w:b/>
              </w:rPr>
              <w:br w:type="textWrapping"/>
            </w:r>
            <w:r>
              <w:t>A 58-year-old man with a 35-pack-year smoking history reports progressive exertional dyspnoea and chronic morning cough. Examination shows prolonged expiration but no acute distress. You request quality-assured pre- and post-bronchodilator spirometry.</w:t>
            </w:r>
          </w:p>
        </w:tc>
      </w:tr>
    </w:tbl>
    <w:p w14:paraId="4A6B10CC">
      <w:pPr>
        <w:spacing w:after="0"/>
      </w:pP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1"/>
        <w:gridCol w:w="2541"/>
        <w:gridCol w:w="2541"/>
        <w:gridCol w:w="2541"/>
      </w:tblGrid>
      <w:tr w14:paraId="296A6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41" w:type="dxa"/>
            <w:shd w:val="clear" w:color="auto" w:fill="D9D9D9"/>
          </w:tcPr>
          <w:p w14:paraId="58312F2D">
            <w:r>
              <w:rPr>
                <w:b/>
              </w:rPr>
              <w:t>Measure</w:t>
            </w:r>
          </w:p>
        </w:tc>
        <w:tc>
          <w:tcPr>
            <w:tcW w:w="2541" w:type="dxa"/>
            <w:shd w:val="clear" w:color="auto" w:fill="D9D9D9"/>
          </w:tcPr>
          <w:p w14:paraId="0214DE24">
            <w:r>
              <w:rPr>
                <w:b/>
              </w:rPr>
              <w:t>Pre-BD</w:t>
            </w:r>
          </w:p>
        </w:tc>
        <w:tc>
          <w:tcPr>
            <w:tcW w:w="2541" w:type="dxa"/>
            <w:shd w:val="clear" w:color="auto" w:fill="D9D9D9"/>
          </w:tcPr>
          <w:p w14:paraId="6F19ED8B">
            <w:r>
              <w:rPr>
                <w:b/>
              </w:rPr>
              <w:t>Post-BD</w:t>
            </w:r>
          </w:p>
        </w:tc>
        <w:tc>
          <w:tcPr>
            <w:tcW w:w="2541" w:type="dxa"/>
            <w:shd w:val="clear" w:color="auto" w:fill="D9D9D9"/>
          </w:tcPr>
          <w:p w14:paraId="002FF740">
            <w:r>
              <w:rPr>
                <w:b/>
              </w:rPr>
              <w:t>Predicted context</w:t>
            </w:r>
          </w:p>
        </w:tc>
      </w:tr>
      <w:tr w14:paraId="09654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41" w:type="dxa"/>
          </w:tcPr>
          <w:p w14:paraId="41EAD5EC">
            <w:r>
              <w:t>FEV₁</w:t>
            </w:r>
          </w:p>
        </w:tc>
        <w:tc>
          <w:tcPr>
            <w:tcW w:w="2541" w:type="dxa"/>
          </w:tcPr>
          <w:p w14:paraId="536125A8">
            <w:r>
              <w:t>1.62 L (55%)</w:t>
            </w:r>
          </w:p>
        </w:tc>
        <w:tc>
          <w:tcPr>
            <w:tcW w:w="2541" w:type="dxa"/>
          </w:tcPr>
          <w:p w14:paraId="5AF22B6B">
            <w:r>
              <w:t>1.75 L (59%)</w:t>
            </w:r>
          </w:p>
        </w:tc>
        <w:tc>
          <w:tcPr>
            <w:tcW w:w="2541" w:type="dxa"/>
          </w:tcPr>
          <w:p w14:paraId="4467FF5E">
            <w:r>
              <w:t>% predicted shown</w:t>
            </w:r>
          </w:p>
        </w:tc>
      </w:tr>
      <w:tr w14:paraId="736B9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41" w:type="dxa"/>
          </w:tcPr>
          <w:p w14:paraId="4E912DC2">
            <w:r>
              <w:t>FVC</w:t>
            </w:r>
          </w:p>
        </w:tc>
        <w:tc>
          <w:tcPr>
            <w:tcW w:w="2541" w:type="dxa"/>
          </w:tcPr>
          <w:p w14:paraId="4DA3B1AC">
            <w:r>
              <w:t>3.15 L (84%)</w:t>
            </w:r>
          </w:p>
        </w:tc>
        <w:tc>
          <w:tcPr>
            <w:tcW w:w="2541" w:type="dxa"/>
          </w:tcPr>
          <w:p w14:paraId="57568C13">
            <w:r>
              <w:t>3.25 L (87%)</w:t>
            </w:r>
          </w:p>
        </w:tc>
        <w:tc>
          <w:tcPr>
            <w:tcW w:w="2541" w:type="dxa"/>
          </w:tcPr>
          <w:p w14:paraId="304F1762">
            <w:r>
              <w:t>% predicted shown</w:t>
            </w:r>
          </w:p>
        </w:tc>
      </w:tr>
      <w:tr w14:paraId="4C6FB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41" w:type="dxa"/>
          </w:tcPr>
          <w:p w14:paraId="12889330">
            <w:r>
              <w:t>FEV₁/FVC</w:t>
            </w:r>
          </w:p>
        </w:tc>
        <w:tc>
          <w:tcPr>
            <w:tcW w:w="2541" w:type="dxa"/>
          </w:tcPr>
          <w:p w14:paraId="5123A111">
            <w:r>
              <w:t>0.51</w:t>
            </w:r>
          </w:p>
        </w:tc>
        <w:tc>
          <w:tcPr>
            <w:tcW w:w="2541" w:type="dxa"/>
          </w:tcPr>
          <w:p w14:paraId="49B00958">
            <w:r>
              <w:t>0.54</w:t>
            </w:r>
          </w:p>
        </w:tc>
        <w:tc>
          <w:tcPr>
            <w:tcW w:w="2541" w:type="dxa"/>
          </w:tcPr>
          <w:p w14:paraId="73B6E288">
            <w:r>
              <w:t>Persistent obstruction</w:t>
            </w:r>
          </w:p>
        </w:tc>
      </w:tr>
    </w:tbl>
    <w:p w14:paraId="4426A59A">
      <w:pPr>
        <w:jc w:val="center"/>
      </w:pPr>
      <w:r>
        <w:drawing>
          <wp:inline distT="0" distB="0" distL="114300" distR="114300">
            <wp:extent cx="2148840" cy="2125345"/>
            <wp:effectExtent l="0" t="0" r="1016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2148840" cy="2125501"/>
                    </a:xfrm>
                    <a:prstGeom prst="rect">
                      <a:avLst/>
                    </a:prstGeom>
                  </pic:spPr>
                </pic:pic>
              </a:graphicData>
            </a:graphic>
          </wp:inline>
        </w:drawing>
      </w:r>
    </w:p>
    <w:p w14:paraId="431DD192">
      <w:pPr>
        <w:pStyle w:val="166"/>
        <w:jc w:val="center"/>
      </w:pPr>
      <w:r>
        <w:rPr>
          <w:b/>
          <w:sz w:val="19"/>
        </w:rPr>
        <w:t xml:space="preserve">Image </w:t>
      </w:r>
    </w:p>
    <w:p w14:paraId="5FE04E5C">
      <w:pPr>
        <w:pStyle w:val="4"/>
      </w:pPr>
      <w:r>
        <w:t>Candidate tasks</w:t>
      </w:r>
    </w:p>
    <w:p w14:paraId="1B69FF5D">
      <w:pPr>
        <w:ind w:left="360" w:hanging="317"/>
      </w:pPr>
      <w:r>
        <w:rPr>
          <w:b/>
        </w:rPr>
        <w:t xml:space="preserve">1. </w:t>
      </w:r>
      <w:r>
        <w:t>Interpret the spirometry and state whether it confirms persistent airflow obstruction compatible with COPD.</w:t>
      </w:r>
    </w:p>
    <w:p w14:paraId="60B9839E">
      <w:pPr>
        <w:ind w:left="360" w:hanging="317"/>
      </w:pPr>
      <w:r>
        <w:rPr>
          <w:b/>
        </w:rPr>
        <w:t xml:space="preserve">2. </w:t>
      </w:r>
      <w:r>
        <w:t>Classify the degree of airflow limitation using post-bronchodilator FEV₁ % predicted.</w:t>
      </w:r>
    </w:p>
    <w:p w14:paraId="2199A89C">
      <w:pPr>
        <w:ind w:left="360" w:hanging="317"/>
      </w:pPr>
      <w:r>
        <w:rPr>
          <w:b/>
        </w:rPr>
        <w:t xml:space="preserve">3. </w:t>
      </w:r>
      <w:r>
        <w:t>Explain why bronchodilator reversibility alone should not be used to distinguish asthma from COPD.</w:t>
      </w:r>
    </w:p>
    <w:p w14:paraId="3B0F439B">
      <w:pPr>
        <w:ind w:left="360" w:hanging="317"/>
      </w:pPr>
      <w:r>
        <w:rPr>
          <w:b/>
        </w:rPr>
        <w:t xml:space="preserve">4. </w:t>
      </w:r>
      <w:r>
        <w:t>Describe the key steps needed to obtain an acceptable forced expiratory manoeuvre and the minimum repeatability requirements.</w:t>
      </w:r>
    </w:p>
    <w:p w14:paraId="4C0B103F">
      <w:pPr>
        <w:ind w:left="360" w:hanging="317"/>
      </w:pPr>
      <w:r>
        <w:rPr>
          <w:b/>
        </w:rPr>
        <w:t xml:space="preserve">5. </w:t>
      </w:r>
      <w:r>
        <w:t>State four additional clinical variables you need before selecting long-term COPD therapy.</w:t>
      </w:r>
    </w:p>
    <w:p w14:paraId="097E092A">
      <w:r>
        <w:br w:type="page"/>
      </w:r>
    </w:p>
    <w:p w14:paraId="0E936EF0">
      <w:pPr>
        <w:spacing w:after="0"/>
      </w:pPr>
      <w:r>
        <w:t xml:space="preserve">Station 4. </w:t>
      </w:r>
    </w:p>
    <w:tbl>
      <w:tblPr>
        <w:tblStyle w:val="12"/>
        <w:tblW w:w="0" w:type="auto"/>
        <w:jc w:val="center"/>
        <w:tblLayout w:type="autofit"/>
        <w:tblCellMar>
          <w:top w:w="0" w:type="dxa"/>
          <w:left w:w="108" w:type="dxa"/>
          <w:bottom w:w="0" w:type="dxa"/>
          <w:right w:w="108" w:type="dxa"/>
        </w:tblCellMar>
      </w:tblPr>
      <w:tblGrid>
        <w:gridCol w:w="10166"/>
      </w:tblGrid>
      <w:tr w14:paraId="645F78D3">
        <w:tblPrEx>
          <w:tblCellMar>
            <w:top w:w="0" w:type="dxa"/>
            <w:left w:w="108" w:type="dxa"/>
            <w:bottom w:w="0" w:type="dxa"/>
            <w:right w:w="108" w:type="dxa"/>
          </w:tblCellMar>
        </w:tblPrEx>
        <w:trPr>
          <w:jc w:val="center"/>
        </w:trPr>
        <w:tc>
          <w:tcPr>
            <w:tcW w:w="10166" w:type="dxa"/>
            <w:shd w:val="clear" w:color="auto" w:fill="F2F2F2"/>
            <w:tcMar>
              <w:top w:w="110" w:type="dxa"/>
              <w:left w:w="130" w:type="dxa"/>
              <w:bottom w:w="110" w:type="dxa"/>
              <w:right w:w="130" w:type="dxa"/>
            </w:tcMar>
          </w:tcPr>
          <w:p w14:paraId="5A221305">
            <w:r>
              <w:rPr>
                <w:b/>
              </w:rPr>
              <w:t>Clinical scenario</w:t>
            </w:r>
            <w:r>
              <w:rPr>
                <w:b/>
              </w:rPr>
              <w:br w:type="textWrapping"/>
            </w:r>
            <w:r>
              <w:t>A 52-year-old woman, five days after total hip arthroplasty, develops sudden pleuritic chest pain and dyspnoea. HR 122/min, RR 28/min, BP 108/70 mmHg and SpO₂ 88% on room air. Her left calf is 4 cm larger than the right and is tender. There is no haemoptysis. Chest examination is otherwise unremarkable.</w:t>
            </w:r>
          </w:p>
        </w:tc>
      </w:tr>
    </w:tbl>
    <w:p w14:paraId="57B05A87">
      <w:pPr>
        <w:spacing w:after="0"/>
      </w:pPr>
    </w:p>
    <w:p w14:paraId="536907AA">
      <w:pPr>
        <w:pStyle w:val="4"/>
      </w:pPr>
      <w:r>
        <w:t>Candidate tasks</w:t>
      </w:r>
    </w:p>
    <w:p w14:paraId="3DA26136">
      <w:pPr>
        <w:ind w:left="360" w:hanging="317"/>
      </w:pPr>
      <w:r>
        <w:rPr>
          <w:b/>
        </w:rPr>
        <w:t xml:space="preserve">1. </w:t>
      </w:r>
      <w:r>
        <w:t>State the most likely diagnosis and explain why the pre-test probability is high.</w:t>
      </w:r>
    </w:p>
    <w:p w14:paraId="6C1B7A05">
      <w:pPr>
        <w:ind w:left="360" w:hanging="317"/>
      </w:pPr>
      <w:r>
        <w:rPr>
          <w:b/>
        </w:rPr>
        <w:t xml:space="preserve">2. </w:t>
      </w:r>
      <w:r>
        <w:t>Choose the next definitive diagnostic investigation and justify why a D-dimer is not the best next test in this patient.</w:t>
      </w:r>
    </w:p>
    <w:p w14:paraId="794002F2">
      <w:pPr>
        <w:ind w:left="360" w:hanging="317"/>
      </w:pPr>
      <w:r>
        <w:rPr>
          <w:b/>
        </w:rPr>
        <w:t xml:space="preserve">3. </w:t>
      </w:r>
      <w:r>
        <w:t>State what you would do if contrast-enhanced CT is contraindicated.</w:t>
      </w:r>
    </w:p>
    <w:p w14:paraId="5E29861B">
      <w:pPr>
        <w:ind w:left="360" w:hanging="317"/>
      </w:pPr>
      <w:r>
        <w:rPr>
          <w:b/>
        </w:rPr>
        <w:t xml:space="preserve">4. </w:t>
      </w:r>
      <w:r>
        <w:t>Outline immediate management while definitive imaging is being arranged, assuming there is no major bleeding contraindication.</w:t>
      </w:r>
    </w:p>
    <w:p w14:paraId="54B5A13E">
      <w:pPr>
        <w:ind w:left="360" w:hanging="317"/>
      </w:pPr>
      <w:r>
        <w:rPr>
          <w:b/>
        </w:rPr>
        <w:t xml:space="preserve">5. </w:t>
      </w:r>
      <w:r>
        <w:t>After PE is confirmed, state how you would risk-stratify a haemodynamically stable patient.</w:t>
      </w:r>
    </w:p>
    <w:p w14:paraId="04747898">
      <w:pPr>
        <w:ind w:left="360" w:hanging="317"/>
      </w:pPr>
      <w:r>
        <w:rPr>
          <w:b/>
        </w:rPr>
        <w:t xml:space="preserve">6. </w:t>
      </w:r>
      <w:r>
        <w:t>Explain how your management would change if she became persistently hypotensive or developed obstructive shock.</w:t>
      </w:r>
    </w:p>
    <w:p w14:paraId="404D6048"/>
    <w:p w14:paraId="1A679F91"/>
    <w:p w14:paraId="4C67B9E0">
      <w:pPr>
        <w:spacing w:after="0"/>
      </w:pPr>
      <w:r>
        <w:t xml:space="preserve">Station 5. </w:t>
      </w:r>
    </w:p>
    <w:tbl>
      <w:tblPr>
        <w:tblStyle w:val="12"/>
        <w:tblW w:w="0" w:type="auto"/>
        <w:jc w:val="center"/>
        <w:tblLayout w:type="autofit"/>
        <w:tblCellMar>
          <w:top w:w="0" w:type="dxa"/>
          <w:left w:w="108" w:type="dxa"/>
          <w:bottom w:w="0" w:type="dxa"/>
          <w:right w:w="108" w:type="dxa"/>
        </w:tblCellMar>
      </w:tblPr>
      <w:tblGrid>
        <w:gridCol w:w="10166"/>
      </w:tblGrid>
      <w:tr w14:paraId="3E5D9D82">
        <w:tblPrEx>
          <w:tblCellMar>
            <w:top w:w="0" w:type="dxa"/>
            <w:left w:w="108" w:type="dxa"/>
            <w:bottom w:w="0" w:type="dxa"/>
            <w:right w:w="108" w:type="dxa"/>
          </w:tblCellMar>
        </w:tblPrEx>
        <w:trPr>
          <w:jc w:val="center"/>
        </w:trPr>
        <w:tc>
          <w:tcPr>
            <w:tcW w:w="10166" w:type="dxa"/>
            <w:shd w:val="clear" w:color="auto" w:fill="F2F2F2"/>
            <w:tcMar>
              <w:top w:w="110" w:type="dxa"/>
              <w:left w:w="130" w:type="dxa"/>
              <w:bottom w:w="110" w:type="dxa"/>
              <w:right w:w="130" w:type="dxa"/>
            </w:tcMar>
          </w:tcPr>
          <w:p w14:paraId="5701FBF3">
            <w:r>
              <w:rPr>
                <w:b/>
              </w:rPr>
              <w:t>Clinical scenario</w:t>
            </w:r>
            <w:r>
              <w:rPr>
                <w:b/>
              </w:rPr>
              <w:br w:type="textWrapping"/>
            </w:r>
            <w:r>
              <w:t>A 63-year-old man has 7 days of fever, right-sided pleuritic chest pain and productive cough despite oral antibiotics. Examination of the right lower chest shows reduced expansion, stony dull percussion and markedly reduced breath sounds. Ultrasound shows a 4-cm loculated pleural collection.</w:t>
            </w:r>
          </w:p>
        </w:tc>
      </w:tr>
    </w:tbl>
    <w:p w14:paraId="766A1516">
      <w:pPr>
        <w:spacing w:after="0"/>
      </w:pP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83"/>
        <w:gridCol w:w="5083"/>
      </w:tblGrid>
      <w:tr w14:paraId="5CC84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shd w:val="clear" w:color="auto" w:fill="D9D9D9"/>
          </w:tcPr>
          <w:p w14:paraId="267C4DB9">
            <w:r>
              <w:rPr>
                <w:b/>
              </w:rPr>
              <w:t>Test</w:t>
            </w:r>
          </w:p>
        </w:tc>
        <w:tc>
          <w:tcPr>
            <w:tcW w:w="5083" w:type="dxa"/>
            <w:shd w:val="clear" w:color="auto" w:fill="D9D9D9"/>
          </w:tcPr>
          <w:p w14:paraId="5E8C2E62">
            <w:r>
              <w:rPr>
                <w:b/>
              </w:rPr>
              <w:t>Result</w:t>
            </w:r>
          </w:p>
        </w:tc>
      </w:tr>
      <w:tr w14:paraId="2BDBC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tcPr>
          <w:p w14:paraId="4A85B14C">
            <w:r>
              <w:t>Pleural protein</w:t>
            </w:r>
          </w:p>
        </w:tc>
        <w:tc>
          <w:tcPr>
            <w:tcW w:w="5083" w:type="dxa"/>
          </w:tcPr>
          <w:p w14:paraId="52C8E891">
            <w:r>
              <w:t>42 g/L</w:t>
            </w:r>
          </w:p>
        </w:tc>
      </w:tr>
      <w:tr w14:paraId="54B47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tcPr>
          <w:p w14:paraId="0C3A0D15">
            <w:r>
              <w:t>Serum protein</w:t>
            </w:r>
          </w:p>
        </w:tc>
        <w:tc>
          <w:tcPr>
            <w:tcW w:w="5083" w:type="dxa"/>
          </w:tcPr>
          <w:p w14:paraId="462F17BF">
            <w:r>
              <w:t>65 g/L</w:t>
            </w:r>
          </w:p>
        </w:tc>
      </w:tr>
      <w:tr w14:paraId="6E6A2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tcPr>
          <w:p w14:paraId="21E4C5DE">
            <w:r>
              <w:t>Pleural LDH</w:t>
            </w:r>
          </w:p>
        </w:tc>
        <w:tc>
          <w:tcPr>
            <w:tcW w:w="5083" w:type="dxa"/>
          </w:tcPr>
          <w:p w14:paraId="7E926780">
            <w:r>
              <w:t>900 U/L</w:t>
            </w:r>
          </w:p>
        </w:tc>
      </w:tr>
      <w:tr w14:paraId="2B9AF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tcPr>
          <w:p w14:paraId="3615EDED">
            <w:r>
              <w:t>Serum LDH</w:t>
            </w:r>
          </w:p>
        </w:tc>
        <w:tc>
          <w:tcPr>
            <w:tcW w:w="5083" w:type="dxa"/>
          </w:tcPr>
          <w:p w14:paraId="4D60114F">
            <w:r>
              <w:t>220 U/L</w:t>
            </w:r>
          </w:p>
        </w:tc>
      </w:tr>
      <w:tr w14:paraId="1747D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tcPr>
          <w:p w14:paraId="01AF9442">
            <w:r>
              <w:t>Pleural pH</w:t>
            </w:r>
          </w:p>
        </w:tc>
        <w:tc>
          <w:tcPr>
            <w:tcW w:w="5083" w:type="dxa"/>
          </w:tcPr>
          <w:p w14:paraId="67D6309C">
            <w:r>
              <w:t>7.12</w:t>
            </w:r>
          </w:p>
        </w:tc>
      </w:tr>
      <w:tr w14:paraId="59C45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tcPr>
          <w:p w14:paraId="54544600">
            <w:r>
              <w:t>Pleural glucose</w:t>
            </w:r>
          </w:p>
        </w:tc>
        <w:tc>
          <w:tcPr>
            <w:tcW w:w="5083" w:type="dxa"/>
          </w:tcPr>
          <w:p w14:paraId="0103AE31">
            <w:r>
              <w:t>2.1 mmol/L</w:t>
            </w:r>
          </w:p>
        </w:tc>
      </w:tr>
    </w:tbl>
    <w:p w14:paraId="516B5360">
      <w:pPr>
        <w:pStyle w:val="4"/>
      </w:pPr>
      <w:r>
        <w:t>Candidate tasks</w:t>
      </w:r>
    </w:p>
    <w:p w14:paraId="248AEB62">
      <w:pPr>
        <w:ind w:left="360" w:hanging="317"/>
      </w:pPr>
      <w:r>
        <w:rPr>
          <w:b/>
        </w:rPr>
        <w:t xml:space="preserve">1. </w:t>
      </w:r>
      <w:r>
        <w:t>Interpret the bedside signs and identify the likely pleural syndrome.</w:t>
      </w:r>
    </w:p>
    <w:p w14:paraId="3AC50B31">
      <w:pPr>
        <w:ind w:left="360" w:hanging="317"/>
      </w:pPr>
      <w:r>
        <w:rPr>
          <w:b/>
        </w:rPr>
        <w:t xml:space="preserve">2. </w:t>
      </w:r>
      <w:r>
        <w:t>Use Light’s criteria to classify the fluid as an exudate or transudate. Show the key ratios.</w:t>
      </w:r>
    </w:p>
    <w:p w14:paraId="0C87F9F5">
      <w:pPr>
        <w:ind w:left="360" w:hanging="317"/>
      </w:pPr>
      <w:r>
        <w:rPr>
          <w:b/>
        </w:rPr>
        <w:t xml:space="preserve">3. </w:t>
      </w:r>
      <w:r>
        <w:t>Interpret the pleural pH and glucose in the clinical context.</w:t>
      </w:r>
    </w:p>
    <w:p w14:paraId="5016D484">
      <w:pPr>
        <w:ind w:left="360" w:hanging="317"/>
      </w:pPr>
      <w:r>
        <w:rPr>
          <w:b/>
        </w:rPr>
        <w:t xml:space="preserve">4. </w:t>
      </w:r>
      <w:r>
        <w:t>List the essential pleural-fluid tests you would send at initial aspiration.</w:t>
      </w:r>
    </w:p>
    <w:p w14:paraId="29747C44">
      <w:pPr>
        <w:ind w:left="360" w:hanging="317"/>
      </w:pPr>
      <w:r>
        <w:rPr>
          <w:b/>
        </w:rPr>
        <w:t xml:space="preserve">5. </w:t>
      </w:r>
      <w:r>
        <w:t>State the definitive next management step for the pleural collection and explain why antibiotics alone are insufficient.</w:t>
      </w:r>
    </w:p>
    <w:p w14:paraId="0EA86765">
      <w:pPr>
        <w:ind w:left="360" w:hanging="317"/>
      </w:pPr>
      <w:r>
        <w:rPr>
          <w:b/>
        </w:rPr>
        <w:t xml:space="preserve">6. </w:t>
      </w:r>
      <w:r>
        <w:t>State one escalation option if a correctly positioned chest drain fails to clear a loculated infected effusion.</w:t>
      </w:r>
    </w:p>
    <w:p w14:paraId="22EE27CC">
      <w:pPr>
        <w:spacing w:after="0"/>
      </w:pPr>
      <w:r>
        <w:t xml:space="preserve">Station 6. </w:t>
      </w:r>
    </w:p>
    <w:tbl>
      <w:tblPr>
        <w:tblStyle w:val="12"/>
        <w:tblW w:w="0" w:type="auto"/>
        <w:jc w:val="center"/>
        <w:tblLayout w:type="autofit"/>
        <w:tblCellMar>
          <w:top w:w="0" w:type="dxa"/>
          <w:left w:w="108" w:type="dxa"/>
          <w:bottom w:w="0" w:type="dxa"/>
          <w:right w:w="108" w:type="dxa"/>
        </w:tblCellMar>
      </w:tblPr>
      <w:tblGrid>
        <w:gridCol w:w="10166"/>
      </w:tblGrid>
      <w:tr w14:paraId="2F2DA13B">
        <w:tblPrEx>
          <w:tblCellMar>
            <w:top w:w="0" w:type="dxa"/>
            <w:left w:w="108" w:type="dxa"/>
            <w:bottom w:w="0" w:type="dxa"/>
            <w:right w:w="108" w:type="dxa"/>
          </w:tblCellMar>
        </w:tblPrEx>
        <w:trPr>
          <w:jc w:val="center"/>
        </w:trPr>
        <w:tc>
          <w:tcPr>
            <w:tcW w:w="10166" w:type="dxa"/>
            <w:shd w:val="clear" w:color="auto" w:fill="F2F2F2"/>
            <w:tcMar>
              <w:top w:w="110" w:type="dxa"/>
              <w:left w:w="130" w:type="dxa"/>
              <w:bottom w:w="110" w:type="dxa"/>
              <w:right w:w="130" w:type="dxa"/>
            </w:tcMar>
          </w:tcPr>
          <w:p w14:paraId="07B08CEA">
            <w:r>
              <w:rPr>
                <w:b/>
              </w:rPr>
              <w:t>Clinical scenario</w:t>
            </w:r>
            <w:r>
              <w:rPr>
                <w:b/>
              </w:rPr>
              <w:br w:type="textWrapping"/>
            </w:r>
            <w:r>
              <w:t>A 30-year-old man becomes acutely dyspnoeic and hypotensive minutes after right subclavian central venous catheter insertion. RR 36/min, HR 140/min, BP 76/48 mmHg and SpO₂ 80%. The right hemithorax is hyper-resonant with absent breath sounds. He is becoming agitated.</w:t>
            </w:r>
          </w:p>
        </w:tc>
      </w:tr>
    </w:tbl>
    <w:p w14:paraId="4A36DE05">
      <w:pPr>
        <w:spacing w:after="0"/>
      </w:pPr>
    </w:p>
    <w:p w14:paraId="5769FBB1">
      <w:pPr>
        <w:jc w:val="center"/>
      </w:pPr>
      <w:r>
        <w:drawing>
          <wp:inline distT="0" distB="0" distL="114300" distR="114300">
            <wp:extent cx="2926080" cy="1750060"/>
            <wp:effectExtent l="0" t="0" r="762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2926080" cy="1750060"/>
                    </a:xfrm>
                    <a:prstGeom prst="rect">
                      <a:avLst/>
                    </a:prstGeom>
                  </pic:spPr>
                </pic:pic>
              </a:graphicData>
            </a:graphic>
          </wp:inline>
        </w:drawing>
      </w:r>
    </w:p>
    <w:p w14:paraId="06EEC0B2">
      <w:pPr>
        <w:jc w:val="center"/>
      </w:pPr>
      <w:r>
        <w:rPr>
          <w:b/>
          <w:sz w:val="19"/>
        </w:rPr>
        <w:t xml:space="preserve">Image </w:t>
      </w:r>
    </w:p>
    <w:p w14:paraId="3B44CF2D">
      <w:pPr>
        <w:pStyle w:val="4"/>
      </w:pPr>
      <w:r>
        <w:t>Candidate tasks</w:t>
      </w:r>
    </w:p>
    <w:p w14:paraId="5B0A9F76">
      <w:pPr>
        <w:ind w:left="360" w:hanging="317"/>
      </w:pPr>
      <w:r>
        <w:rPr>
          <w:b/>
        </w:rPr>
        <w:t xml:space="preserve">1. </w:t>
      </w:r>
      <w:r>
        <w:t>State the diagnosis and identify the features that make it immediately life-threatening.</w:t>
      </w:r>
    </w:p>
    <w:p w14:paraId="7B937E2F">
      <w:pPr>
        <w:ind w:left="360" w:hanging="317"/>
      </w:pPr>
      <w:r>
        <w:rPr>
          <w:b/>
        </w:rPr>
        <w:t xml:space="preserve">2. </w:t>
      </w:r>
      <w:r>
        <w:t>State the first emergency intervention. Explain why you should not wait for chest radiography.</w:t>
      </w:r>
    </w:p>
    <w:p w14:paraId="6AE71E4D">
      <w:pPr>
        <w:ind w:left="360" w:hanging="317"/>
      </w:pPr>
      <w:r>
        <w:rPr>
          <w:b/>
        </w:rPr>
        <w:t xml:space="preserve">3. </w:t>
      </w:r>
      <w:r>
        <w:t>Describe the definitive pleural drainage step after emergency decompression, including the safe-triangle concept.</w:t>
      </w:r>
    </w:p>
    <w:p w14:paraId="6AA7D301">
      <w:pPr>
        <w:ind w:left="360" w:hanging="317"/>
      </w:pPr>
      <w:r>
        <w:rPr>
          <w:b/>
        </w:rPr>
        <w:t xml:space="preserve">4. </w:t>
      </w:r>
      <w:r>
        <w:t>Identify the equipment in the image and explain the purpose of an underwater-seal drainage system.</w:t>
      </w:r>
    </w:p>
    <w:p w14:paraId="209583EA">
      <w:pPr>
        <w:ind w:left="360" w:hanging="317"/>
      </w:pPr>
      <w:r>
        <w:rPr>
          <w:b/>
        </w:rPr>
        <w:t xml:space="preserve">5. </w:t>
      </w:r>
      <w:r>
        <w:t>Give three safety checks after chest-drain insertion and state what continuous bubbling may indicate.</w:t>
      </w:r>
    </w:p>
    <w:p w14:paraId="13EB8560">
      <w:pPr>
        <w:ind w:left="360" w:hanging="317"/>
      </w:pPr>
      <w:r>
        <w:rPr>
          <w:b/>
        </w:rPr>
        <w:t xml:space="preserve">6. </w:t>
      </w:r>
      <w:r>
        <w:t>State one situation in which clamping a bubbling chest drain could be dangerous.</w:t>
      </w:r>
    </w:p>
    <w:p w14:paraId="59B05D11"/>
    <w:p w14:paraId="31C76156">
      <w:pPr>
        <w:spacing w:after="0"/>
      </w:pPr>
      <w:r>
        <w:t xml:space="preserve">Station 7. </w:t>
      </w:r>
    </w:p>
    <w:tbl>
      <w:tblPr>
        <w:tblStyle w:val="12"/>
        <w:tblW w:w="0" w:type="auto"/>
        <w:jc w:val="center"/>
        <w:tblLayout w:type="autofit"/>
        <w:tblCellMar>
          <w:top w:w="0" w:type="dxa"/>
          <w:left w:w="108" w:type="dxa"/>
          <w:bottom w:w="0" w:type="dxa"/>
          <w:right w:w="108" w:type="dxa"/>
        </w:tblCellMar>
      </w:tblPr>
      <w:tblGrid>
        <w:gridCol w:w="10166"/>
      </w:tblGrid>
      <w:tr w14:paraId="3B576FCA">
        <w:tblPrEx>
          <w:tblCellMar>
            <w:top w:w="0" w:type="dxa"/>
            <w:left w:w="108" w:type="dxa"/>
            <w:bottom w:w="0" w:type="dxa"/>
            <w:right w:w="108" w:type="dxa"/>
          </w:tblCellMar>
        </w:tblPrEx>
        <w:trPr>
          <w:jc w:val="center"/>
        </w:trPr>
        <w:tc>
          <w:tcPr>
            <w:tcW w:w="10166" w:type="dxa"/>
            <w:shd w:val="clear" w:color="auto" w:fill="F2F2F2"/>
            <w:tcMar>
              <w:top w:w="110" w:type="dxa"/>
              <w:left w:w="130" w:type="dxa"/>
              <w:bottom w:w="110" w:type="dxa"/>
              <w:right w:w="130" w:type="dxa"/>
            </w:tcMar>
          </w:tcPr>
          <w:p w14:paraId="4748E139">
            <w:r>
              <w:rPr>
                <w:b/>
              </w:rPr>
              <w:t>Clinical scenario</w:t>
            </w:r>
            <w:r>
              <w:rPr>
                <w:b/>
              </w:rPr>
              <w:br w:type="textWrapping"/>
            </w:r>
            <w:r>
              <w:t>A 62-year-old man presents with fever, purulent cough, confusion and severe breathlessness. RR 32/min, HR 118/min, BP 86/54 mmHg, temperature 39.2°C and SpO₂ 86% on room air. Urea is 11.2 mmol/L. ABG on room air: pH 7.45, PaCO₂ 4.0 kPa, PaO₂ 7.0 kPa, HCO₃⁻ 22 mmol/L. Chest radiograph shows right lower-lobe consolidation.</w:t>
            </w:r>
          </w:p>
        </w:tc>
      </w:tr>
    </w:tbl>
    <w:p w14:paraId="2F6DC37A">
      <w:pPr>
        <w:pStyle w:val="4"/>
      </w:pPr>
      <w:r>
        <w:t>Candidate tasks</w:t>
      </w:r>
    </w:p>
    <w:p w14:paraId="1E33EB26">
      <w:pPr>
        <w:ind w:left="360" w:hanging="317"/>
      </w:pPr>
      <w:r>
        <w:rPr>
          <w:b/>
        </w:rPr>
        <w:t xml:space="preserve">1. </w:t>
      </w:r>
      <w:r>
        <w:t>Interpret the ABG and name the type of respiratory failure.</w:t>
      </w:r>
    </w:p>
    <w:p w14:paraId="6F7A7FB3">
      <w:pPr>
        <w:ind w:left="360" w:hanging="317"/>
      </w:pPr>
      <w:r>
        <w:rPr>
          <w:b/>
        </w:rPr>
        <w:t xml:space="preserve">2. </w:t>
      </w:r>
      <w:r>
        <w:t>Calculate the CURB-65 score and interpret the severity.</w:t>
      </w:r>
    </w:p>
    <w:p w14:paraId="0611BB08">
      <w:pPr>
        <w:ind w:left="360" w:hanging="317"/>
      </w:pPr>
      <w:r>
        <w:rPr>
          <w:b/>
        </w:rPr>
        <w:t xml:space="preserve">3. </w:t>
      </w:r>
      <w:r>
        <w:t>List the first-line investigations you would obtain in a severely ill inpatient before or immediately around antibiotic administration.</w:t>
      </w:r>
    </w:p>
    <w:p w14:paraId="41C93359">
      <w:pPr>
        <w:ind w:left="360" w:hanging="317"/>
      </w:pPr>
      <w:r>
        <w:rPr>
          <w:b/>
        </w:rPr>
        <w:t xml:space="preserve">4. </w:t>
      </w:r>
      <w:r>
        <w:t>Outline the first-hour management priorities, including oxygen, antimicrobials, fluids and escalation of care.</w:t>
      </w:r>
    </w:p>
    <w:p w14:paraId="75AC6E00">
      <w:pPr>
        <w:ind w:left="360" w:hanging="317"/>
      </w:pPr>
      <w:r>
        <w:rPr>
          <w:b/>
        </w:rPr>
        <w:t xml:space="preserve">5. </w:t>
      </w:r>
      <w:r>
        <w:t>State the principle of empiric antibiotic selection for severe CAP and why local resistance data matter.</w:t>
      </w:r>
    </w:p>
    <w:p w14:paraId="33DAD540">
      <w:pPr>
        <w:ind w:left="360" w:hanging="317"/>
      </w:pPr>
      <w:r>
        <w:rPr>
          <w:b/>
        </w:rPr>
        <w:t xml:space="preserve">6. </w:t>
      </w:r>
      <w:r>
        <w:t>Give two findings that would make you consider early invasive ventilation rather than continued conventional oxygen therapy.</w:t>
      </w:r>
    </w:p>
    <w:p w14:paraId="31771024"/>
    <w:p w14:paraId="4BD8CD36"/>
    <w:p w14:paraId="1CFF3D6D">
      <w:pPr>
        <w:spacing w:after="0"/>
      </w:pPr>
      <w:r>
        <w:t xml:space="preserve">Station 8. </w:t>
      </w:r>
    </w:p>
    <w:tbl>
      <w:tblPr>
        <w:tblStyle w:val="12"/>
        <w:tblW w:w="0" w:type="auto"/>
        <w:jc w:val="center"/>
        <w:tblLayout w:type="autofit"/>
        <w:tblCellMar>
          <w:top w:w="0" w:type="dxa"/>
          <w:left w:w="108" w:type="dxa"/>
          <w:bottom w:w="0" w:type="dxa"/>
          <w:right w:w="108" w:type="dxa"/>
        </w:tblCellMar>
      </w:tblPr>
      <w:tblGrid>
        <w:gridCol w:w="10166"/>
      </w:tblGrid>
      <w:tr w14:paraId="32BF9DD1">
        <w:tblPrEx>
          <w:tblCellMar>
            <w:top w:w="0" w:type="dxa"/>
            <w:left w:w="108" w:type="dxa"/>
            <w:bottom w:w="0" w:type="dxa"/>
            <w:right w:w="108" w:type="dxa"/>
          </w:tblCellMar>
        </w:tblPrEx>
        <w:trPr>
          <w:jc w:val="center"/>
        </w:trPr>
        <w:tc>
          <w:tcPr>
            <w:tcW w:w="10166" w:type="dxa"/>
            <w:shd w:val="clear" w:color="auto" w:fill="F2F2F2"/>
            <w:tcMar>
              <w:top w:w="110" w:type="dxa"/>
              <w:left w:w="130" w:type="dxa"/>
              <w:bottom w:w="110" w:type="dxa"/>
              <w:right w:w="130" w:type="dxa"/>
            </w:tcMar>
          </w:tcPr>
          <w:p w14:paraId="12A7EE9E">
            <w:r>
              <w:rPr>
                <w:b/>
              </w:rPr>
              <w:t>Clinical scenario</w:t>
            </w:r>
            <w:r>
              <w:rPr>
                <w:b/>
              </w:rPr>
              <w:br w:type="textWrapping"/>
            </w:r>
            <w:r>
              <w:t>A 65-year-old man has 18 months of progressive exertional dyspnoea and dry cough. Examination reveals finger clubbing and fine late-inspiratory bibasal “Velcro-like” crackles. HRCT shows basal and subpleural reticulation, traction bronchiectasis and honeycombing without features suggesting an alternative diagnosis. PFT: FVC 70% predicted, TLC 68% predicted, DLCO 42% predicted.</w:t>
            </w:r>
          </w:p>
        </w:tc>
      </w:tr>
    </w:tbl>
    <w:p w14:paraId="6E518853">
      <w:pPr>
        <w:pStyle w:val="4"/>
      </w:pPr>
      <w:r>
        <w:t>Candidate tasks</w:t>
      </w:r>
    </w:p>
    <w:p w14:paraId="56E64F17">
      <w:pPr>
        <w:ind w:left="360" w:hanging="317"/>
      </w:pPr>
      <w:r>
        <w:rPr>
          <w:b/>
        </w:rPr>
        <w:t xml:space="preserve">1. </w:t>
      </w:r>
      <w:r>
        <w:t>State the most likely diagnosis and the HRCT pattern that supports it.</w:t>
      </w:r>
    </w:p>
    <w:p w14:paraId="403BF47E">
      <w:pPr>
        <w:ind w:left="360" w:hanging="317"/>
      </w:pPr>
      <w:r>
        <w:rPr>
          <w:b/>
        </w:rPr>
        <w:t xml:space="preserve">2. </w:t>
      </w:r>
      <w:r>
        <w:t>Interpret the PFT pattern and explain the significance of the reduced DLCO.</w:t>
      </w:r>
    </w:p>
    <w:p w14:paraId="295A466D">
      <w:pPr>
        <w:ind w:left="360" w:hanging="317"/>
      </w:pPr>
      <w:r>
        <w:rPr>
          <w:b/>
        </w:rPr>
        <w:t xml:space="preserve">3. </w:t>
      </w:r>
      <w:r>
        <w:t>List the key secondary causes/exposures that must be actively excluded before labelling the condition idiopathic.</w:t>
      </w:r>
    </w:p>
    <w:p w14:paraId="297B1907">
      <w:pPr>
        <w:ind w:left="360" w:hanging="317"/>
      </w:pPr>
      <w:r>
        <w:rPr>
          <w:b/>
        </w:rPr>
        <w:t xml:space="preserve">4. </w:t>
      </w:r>
      <w:r>
        <w:t>State the role of multidisciplinary discussion and when surgical lung biopsy may be avoidable.</w:t>
      </w:r>
    </w:p>
    <w:p w14:paraId="023A4762">
      <w:pPr>
        <w:ind w:left="360" w:hanging="317"/>
      </w:pPr>
      <w:r>
        <w:rPr>
          <w:b/>
        </w:rPr>
        <w:t xml:space="preserve">5. </w:t>
      </w:r>
      <w:r>
        <w:t>Outline disease-modifying and supportive management for confirmed IPF.</w:t>
      </w:r>
    </w:p>
    <w:p w14:paraId="5947546B">
      <w:pPr>
        <w:ind w:left="360" w:hanging="317"/>
      </w:pPr>
      <w:r>
        <w:rPr>
          <w:b/>
        </w:rPr>
        <w:t xml:space="preserve">6. </w:t>
      </w:r>
      <w:r>
        <w:t>State one commonly used treatment strategy that should not be used routinely for stable IPF and explain why.</w:t>
      </w:r>
    </w:p>
    <w:p w14:paraId="5F1A5DE1"/>
    <w:p w14:paraId="2C7C8991">
      <w:pPr>
        <w:spacing w:after="0"/>
      </w:pPr>
      <w:r>
        <w:t xml:space="preserve">Station 9. </w:t>
      </w:r>
    </w:p>
    <w:tbl>
      <w:tblPr>
        <w:tblStyle w:val="12"/>
        <w:tblW w:w="0" w:type="auto"/>
        <w:jc w:val="center"/>
        <w:tblLayout w:type="autofit"/>
        <w:tblCellMar>
          <w:top w:w="0" w:type="dxa"/>
          <w:left w:w="108" w:type="dxa"/>
          <w:bottom w:w="0" w:type="dxa"/>
          <w:right w:w="108" w:type="dxa"/>
        </w:tblCellMar>
      </w:tblPr>
      <w:tblGrid>
        <w:gridCol w:w="10166"/>
      </w:tblGrid>
      <w:tr w14:paraId="68480503">
        <w:tblPrEx>
          <w:tblCellMar>
            <w:top w:w="0" w:type="dxa"/>
            <w:left w:w="108" w:type="dxa"/>
            <w:bottom w:w="0" w:type="dxa"/>
            <w:right w:w="108" w:type="dxa"/>
          </w:tblCellMar>
        </w:tblPrEx>
        <w:trPr>
          <w:jc w:val="center"/>
        </w:trPr>
        <w:tc>
          <w:tcPr>
            <w:tcW w:w="10166" w:type="dxa"/>
            <w:shd w:val="clear" w:color="auto" w:fill="F2F2F2"/>
            <w:tcMar>
              <w:top w:w="110" w:type="dxa"/>
              <w:left w:w="130" w:type="dxa"/>
              <w:bottom w:w="110" w:type="dxa"/>
              <w:right w:w="130" w:type="dxa"/>
            </w:tcMar>
          </w:tcPr>
          <w:p w14:paraId="0E996690">
            <w:r>
              <w:rPr>
                <w:b/>
              </w:rPr>
              <w:t>Clinical scenario</w:t>
            </w:r>
            <w:r>
              <w:rPr>
                <w:b/>
              </w:rPr>
              <w:br w:type="textWrapping"/>
            </w:r>
            <w:r>
              <w:t>A 49-year-old woman reports daily purulent sputum and three infective exacerbations in the past year. HRCT shows bronchial dilatation with lack of normal tapering and bronchi visible close to the pleural surface. Sputum culture during the current exacerbation grows Pseudomonas aeruginosa.</w:t>
            </w:r>
          </w:p>
        </w:tc>
      </w:tr>
    </w:tbl>
    <w:p w14:paraId="70F03D3D">
      <w:pPr>
        <w:pStyle w:val="4"/>
      </w:pPr>
      <w:r>
        <w:t>Candidate tasks</w:t>
      </w:r>
    </w:p>
    <w:p w14:paraId="5DE9ADCE">
      <w:pPr>
        <w:ind w:left="360" w:hanging="317"/>
      </w:pPr>
      <w:r>
        <w:rPr>
          <w:b/>
        </w:rPr>
        <w:t xml:space="preserve">1. </w:t>
      </w:r>
      <w:r>
        <w:t>State the diagnosis and describe two characteristic HRCT features.</w:t>
      </w:r>
    </w:p>
    <w:p w14:paraId="78A17FF5">
      <w:pPr>
        <w:ind w:left="360" w:hanging="317"/>
      </w:pPr>
      <w:r>
        <w:rPr>
          <w:b/>
        </w:rPr>
        <w:t xml:space="preserve">2. </w:t>
      </w:r>
      <w:r>
        <w:t>List the core investigations for an underlying cause that should be considered in an adult with newly diagnosed bronchiectasis.</w:t>
      </w:r>
    </w:p>
    <w:p w14:paraId="2C12C4BC">
      <w:pPr>
        <w:ind w:left="360" w:hanging="317"/>
      </w:pPr>
      <w:r>
        <w:rPr>
          <w:b/>
        </w:rPr>
        <w:t xml:space="preserve">3. </w:t>
      </w:r>
      <w:r>
        <w:t>Describe how you would investigate microbiology before starting long-term macrolide therapy.</w:t>
      </w:r>
    </w:p>
    <w:p w14:paraId="10000609">
      <w:pPr>
        <w:ind w:left="360" w:hanging="317"/>
      </w:pPr>
      <w:r>
        <w:rPr>
          <w:b/>
        </w:rPr>
        <w:t xml:space="preserve">4. </w:t>
      </w:r>
      <w:r>
        <w:t>Outline treatment of the current exacerbation, including how previous culture results should influence antibiotic choice.</w:t>
      </w:r>
    </w:p>
    <w:p w14:paraId="04763AB3">
      <w:pPr>
        <w:ind w:left="360" w:hanging="317"/>
      </w:pPr>
      <w:r>
        <w:rPr>
          <w:b/>
        </w:rPr>
        <w:t xml:space="preserve">5. </w:t>
      </w:r>
      <w:r>
        <w:t>Describe the role of airway-clearance physiotherapy and long-term suppressive therapy in a frequent exacerbator.</w:t>
      </w:r>
    </w:p>
    <w:p w14:paraId="4DD85229">
      <w:pPr>
        <w:ind w:left="360" w:hanging="317"/>
      </w:pPr>
      <w:r>
        <w:rPr>
          <w:b/>
        </w:rPr>
        <w:t xml:space="preserve">6. </w:t>
      </w:r>
      <w:r>
        <w:t>Give three non-pharmacological measures that reduce future morbidity.</w:t>
      </w:r>
    </w:p>
    <w:p w14:paraId="3D6E4EE6">
      <w:r>
        <w:br w:type="page"/>
      </w:r>
    </w:p>
    <w:p w14:paraId="19767294">
      <w:pPr>
        <w:spacing w:after="0"/>
      </w:pPr>
      <w:r>
        <w:t xml:space="preserve">Station 10. </w:t>
      </w:r>
    </w:p>
    <w:tbl>
      <w:tblPr>
        <w:tblStyle w:val="12"/>
        <w:tblW w:w="0" w:type="auto"/>
        <w:jc w:val="center"/>
        <w:tblLayout w:type="autofit"/>
        <w:tblCellMar>
          <w:top w:w="0" w:type="dxa"/>
          <w:left w:w="108" w:type="dxa"/>
          <w:bottom w:w="0" w:type="dxa"/>
          <w:right w:w="108" w:type="dxa"/>
        </w:tblCellMar>
      </w:tblPr>
      <w:tblGrid>
        <w:gridCol w:w="10166"/>
      </w:tblGrid>
      <w:tr w14:paraId="0BB3C4B3">
        <w:tblPrEx>
          <w:tblCellMar>
            <w:top w:w="0" w:type="dxa"/>
            <w:left w:w="108" w:type="dxa"/>
            <w:bottom w:w="0" w:type="dxa"/>
            <w:right w:w="108" w:type="dxa"/>
          </w:tblCellMar>
        </w:tblPrEx>
        <w:trPr>
          <w:jc w:val="center"/>
        </w:trPr>
        <w:tc>
          <w:tcPr>
            <w:tcW w:w="10166" w:type="dxa"/>
            <w:shd w:val="clear" w:color="auto" w:fill="F2F2F2"/>
            <w:tcMar>
              <w:top w:w="110" w:type="dxa"/>
              <w:left w:w="130" w:type="dxa"/>
              <w:bottom w:w="110" w:type="dxa"/>
              <w:right w:w="130" w:type="dxa"/>
            </w:tcMar>
          </w:tcPr>
          <w:p w14:paraId="3A4AB223">
            <w:r>
              <w:rPr>
                <w:b/>
              </w:rPr>
              <w:t>Clinical scenario</w:t>
            </w:r>
            <w:r>
              <w:rPr>
                <w:b/>
              </w:rPr>
              <w:br w:type="textWrapping"/>
            </w:r>
            <w:r>
              <w:t>A 46-year-old man with BMI 39 kg/m², resistant hypertension, loud snoring, witnessed apnoeas and excessive daytime sleepiness undergoes overnight sleep testing. Apnoea–hypopnoea index (AHI) = 38 events/hour with repeated oxygen desaturations. There is no known neuromuscular disease. Serum bicarbonate is 29 mmol/L, raising concern for coexistent hypoventilation.</w:t>
            </w:r>
          </w:p>
        </w:tc>
      </w:tr>
    </w:tbl>
    <w:p w14:paraId="6F5660F5">
      <w:pPr>
        <w:spacing w:after="0"/>
      </w:pPr>
    </w:p>
    <w:p w14:paraId="5758B5E8">
      <w:pPr>
        <w:jc w:val="center"/>
      </w:pPr>
      <w:r>
        <w:drawing>
          <wp:inline distT="0" distB="0" distL="114300" distR="114300">
            <wp:extent cx="2743200" cy="2138680"/>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1"/>
                    <a:stretch>
                      <a:fillRect/>
                    </a:stretch>
                  </pic:blipFill>
                  <pic:spPr>
                    <a:xfrm>
                      <a:off x="0" y="0"/>
                      <a:ext cx="2743200" cy="2138839"/>
                    </a:xfrm>
                    <a:prstGeom prst="rect">
                      <a:avLst/>
                    </a:prstGeom>
                  </pic:spPr>
                </pic:pic>
              </a:graphicData>
            </a:graphic>
          </wp:inline>
        </w:drawing>
      </w:r>
    </w:p>
    <w:p w14:paraId="12B9A16E">
      <w:pPr>
        <w:pStyle w:val="166"/>
        <w:jc w:val="center"/>
      </w:pPr>
      <w:r>
        <w:rPr>
          <w:b/>
          <w:sz w:val="19"/>
        </w:rPr>
        <w:t xml:space="preserve">Image </w:t>
      </w:r>
    </w:p>
    <w:p w14:paraId="504BE014">
      <w:pPr>
        <w:pStyle w:val="4"/>
      </w:pPr>
      <w:r>
        <w:t>Candidate tasks</w:t>
      </w:r>
    </w:p>
    <w:p w14:paraId="158649BA">
      <w:pPr>
        <w:ind w:left="360" w:hanging="317"/>
      </w:pPr>
      <w:r>
        <w:rPr>
          <w:b/>
        </w:rPr>
        <w:t xml:space="preserve">1. </w:t>
      </w:r>
      <w:r>
        <w:t>State the diagnosis and grade its severity from the AHI.</w:t>
      </w:r>
    </w:p>
    <w:p w14:paraId="22EDFF6A">
      <w:pPr>
        <w:ind w:left="360" w:hanging="317"/>
      </w:pPr>
      <w:r>
        <w:rPr>
          <w:b/>
        </w:rPr>
        <w:t xml:space="preserve">2. </w:t>
      </w:r>
      <w:r>
        <w:t>Explain the major cardiovascular, neurocognitive and driving-safety consequences you would assess.</w:t>
      </w:r>
    </w:p>
    <w:p w14:paraId="369A162B">
      <w:pPr>
        <w:ind w:left="360" w:hanging="317"/>
      </w:pPr>
      <w:r>
        <w:rPr>
          <w:b/>
        </w:rPr>
        <w:t xml:space="preserve">3. </w:t>
      </w:r>
      <w:r>
        <w:t>State first-line positive-airway-pressure therapy for uncomplicated moderate-to-severe OSA and important behavioural measures.</w:t>
      </w:r>
    </w:p>
    <w:p w14:paraId="579E79E8">
      <w:pPr>
        <w:ind w:left="360" w:hanging="317"/>
      </w:pPr>
      <w:r>
        <w:rPr>
          <w:b/>
        </w:rPr>
        <w:t xml:space="preserve">4. </w:t>
      </w:r>
      <w:r>
        <w:t>Identify the device shown. Explain the difference between CPAP and bilevel PAP in terms of pressure delivery.</w:t>
      </w:r>
    </w:p>
    <w:p w14:paraId="723E7DA8">
      <w:pPr>
        <w:ind w:left="360" w:hanging="317"/>
      </w:pPr>
      <w:r>
        <w:rPr>
          <w:b/>
        </w:rPr>
        <w:t xml:space="preserve">5. </w:t>
      </w:r>
      <w:r>
        <w:t>Explain why the raised bicarbonate should prompt assessment for obesity hypoventilation syndrome and name the confirmatory daytime test.</w:t>
      </w:r>
    </w:p>
    <w:p w14:paraId="1C59CFA2">
      <w:pPr>
        <w:ind w:left="360" w:hanging="317"/>
      </w:pPr>
      <w:r>
        <w:rPr>
          <w:b/>
        </w:rPr>
        <w:t xml:space="preserve">6. </w:t>
      </w:r>
      <w:r>
        <w:t>Give three reasons for poor PAP adherence and practical interventions to improve adherence.</w:t>
      </w:r>
      <w:bookmarkStart w:id="0" w:name="_GoBack"/>
      <w:bookmarkEnd w:id="0"/>
    </w:p>
    <w:sectPr>
      <w:headerReference r:id="rId5" w:type="default"/>
      <w:footerReference r:id="rId6" w:type="default"/>
      <w:pgSz w:w="12240" w:h="15840"/>
      <w:pgMar w:top="936" w:right="1037" w:bottom="936" w:left="103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ABBAC2">
    <w:pPr>
      <w:pStyle w:val="18"/>
      <w:jc w:val="center"/>
    </w:pPr>
    <w:r>
      <w:rPr>
        <w:rFonts w:ascii="Times New Roman" w:hAnsi="Times New Roman"/>
        <w:sz w:val="18"/>
      </w:rPr>
      <w:t xml:space="preserve">Page </w:t>
    </w:r>
    <w:r>
      <w:fldChar w:fldCharType="begin"/>
    </w:r>
    <w:r>
      <w:instrText xml:space="preserve">PAGE</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7AD6D5">
    <w:pPr>
      <w:pStyle w:val="19"/>
      <w:jc w:val="right"/>
    </w:pPr>
    <w:r>
      <w:rPr>
        <w:rFonts w:ascii="Times New Roman" w:hAnsi="Times New Roman"/>
        <w:i/>
        <w:sz w:val="17"/>
      </w:rPr>
      <w:t>Master’s-Level Respiratory OSCE Bank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B3A7BA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80" w:line="259" w:lineRule="auto"/>
    </w:pPr>
    <w:rPr>
      <w:rFonts w:ascii="Times New Roman" w:hAnsi="Times New Roman" w:eastAsia="Times New Roman" w:cstheme="minorBidi"/>
      <w:sz w:val="23"/>
      <w:szCs w:val="22"/>
      <w:lang w:val="en-US" w:eastAsia="en-US" w:bidi="ar-SA"/>
    </w:rPr>
  </w:style>
  <w:style w:type="paragraph" w:styleId="2">
    <w:name w:val="heading 1"/>
    <w:basedOn w:val="1"/>
    <w:next w:val="1"/>
    <w:link w:val="138"/>
    <w:qFormat/>
    <w:uiPriority w:val="9"/>
    <w:pPr>
      <w:keepNext/>
      <w:keepLines/>
      <w:spacing w:before="140" w:after="80"/>
      <w:outlineLvl w:val="0"/>
    </w:pPr>
    <w:rPr>
      <w:rFonts w:asciiTheme="majorHAnsi" w:hAnsiTheme="majorHAnsi" w:eastAsiaTheme="majorEastAsia" w:cstheme="majorBidi"/>
      <w:b/>
      <w:bCs/>
      <w:color w:val="000000"/>
      <w:sz w:val="34"/>
      <w:szCs w:val="28"/>
    </w:rPr>
  </w:style>
  <w:style w:type="paragraph" w:styleId="3">
    <w:name w:val="heading 2"/>
    <w:basedOn w:val="1"/>
    <w:next w:val="1"/>
    <w:link w:val="139"/>
    <w:unhideWhenUsed/>
    <w:qFormat/>
    <w:uiPriority w:val="9"/>
    <w:pPr>
      <w:keepNext/>
      <w:keepLines/>
      <w:spacing w:before="140" w:after="80"/>
      <w:outlineLvl w:val="1"/>
    </w:pPr>
    <w:rPr>
      <w:rFonts w:asciiTheme="majorHAnsi" w:hAnsiTheme="majorHAnsi" w:eastAsiaTheme="majorEastAsia" w:cstheme="majorBidi"/>
      <w:b/>
      <w:bCs/>
      <w:color w:val="000000"/>
      <w:sz w:val="28"/>
      <w:szCs w:val="26"/>
    </w:rPr>
  </w:style>
  <w:style w:type="paragraph" w:styleId="4">
    <w:name w:val="heading 3"/>
    <w:basedOn w:val="1"/>
    <w:next w:val="1"/>
    <w:link w:val="140"/>
    <w:unhideWhenUsed/>
    <w:qFormat/>
    <w:uiPriority w:val="9"/>
    <w:pPr>
      <w:keepNext/>
      <w:keepLines/>
      <w:spacing w:before="140" w:after="80"/>
      <w:outlineLvl w:val="2"/>
    </w:pPr>
    <w:rPr>
      <w:rFonts w:asciiTheme="majorHAnsi" w:hAnsiTheme="majorHAnsi" w:eastAsiaTheme="majorEastAsia" w:cstheme="majorBidi"/>
      <w:b/>
      <w:bCs/>
      <w:color w:val="000000"/>
      <w:sz w:val="24"/>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000000"/>
      <w:spacing w:val="15"/>
      <w:sz w:val="28"/>
      <w:szCs w:val="24"/>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000000"/>
      <w:spacing w:val="5"/>
      <w:kern w:val="28"/>
      <w:sz w:val="48"/>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 w:type="paragraph" w:customStyle="1" w:styleId="164">
    <w:name w:val="Station Label"/>
    <w:qFormat/>
    <w:uiPriority w:val="0"/>
    <w:pPr>
      <w:spacing w:after="200" w:line="276" w:lineRule="auto"/>
    </w:pPr>
    <w:rPr>
      <w:rFonts w:ascii="Times New Roman" w:hAnsi="Times New Roman" w:eastAsia="Times New Roman" w:cstheme="minorBidi"/>
      <w:b/>
      <w:sz w:val="22"/>
      <w:szCs w:val="22"/>
      <w:lang w:val="en-US" w:eastAsia="en-US" w:bidi="ar-SA"/>
    </w:rPr>
  </w:style>
  <w:style w:type="paragraph" w:customStyle="1" w:styleId="165">
    <w:name w:val="Small Note"/>
    <w:qFormat/>
    <w:uiPriority w:val="0"/>
    <w:pPr>
      <w:spacing w:after="200" w:line="276" w:lineRule="auto"/>
    </w:pPr>
    <w:rPr>
      <w:rFonts w:ascii="Times New Roman" w:hAnsi="Times New Roman" w:eastAsia="Times New Roman" w:cstheme="minorBidi"/>
      <w:i/>
      <w:sz w:val="19"/>
      <w:szCs w:val="22"/>
      <w:lang w:val="en-US" w:eastAsia="en-US" w:bidi="ar-SA"/>
    </w:rPr>
  </w:style>
  <w:style w:type="paragraph" w:customStyle="1" w:styleId="166">
    <w:name w:val="Image Credit"/>
    <w:qFormat/>
    <w:uiPriority w:val="0"/>
    <w:pPr>
      <w:spacing w:after="200" w:line="276" w:lineRule="auto"/>
    </w:pPr>
    <w:rPr>
      <w:rFonts w:ascii="Times New Roman" w:hAnsi="Times New Roman" w:eastAsia="Times New Roman" w:cstheme="minorBidi"/>
      <w:i/>
      <w:color w:val="5A5A5A"/>
      <w:sz w:val="16"/>
      <w:szCs w:val="22"/>
      <w:lang w:val="en-US" w:eastAsia="en-US" w:bidi="ar-SA"/>
    </w:rPr>
  </w:style>
  <w:style w:type="paragraph" w:customStyle="1" w:styleId="167">
    <w:name w:val="Examiner Key"/>
    <w:qFormat/>
    <w:uiPriority w:val="0"/>
    <w:pPr>
      <w:spacing w:after="200" w:line="276" w:lineRule="auto"/>
    </w:pPr>
    <w:rPr>
      <w:rFonts w:ascii="Times New Roman" w:hAnsi="Times New Roman" w:eastAsia="Times New Roman" w:cstheme="minorBidi"/>
      <w:b/>
      <w:sz w:val="22"/>
      <w:szCs w:val="22"/>
      <w:lang w:val="en-US" w:eastAsia="en-US" w:bidi="ar-SA"/>
    </w:rPr>
  </w:style>
  <w:style w:type="paragraph" w:customStyle="1" w:styleId="168">
    <w:name w:val="Critical Fail"/>
    <w:qFormat/>
    <w:uiPriority w:val="0"/>
    <w:pPr>
      <w:spacing w:after="200" w:line="276" w:lineRule="auto"/>
    </w:pPr>
    <w:rPr>
      <w:rFonts w:ascii="Times New Roman" w:hAnsi="Times New Roman" w:eastAsia="Times New Roman" w:cstheme="minorBidi"/>
      <w:b/>
      <w:sz w:val="21"/>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6.jpeg"/><Relationship Id="rId12" Type="http://schemas.openxmlformats.org/officeDocument/2006/relationships/image" Target="media/image5.jpeg"/><Relationship Id="rId11" Type="http://schemas.openxmlformats.org/officeDocument/2006/relationships/image" Target="media/image4.jpe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5209</Words>
  <Characters>33855</Characters>
  <Lines>0</Lines>
  <Paragraphs>0</Paragraphs>
  <TotalTime>14</TotalTime>
  <ScaleCrop>false</ScaleCrop>
  <LinksUpToDate>false</LinksUpToDate>
  <CharactersWithSpaces>38487</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OpenAI</dc:creator>
  <dc:description>generated by python-docx</dc:description>
  <cp:keywords>respiratory, OSCE, masters, asthma, COPD, PE, pleural disease, pneumonia, IPF, bronchiectasis, OSA</cp:keywords>
  <cp:lastModifiedBy>james masanja</cp:lastModifiedBy>
  <dcterms:modified xsi:type="dcterms:W3CDTF">2026-08-13T06:25:35Z</dcterms:modified>
  <dc:subject>Respiratory diseases OSCE: diagnosis, investigations, interpretation, examination, treatment and device technique</dc:subject>
  <dc:title>Master’s-Level Respiratory OSCE Bank – 10 Stations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eyJoZGlkIjoiMWRlZDA3ZDc0ZDllZDY4NWY3YjU4M2JhZWVhODQzMzQiLCJ1c2VySWQiOiIzNzI4NDI0Njc1OTAyIn0=</vt:lpwstr>
  </property>
  <property fmtid="{D5CDD505-2E9C-101B-9397-08002B2CF9AE}" pid="3" name="KSOProductBuildVer">
    <vt:lpwstr>1033-12.1.0.28032</vt:lpwstr>
  </property>
  <property fmtid="{D5CDD505-2E9C-101B-9397-08002B2CF9AE}" pid="4" name="ICV">
    <vt:lpwstr>6944A1C0A68A420DAF88D67809563649_12</vt:lpwstr>
  </property>
</Properties>
</file>