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Figtree" w:cs="Figtree" w:eastAsia="Figtree" w:hAnsi="Figtree"/>
          <w:b/>
          <w:bCs/>
          <w:color w:val="1F4E9C"/>
          <w:sz w:val="40"/>
          <w:szCs w:val="40"/>
        </w:rPr>
        <w:t xml:space="preserve">Investigation Reports</w:t>
      </w:r>
    </w:p>
    <w:p>
      <w:pPr>
        <w:pBdr>
          <w:bottom w:val="single" w:color="2E7D32" w:sz="12" w:space="6"/>
        </w:pBdr>
        <w:spacing w:after="280"/>
      </w:pPr>
      <w:r>
        <w:rPr>
          <w:rFonts w:ascii="Figtree" w:cs="Figtree" w:eastAsia="Figtree" w:hAnsi="Figtree"/>
          <w:color w:val="5F6B7A"/>
          <w:sz w:val="22"/>
          <w:szCs w:val="22"/>
        </w:rPr>
        <w:t xml:space="preserve">Compiled clinical investigation results, structured by investigation</w:t>
      </w:r>
    </w:p>
    <w:p>
      <w:pPr>
        <w:pStyle w:val="Heading1"/>
        <w:keepNext/>
      </w:pPr>
      <w:r>
        <w:rPr>
          <w:rFonts w:ascii="Figtree" w:cs="Figtree" w:eastAsia="Figtree" w:hAnsi="Figtree"/>
          <w:b/>
          <w:bCs/>
          <w:color w:val="1F4E9C"/>
          <w:sz w:val="28"/>
          <w:szCs w:val="28"/>
        </w:rPr>
        <w:t xml:space="preserve">Patient details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Patient 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 years (recorded on the reports as 37.06.07)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 / Ward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Ordering clinician (laboratory)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JUMA ATHUMANI MFINANGA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Compilation 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27 September 2026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Figtree" w:cs="Figtree" w:eastAsia="Figtree" w:hAnsi="Figtree"/>
          <w:b/>
          <w:bCs/>
          <w:color w:val="1F4E9C"/>
          <w:sz w:val="28"/>
          <w:szCs w:val="28"/>
        </w:rPr>
        <w:t xml:space="preserve">Investigations at a glance</w:t>
      </w:r>
    </w:p>
    <w:p>
      <w:pPr>
        <w:spacing w:after="120" w:before="0" w:line="276"/>
      </w:pPr>
      <w:r>
        <w:rPr>
          <w:rFonts w:ascii="Figtree" w:cs="Figtree" w:eastAsia="Figtree" w:hAnsi="Figtree"/>
          <w:color w:val="5F6B7A"/>
          <w:sz w:val="20"/>
          <w:szCs w:val="20"/>
        </w:rPr>
        <w:t xml:space="preserve">Results in date order. The full reports follow in the sections below.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1700"/>
        <w:gridCol w:w="2600"/>
        <w:gridCol w:w="5338"/>
      </w:tblGrid>
      <w:tr>
        <w:trPr>
          <w:cantSplit/>
          <w:tblHeader/>
        </w:trPr>
        <w:tc>
          <w:tcPr>
            <w:tcW w:type="dxa" w:w="1700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Investigation</w:t>
            </w:r>
          </w:p>
        </w:tc>
        <w:tc>
          <w:tcPr>
            <w:tcW w:type="dxa" w:w="5338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Key result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02/07/2026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Full blood count with differential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WBC 6.102 K/uL; HGB 13.26 g/dL; eosinophils 9.229 % (High); basophils 3.926 % (High); platelets 447.0 K/uL (High); MCH 26.96 pg and MCHC 30.26 g/dL (Low)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03/07/2026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Chest X-ray PA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Fibrotic bands in the bilateral lower zones with architectural distortion; blunted costophrenic and cardiophrenic angles; features suggestive of fibrotic lung disease; chest HRCT recommended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ESR (Westergren)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15 mm/hr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Adenosine deaminase, serum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12.9311 U/L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Immunoglobulin E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40.9 IU/mL (reference 0 - 100)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AFB staining (x3), sputum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 AFB seen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HIV I &amp; II antibodies/antigen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Negative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09/07/2026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CT scan chest with IV contrast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Extensive bilateral cystic bronchiectatic changes with traction bronchiectasis and honeycombing-like destruction, middle and lower zones; superimposed ground-glass opacities; nonspecific subcentimeter mediastinal nodes; appearances favour chronic post-infectious cystic bronchiectasis, previous pulmonary tuberculosis a consideration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17/09/2026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Echocardiogram (TTE)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 chamber sizes and LV wall thickness; EF 65 %, TAPSE 18 mm, E/A 1.1; septal dyskinesia, consider conduction abnormality; no significant valvulopathies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18/09/2026 collected; 20/09/2026 reported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Sputum microscopy, culture and sensitivity</w:t>
            </w:r>
          </w:p>
        </w:tc>
        <w:tc>
          <w:tcPr>
            <w:tcW w:type="dxa" w:w="53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Pseudomonas aeruginosa 2++; sensitive to cefepime, meropenem, piperacillin/tazobactam and tobramycin</w:t>
            </w:r>
          </w:p>
        </w:tc>
      </w:tr>
    </w:tbl>
    <w:p>
      <w:pPr>
        <w:pStyle w:val="Heading1"/>
        <w:keepNext/>
      </w:pPr>
      <w:r>
        <w:rPr>
          <w:rFonts w:ascii="Figtree" w:cs="Figtree" w:eastAsia="Figtree" w:hAnsi="Figtree"/>
          <w:b/>
          <w:bCs/>
          <w:color w:val="1F4E9C"/>
          <w:sz w:val="28"/>
          <w:szCs w:val="28"/>
        </w:rPr>
        <w:t xml:space="preserve">Full reports</w:t>
      </w:r>
    </w:p>
    <w:p>
      <w:pPr>
        <w:spacing w:after="160" w:before="0" w:line="276"/>
      </w:pPr>
      <w:r>
        <w:rPr>
          <w:rFonts w:ascii="Figtree" w:cs="Figtree" w:eastAsia="Figtree" w:hAnsi="Figtree"/>
          <w:color w:val="5F6B7A"/>
          <w:sz w:val="20"/>
          <w:szCs w:val="20"/>
        </w:rPr>
        <w:t xml:space="preserve">The reports are reproduced as compiled from the source documents, in the order: imaging, cardiology, laboratory.</w:t>
      </w:r>
    </w:p>
    <w:p>
      <w:pPr>
        <w:pStyle w:val="Heading2"/>
        <w:keepNext/>
      </w:pPr>
      <w:r>
        <w:rPr>
          <w:rFonts w:ascii="Figtree" w:cs="Figtree" w:eastAsia="Figtree" w:hAnsi="Figtree"/>
          <w:b/>
          <w:bCs/>
          <w:color w:val="1F4E9C"/>
          <w:sz w:val="24"/>
          <w:szCs w:val="24"/>
        </w:rPr>
        <w:t xml:space="preserve">Imaging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1. CT Scan Chest (Test 003418)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Patient 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Patient 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Patient 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Report 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09/07/2026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Report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07:03:18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OP Bill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15-BN-26-000427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9585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Exam 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09/07/2026</w:t>
            </w:r>
          </w:p>
        </w:tc>
      </w:tr>
    </w:tbl>
    <w:p>
      <w:pPr>
        <w:spacing w:after="80"/>
      </w:pP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INDICATION: </w:t>
      </w:r>
      <w:r>
        <w:rPr>
          <w:rFonts w:ascii="Figtree" w:cs="Figtree" w:eastAsia="Figtree" w:hAnsi="Figtree"/>
          <w:i/>
          <w:iCs/>
          <w:color w:val="5F6B7A"/>
          <w:sz w:val="20"/>
          <w:szCs w:val="20"/>
        </w:rPr>
        <w:t xml:space="preserve">Not stated on the report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COMPARISON: </w:t>
      </w:r>
      <w:r>
        <w:rPr>
          <w:rFonts w:ascii="Figtree" w:cs="Figtree" w:eastAsia="Figtree" w:hAnsi="Figtree"/>
          <w:sz w:val="20"/>
          <w:szCs w:val="20"/>
        </w:rPr>
        <w:t xml:space="preserve">No prior exams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TECHNIQUE: </w:t>
      </w:r>
      <w:r>
        <w:rPr>
          <w:rFonts w:ascii="Figtree" w:cs="Figtree" w:eastAsia="Figtree" w:hAnsi="Figtree"/>
          <w:sz w:val="20"/>
          <w:szCs w:val="20"/>
        </w:rPr>
        <w:t xml:space="preserve">Helical CT scan from lung apices through the lung bases with IV contrast material. Axial, coronal and sagittal reconstructions were obtained.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ACQUISITION: </w:t>
      </w:r>
      <w:r>
        <w:rPr>
          <w:rFonts w:ascii="Figtree" w:cs="Figtree" w:eastAsia="Figtree" w:hAnsi="Figtree"/>
          <w:sz w:val="20"/>
          <w:szCs w:val="20"/>
        </w:rPr>
        <w:t xml:space="preserve">Non-gated CT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MEDICATIONS: </w:t>
      </w:r>
      <w:r>
        <w:rPr>
          <w:rFonts w:ascii="Figtree" w:cs="Figtree" w:eastAsia="Figtree" w:hAnsi="Figtree"/>
          <w:sz w:val="20"/>
          <w:szCs w:val="20"/>
        </w:rPr>
        <w:t xml:space="preserve">None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TECHNICAL QUALITY: </w:t>
      </w:r>
      <w:r>
        <w:rPr>
          <w:rFonts w:ascii="Figtree" w:cs="Figtree" w:eastAsia="Figtree" w:hAnsi="Figtree"/>
          <w:sz w:val="20"/>
          <w:szCs w:val="20"/>
        </w:rPr>
        <w:t xml:space="preserve">The study is of adequate technical quality for radiologic interpretation</w:t>
      </w:r>
    </w:p>
    <w:p>
      <w:pPr>
        <w:keepNext/>
        <w:spacing w:after="100" w:before="8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FINDINGS</w:t>
      </w:r>
    </w:p>
    <w:p>
      <w:pPr>
        <w:spacing w:after="100" w:before="0" w:line="276"/>
      </w:pPr>
      <w:r>
        <w:rPr>
          <w:rFonts w:ascii="Figtree" w:cs="Figtree" w:eastAsia="Figtree" w:hAnsi="Figtree"/>
          <w:sz w:val="20"/>
          <w:szCs w:val="20"/>
        </w:rPr>
        <w:t xml:space="preserve">There are multiple thin-walled cystic air-filled lesions involving both lungs, predominantly affecting the middle and lower lung zones. These are associated with traction bronchiectatic changes and architectural distortion, producing honeycombing-like appearance. Background patchy, ill-defined ground-glass opacities are also present bilaterally.</w:t>
      </w:r>
    </w:p>
    <w:p>
      <w:pPr>
        <w:spacing w:after="100" w:before="0" w:line="276"/>
      </w:pPr>
      <w:r>
        <w:rPr>
          <w:rFonts w:ascii="Figtree" w:cs="Figtree" w:eastAsia="Figtree" w:hAnsi="Figtree"/>
          <w:sz w:val="20"/>
          <w:szCs w:val="20"/>
        </w:rPr>
        <w:t xml:space="preserve">Multiple subcentimeter mediastinal lymph nodes are noted, which are nonspecific and not pathologically enlarged by size criteria.</w:t>
      </w:r>
    </w:p>
    <w:p>
      <w:pPr>
        <w:spacing w:after="100" w:before="0" w:line="276"/>
      </w:pPr>
      <w:r>
        <w:rPr>
          <w:rFonts w:ascii="Figtree" w:cs="Figtree" w:eastAsia="Figtree" w:hAnsi="Figtree"/>
          <w:sz w:val="20"/>
          <w:szCs w:val="20"/>
        </w:rPr>
        <w:t xml:space="preserve">Overall, the imaging features are most consistent with advanced cystic bronchiectatic change, likely representing sequelae of a prior chronic infective or inflammatory process. Previous pulmonary tuberculosis remains a consideration in the appropriate clinical setting.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Pleura: </w:t>
      </w:r>
      <w:r>
        <w:rPr>
          <w:rFonts w:ascii="Figtree" w:cs="Figtree" w:eastAsia="Figtree" w:hAnsi="Figtree"/>
          <w:sz w:val="20"/>
          <w:szCs w:val="20"/>
        </w:rPr>
        <w:t xml:space="preserve">No pleural thickening, effusion, or pneumothorax.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Cardiovascular: </w:t>
      </w:r>
      <w:r>
        <w:rPr>
          <w:rFonts w:ascii="Figtree" w:cs="Figtree" w:eastAsia="Figtree" w:hAnsi="Figtree"/>
          <w:sz w:val="20"/>
          <w:szCs w:val="20"/>
        </w:rPr>
        <w:t xml:space="preserve">Heart is normal in size. Pericardium is unremarkable. No coronary or aortic atherosclerosis. Great vessels are unremarkable.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Soft tissues and bones: </w:t>
      </w:r>
      <w:r>
        <w:rPr>
          <w:rFonts w:ascii="Figtree" w:cs="Figtree" w:eastAsia="Figtree" w:hAnsi="Figtree"/>
          <w:sz w:val="20"/>
          <w:szCs w:val="20"/>
        </w:rPr>
        <w:t xml:space="preserve">Chest wall soft tissues are unremarkable. NO suspicious lytic or blastic lesions.</w:t>
      </w:r>
    </w:p>
    <w:p>
      <w:pPr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Upper abdomen: </w:t>
      </w:r>
      <w:r>
        <w:rPr>
          <w:rFonts w:ascii="Figtree" w:cs="Figtree" w:eastAsia="Figtree" w:hAnsi="Figtree"/>
          <w:sz w:val="20"/>
          <w:szCs w:val="20"/>
        </w:rPr>
        <w:t xml:space="preserve">Unremarkable</w:t>
      </w:r>
    </w:p>
    <w:p>
      <w:pPr>
        <w:keepNext/>
        <w:spacing w:after="100" w:before="8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Conclusion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Extensive bilateral cystic bronchiectatic changes with associated traction bronchiectasis and honeycombing-like cystic destruction, predominantly involving the middle and lower lung zones.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Superimposed bilateral ill-defined ground-glass opacities, which may represent active inflammation, infection, or residual interstitial change.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Multiple nonspecific subcentimeter mediastinal lymph nodes.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Overall appearances favor chronic post-infectious cystic bronchiectasis, with previous pulmonary tuberculosis remaining an important consideration depending on the clinical history and microbiological findings.</w:t>
      </w:r>
    </w:p>
    <w:p>
      <w:pPr>
        <w:keepNext/>
        <w:spacing w:after="100" w:before="8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Differential diagnosis (ddx)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Post-infectious cystic bronchiectasis (most likely), including sequelae of previous pulmonary infection such as Tuberculosis.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Fibrotic hypersensitivity pneumonitis or other chronic fibrotic interstitial lung disease with traction bronchiectasis.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Idiopathic pulmonary fibrosis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Lymphoid interstitial pneumonia (less likely)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Chronic suppurative lung disease, including non-tuberculous mycobacterial infection, depending on clinical and microbiological correlation.</w:t>
      </w:r>
    </w:p>
    <w:p>
      <w:pPr>
        <w:spacing w:after="240" w:before="60" w:line="276"/>
      </w:pPr>
      <w:r>
        <w:rPr>
          <w:rFonts w:ascii="Figtree" w:cs="Figtree" w:eastAsia="Figtree" w:hAnsi="Figtree"/>
          <w:b/>
          <w:bCs/>
          <w:color w:val="5F6B7A"/>
          <w:sz w:val="19"/>
          <w:szCs w:val="19"/>
        </w:rPr>
        <w:t xml:space="preserve">Reported by: </w:t>
      </w:r>
      <w:r>
        <w:rPr>
          <w:rFonts w:ascii="Figtree" w:cs="Figtree" w:eastAsia="Figtree" w:hAnsi="Figtree"/>
          <w:i/>
          <w:iCs/>
          <w:color w:val="5F6B7A"/>
          <w:sz w:val="19"/>
          <w:szCs w:val="19"/>
        </w:rPr>
        <w:t xml:space="preserve">Dr.M.Ndukeki, Radiologist/ Radiology Superspecialist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2. X-Ray Chest PA (Examination 000357)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Patient 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RD-260001112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OP Bill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4A-BN-26-000152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Exam 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03/07/2026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Referred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10193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Body Part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CHEST PA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Clinical Notes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Patient with DIB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Prior images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Tubes &amp; Devices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[None]</w:t>
            </w:r>
          </w:p>
        </w:tc>
      </w:tr>
    </w:tbl>
    <w:p>
      <w:pPr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Findings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Fibrotic bands in the lower zones of bilateral lungs associated with architechtural distortion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Blurring of the bilateral hemidiaphragm and blunting of bilateral Costophrenic and Cardiophrenic angles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The Cardiac silhoutte is within normal limits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The mediastinum appears normal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Thoracic Cage is normal</w:t>
      </w:r>
    </w:p>
    <w:p>
      <w:pPr>
        <w:keepNext/>
        <w:spacing w:after="100" w:before="8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Impression: </w:t>
      </w:r>
      <w:r>
        <w:rPr>
          <w:rFonts w:ascii="Figtree" w:cs="Figtree" w:eastAsia="Figtree" w:hAnsi="Figtree"/>
          <w:sz w:val="20"/>
          <w:szCs w:val="20"/>
        </w:rPr>
        <w:t xml:space="preserve">Features are suggestive of fibrotic lung disease.</w:t>
      </w: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Recommendation: </w:t>
      </w:r>
      <w:r>
        <w:rPr>
          <w:rFonts w:ascii="Figtree" w:cs="Figtree" w:eastAsia="Figtree" w:hAnsi="Figtree"/>
          <w:sz w:val="20"/>
          <w:szCs w:val="20"/>
        </w:rPr>
        <w:t xml:space="preserve">Chest HRCT is recommended.</w:t>
      </w:r>
    </w:p>
    <w:p>
      <w:pPr>
        <w:spacing w:after="240" w:before="60" w:line="276"/>
      </w:pPr>
      <w:r>
        <w:rPr>
          <w:rFonts w:ascii="Figtree" w:cs="Figtree" w:eastAsia="Figtree" w:hAnsi="Figtree"/>
          <w:b/>
          <w:bCs/>
          <w:color w:val="5F6B7A"/>
          <w:sz w:val="19"/>
          <w:szCs w:val="19"/>
        </w:rPr>
        <w:t xml:space="preserve">Reported by: </w:t>
      </w:r>
      <w:r>
        <w:rPr>
          <w:rFonts w:ascii="Figtree" w:cs="Figtree" w:eastAsia="Figtree" w:hAnsi="Figtree"/>
          <w:i/>
          <w:iCs/>
          <w:color w:val="5F6B7A"/>
          <w:sz w:val="19"/>
          <w:szCs w:val="19"/>
        </w:rPr>
        <w:t xml:space="preserve">Dr Lameck W/Wilhard (Residents), Dr Anette K (Specialist Radiologist)</w:t>
      </w:r>
    </w:p>
    <w:p>
      <w:pPr>
        <w:pStyle w:val="Heading2"/>
        <w:keepNext/>
      </w:pPr>
      <w:r>
        <w:rPr>
          <w:rFonts w:ascii="Figtree" w:cs="Figtree" w:eastAsia="Figtree" w:hAnsi="Figtree"/>
          <w:b/>
          <w:bCs/>
          <w:color w:val="1F4E9C"/>
          <w:sz w:val="24"/>
          <w:szCs w:val="24"/>
        </w:rPr>
        <w:t xml:space="preserve">Cardiology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3. ECHO Cardiogram Report (Examination 003023 ECHO - MNH)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Patient 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 / 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37.06.07 / F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Report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RD-260040517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Report 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17/09/2026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Report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14:35:51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Exam 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17/09/2026</w:t>
            </w:r>
          </w:p>
        </w:tc>
      </w:tr>
    </w:tbl>
    <w:p>
      <w:pPr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Structural and functional assessment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IV 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I A 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Coronary Sinus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Doppler Study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Echo Window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TTE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Postion of the Heart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Levocardia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Visceral Situs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Solitus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Abdominal Aorta_I V C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Atrial Situs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Solitus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Right Atrium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Left Atrium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Ventricular Loop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Mitral Valve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tricuspid Valve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Great Arterial Relationship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Orgin of Great Arteries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Aortic Valve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Pulmonary Value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Aorta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Right Ventricle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Left Ventricle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Pulmonary Artery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Systemic Venous Drainage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</w:tbl>
    <w:p>
      <w:pPr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Flow across valves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Flow</w:t>
            </w:r>
          </w:p>
        </w:tc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FLOW ACROSS A V VALVES: Mitral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FLOW ACROSS A V VALVES: Tricuspid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FLOW ACROSS SEMILUNAR VALVES: Aortic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FLOW ACROSS SEMILUNAR VALVES: Pulmonary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Normal</w:t>
            </w:r>
          </w:p>
        </w:tc>
      </w:tr>
    </w:tbl>
    <w:p>
      <w:pPr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Conclusion</w:t>
      </w:r>
    </w:p>
    <w:p>
      <w:pPr>
        <w:spacing w:after="240" w:before="0" w:line="276"/>
      </w:pPr>
      <w:r>
        <w:rPr>
          <w:rFonts w:ascii="Figtree" w:cs="Figtree" w:eastAsia="Figtree" w:hAnsi="Figtree"/>
          <w:sz w:val="20"/>
          <w:szCs w:val="20"/>
        </w:rPr>
        <w:t xml:space="preserve">Normal heart chambers size, normal LV wall thickness. Good biventricular contractility and systolic function (EF=65%, TAPSE=18mm). Normal diastolic function, E/A=1.1 . Septal dyskinesia. No significant valvulopathies. Normal pericardium =&gt; Septal WMA consider conduction abnormality.</w:t>
      </w:r>
    </w:p>
    <w:p>
      <w:pPr>
        <w:pStyle w:val="Heading2"/>
        <w:keepNext/>
      </w:pPr>
      <w:r>
        <w:rPr>
          <w:rFonts w:ascii="Figtree" w:cs="Figtree" w:eastAsia="Figtree" w:hAnsi="Figtree"/>
          <w:b/>
          <w:bCs/>
          <w:color w:val="1F4E9C"/>
          <w:sz w:val="24"/>
          <w:szCs w:val="24"/>
        </w:rPr>
        <w:t xml:space="preserve">Laboratory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4. Microbiology Report (Sputum)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 Years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JUMA ATHUMANI MFINANGA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Ward / Clinic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 No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DG-260002887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 Date /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08/07/2026, 13:39:13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LB-260180420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Date /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20/09/2026, 11:54:44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Specimen Collected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GANGATA REMI SHAFURI, 18/09/2026, 09:12:33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Specimen Recieved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GANGATA REMI SHAFURI, 18/09/2026, 09:12:43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Sample Type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Sputum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Condition when Received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Good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Priority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Regular</w:t>
            </w:r>
          </w:p>
        </w:tc>
      </w:tr>
    </w:tbl>
    <w:p>
      <w:pPr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MACROSCOPY: </w:t>
      </w:r>
      <w:r>
        <w:rPr>
          <w:rFonts w:ascii="Figtree" w:cs="Figtree" w:eastAsia="Figtree" w:hAnsi="Figtree"/>
          <w:sz w:val="20"/>
          <w:szCs w:val="20"/>
        </w:rPr>
        <w:t xml:space="preserve">MUCOID</w:t>
      </w: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MICROSCOPY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POLYMORPHS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&lt;10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EPITHILIAL CELLS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&lt;10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EOSINOPHILS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1+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GRAM POSITIVE COCCI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1+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GRAM NEGATIVE COCCI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GRAM NEGATIVE BACILLI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2++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GRAM POSITIVE BACILLI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YEAST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ABSENT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HYPHAE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ABSENT</w:t>
            </w:r>
          </w:p>
        </w:tc>
      </w:tr>
    </w:tbl>
    <w:p>
      <w:pPr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SPUTUM INTERPRETATION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&lt;10 Epithelial cells &amp; more than &gt;25 polymorphs / low power field can be regarded as a representative specimen.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10 - 25 Epithelial cells / low power field irrespective of the number of polymorphs can indicate contamination with oropharyngeal secretions.</w:t>
      </w:r>
    </w:p>
    <w:p>
      <w:pPr>
        <w:keepNext/>
        <w:spacing w:after="100" w:before="8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FASTIDIOUS CULTURE REPORT</w:t>
      </w: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Organism: </w:t>
      </w:r>
      <w:r>
        <w:rPr>
          <w:rFonts w:ascii="Figtree" w:cs="Figtree" w:eastAsia="Figtree" w:hAnsi="Figtree"/>
          <w:sz w:val="20"/>
          <w:szCs w:val="20"/>
        </w:rPr>
        <w:t xml:space="preserve">1.PSEUDOMONAS AERUGINOSA</w:t>
      </w: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Result: </w:t>
      </w:r>
      <w:r>
        <w:rPr>
          <w:rFonts w:ascii="Figtree" w:cs="Figtree" w:eastAsia="Figtree" w:hAnsi="Figtree"/>
          <w:sz w:val="20"/>
          <w:szCs w:val="20"/>
        </w:rPr>
        <w:t xml:space="preserve">2++</w:t>
      </w: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Antibiotics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Antibiotic</w:t>
            </w:r>
          </w:p>
        </w:tc>
        <w:tc>
          <w:tcPr>
            <w:tcW w:type="dxa" w:w="4819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CEFEPIME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SENSITIVITY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MEROPENEM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SENSITIVITY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PIPERACILLIN / TAZOBACTAM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SENSITIVITY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TOBRAMYCIN</w:t>
            </w:r>
          </w:p>
        </w:tc>
        <w:tc>
          <w:tcPr>
            <w:tcW w:type="dxa" w:w="4819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SENSITIVITY</w:t>
            </w:r>
          </w:p>
        </w:tc>
      </w:tr>
    </w:tbl>
    <w:p>
      <w:pPr>
        <w:spacing w:after="240" w:before="0" w:line="276"/>
      </w:pPr>
      <w:r>
        <w:rPr>
          <w:rFonts w:ascii="Figtree" w:cs="Figtree" w:eastAsia="Figtree" w:hAnsi="Figtree"/>
          <w:sz w:val="20"/>
          <w:szCs w:val="20"/>
        </w:rPr>
        <w:t xml:space="preserve"/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5. Haematology Report [Final Result]: Full Blood Count with Differential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 Years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JUMA ATHUMANI MFINANGA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 / Ward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 No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DG-260002008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LB-260004182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02/07/2026, 12:37:53</w:t>
            </w:r>
          </w:p>
        </w:tc>
      </w:tr>
    </w:tbl>
    <w:p>
      <w:pPr>
        <w:keepNext/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Investigation: </w:t>
      </w:r>
      <w:r>
        <w:rPr>
          <w:rFonts w:ascii="Figtree" w:cs="Figtree" w:eastAsia="Figtree" w:hAnsi="Figtree"/>
          <w:sz w:val="20"/>
          <w:szCs w:val="20"/>
        </w:rPr>
        <w:t xml:space="preserve">FULL BLOOD COUNT WITH DIFFERENTIAL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238"/>
        <w:gridCol w:w="1900"/>
        <w:gridCol w:w="1200"/>
        <w:gridCol w:w="3300"/>
      </w:tblGrid>
      <w:tr>
        <w:trPr>
          <w:cantSplit/>
          <w:tblHeader/>
        </w:trPr>
        <w:tc>
          <w:tcPr>
            <w:tcW w:type="dxa" w:w="3238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900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1200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Flag</w:t>
            </w:r>
          </w:p>
        </w:tc>
        <w:tc>
          <w:tcPr>
            <w:tcW w:type="dxa" w:w="3300"/>
            <w:shd w:fill="1F4E9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FFFFFF"/>
                <w:sz w:val="19"/>
                <w:szCs w:val="19"/>
              </w:rPr>
              <w:t xml:space="preserve">Reference range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WBC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6.102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4 - 10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 NEUTROPHIL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2.327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2 - 6.9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NEUTROPHILS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38.13 %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Low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40 - 80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LYMPHOCYTES (ABSOLUTE)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2.436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0.6 - 3.4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LYMPHOCYTES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39.92 %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20 - 40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 MONOCYTES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.5365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0 - 0.9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MONOCYTES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8.792 %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2 - 10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 EOSINOPHILS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.5631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0 - 0.7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EOSINOPHILS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9.229 %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1 - 6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ABS BASOPHILS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.2395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0 - 2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BASOPHILS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3.926 %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0.02 - 0.1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RBC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4.917 M/uL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3.8 - 4.8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HGB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13.26 g/dL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12 - 15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HCT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43.81 %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36 - 46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MCV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89.08 fL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83 - 99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MCH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26.96 pg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Low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27 - 32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MCHC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30.26 g/dL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Low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31.5 - 34.5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RDW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14.30 %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11.6 - 14.8</w:t>
            </w:r>
          </w:p>
        </w:tc>
      </w:tr>
      <w:tr>
        <w:trPr>
          <w:cantSplit/>
        </w:trPr>
        <w:tc>
          <w:tcPr>
            <w:tcW w:type="dxa" w:w="32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PLATELETS</w:t>
            </w:r>
          </w:p>
        </w:tc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447.0 K/uL</w:t>
            </w:r>
          </w:p>
        </w:tc>
        <w:tc>
          <w:tcPr>
            <w:tcW w:type="dxa" w:w="1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color w:val="B03A2E"/>
                <w:sz w:val="19"/>
                <w:szCs w:val="19"/>
              </w:rPr>
              <w:t xml:space="preserve">High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150 - 410</w:t>
            </w:r>
          </w:p>
        </w:tc>
      </w:tr>
    </w:tbl>
    <w:p>
      <w:pPr>
        <w:spacing w:after="240" w:before="0" w:line="276"/>
      </w:pPr>
      <w:r>
        <w:rPr>
          <w:rFonts w:ascii="Figtree" w:cs="Figtree" w:eastAsia="Figtree" w:hAnsi="Figtree"/>
          <w:sz w:val="20"/>
          <w:szCs w:val="20"/>
        </w:rPr>
        <w:t xml:space="preserve"/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6. Haematology Report: ESR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LB-260016954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08/07/2026, 15:57</w:t>
            </w:r>
          </w:p>
        </w:tc>
      </w:tr>
    </w:tbl>
    <w:p>
      <w:pPr>
        <w:keepNext/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Test Description: </w:t>
      </w:r>
      <w:r>
        <w:rPr>
          <w:rFonts w:ascii="Figtree" w:cs="Figtree" w:eastAsia="Figtree" w:hAnsi="Figtree"/>
          <w:sz w:val="20"/>
          <w:szCs w:val="20"/>
        </w:rPr>
        <w:t xml:space="preserve">ESR (WESTERGREN)</w:t>
      </w:r>
    </w:p>
    <w:p>
      <w:pPr>
        <w:spacing w:after="24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Result: </w:t>
      </w:r>
      <w:r>
        <w:rPr>
          <w:rFonts w:ascii="Figtree" w:cs="Figtree" w:eastAsia="Figtree" w:hAnsi="Figtree"/>
          <w:sz w:val="20"/>
          <w:szCs w:val="20"/>
        </w:rPr>
        <w:t xml:space="preserve">ERYTHROCYTE SEDIMENTATION RATE 15 mm/hr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7. Clinical Chemistry: Adenosine Deaminase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LB-260016839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</w:tr>
    </w:tbl>
    <w:p>
      <w:pPr>
        <w:keepNext/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Test Description: </w:t>
      </w:r>
      <w:r>
        <w:rPr>
          <w:rFonts w:ascii="Figtree" w:cs="Figtree" w:eastAsia="Figtree" w:hAnsi="Figtree"/>
          <w:sz w:val="20"/>
          <w:szCs w:val="20"/>
        </w:rPr>
        <w:t xml:space="preserve">ADENEOSINE DEAMINASE - SERUM</w:t>
      </w:r>
    </w:p>
    <w:p>
      <w:pPr>
        <w:spacing w:after="24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Result: </w:t>
      </w:r>
      <w:r>
        <w:rPr>
          <w:rFonts w:ascii="Figtree" w:cs="Figtree" w:eastAsia="Figtree" w:hAnsi="Figtree"/>
          <w:sz w:val="20"/>
          <w:szCs w:val="20"/>
        </w:rPr>
        <w:t xml:space="preserve">ADA- ADENEOSINE DEAMINASE - SERUM 12.9311 U/L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8. Immunology Report [Provisional Result]: Immunoglobulin E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 Years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Ordered By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JUMA ATHUMANI MFINANGA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 / Ward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Order No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DG-260002887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No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LB-260016803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Date / Time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08/07/2026, 15:27:02</w:t>
            </w:r>
          </w:p>
        </w:tc>
      </w:tr>
    </w:tbl>
    <w:p>
      <w:pPr>
        <w:keepNext/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Investigation: </w:t>
      </w:r>
      <w:r>
        <w:rPr>
          <w:rFonts w:ascii="Figtree" w:cs="Figtree" w:eastAsia="Figtree" w:hAnsi="Figtree"/>
          <w:sz w:val="20"/>
          <w:szCs w:val="20"/>
        </w:rPr>
        <w:t xml:space="preserve">IMMUNOGLOBULIN E</w:t>
      </w: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Result: </w:t>
      </w:r>
      <w:r>
        <w:rPr>
          <w:rFonts w:ascii="Figtree" w:cs="Figtree" w:eastAsia="Figtree" w:hAnsi="Figtree"/>
          <w:sz w:val="20"/>
          <w:szCs w:val="20"/>
        </w:rPr>
        <w:t xml:space="preserve">40.9 IU/mL</w:t>
      </w:r>
    </w:p>
    <w:p>
      <w:pPr>
        <w:spacing w:after="24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Reference Range: </w:t>
      </w:r>
      <w:r>
        <w:rPr>
          <w:rFonts w:ascii="Figtree" w:cs="Figtree" w:eastAsia="Figtree" w:hAnsi="Figtree"/>
          <w:sz w:val="20"/>
          <w:szCs w:val="20"/>
        </w:rPr>
        <w:t xml:space="preserve">0 - 100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9. TB Department: AFB Staining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37.06.07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Specimen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SPUTUM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LB-260017601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</w:tr>
    </w:tbl>
    <w:p>
      <w:pPr>
        <w:keepNext/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Test Description: </w:t>
      </w:r>
      <w:r>
        <w:rPr>
          <w:rFonts w:ascii="Figtree" w:cs="Figtree" w:eastAsia="Figtree" w:hAnsi="Figtree"/>
          <w:sz w:val="20"/>
          <w:szCs w:val="20"/>
        </w:rPr>
        <w:t xml:space="preserve">AFB STAINING (X 3)</w:t>
      </w:r>
    </w:p>
    <w:p>
      <w:pPr>
        <w:spacing w:after="24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Result: </w:t>
      </w:r>
      <w:r>
        <w:rPr>
          <w:rFonts w:ascii="Figtree" w:cs="Figtree" w:eastAsia="Figtree" w:hAnsi="Figtree"/>
          <w:sz w:val="20"/>
          <w:szCs w:val="20"/>
        </w:rPr>
        <w:t xml:space="preserve">NO AFB SEEN</w:t>
      </w:r>
    </w:p>
    <w:p>
      <w:pPr>
        <w:pStyle w:val="Heading3"/>
        <w:keepNext/>
      </w:pPr>
      <w:r>
        <w:rPr>
          <w:rFonts w:ascii="Figtree" w:cs="Figtree" w:eastAsia="Figtree" w:hAnsi="Figtree"/>
          <w:b/>
          <w:bCs/>
          <w:color w:val="2E7D32"/>
          <w:sz w:val="21"/>
          <w:szCs w:val="21"/>
        </w:rPr>
        <w:t xml:space="preserve">10. Serology: HIV</w:t>
      </w:r>
    </w:p>
    <w:tbl>
      <w:tblPr>
        <w:tblW w:type="dxa" w:w="9638"/>
        <w:tblBorders>
          <w:top w:val="single" w:color="C9D3E0" w:sz="4"/>
          <w:left w:val="single" w:color="C9D3E0" w:sz="4"/>
          <w:bottom w:val="single" w:color="C9D3E0" w:sz="4"/>
          <w:right w:val="single" w:color="C9D3E0" w:sz="4"/>
          <w:insideH w:val="single" w:color="C9D3E0" w:sz="4"/>
          <w:insideV w:val="single" w:color="C9D3E0" w:sz="4"/>
        </w:tblBorders>
        <w:tblLayout w:type="fixed"/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JANETH MENDRADI NDALI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Age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37.06.0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Sex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MR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M96-82-60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Clinic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EMERGENCY MEDICINE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Result Number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LB-260017102</w:t>
            </w:r>
          </w:p>
        </w:tc>
      </w:tr>
      <w:tr>
        <w:trPr>
          <w:cantSplit/>
        </w:trPr>
        <w:tc>
          <w:tcPr>
            <w:tcW w:type="dxa" w:w="3000"/>
            <w:shd w:fill="EEF3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6638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60"/>
            </w:pPr>
            <w:r>
              <w:rPr>
                <w:rFonts w:ascii="Figtree" w:cs="Figtree" w:eastAsia="Figtree" w:hAnsi="Figtree"/>
                <w:sz w:val="19"/>
                <w:szCs w:val="19"/>
              </w:rPr>
              <w:t xml:space="preserve">08/07/2026</w:t>
            </w:r>
          </w:p>
        </w:tc>
      </w:tr>
    </w:tbl>
    <w:p>
      <w:pPr>
        <w:keepNext/>
        <w:spacing w:after="80"/>
      </w:pPr>
    </w:p>
    <w:p>
      <w:pPr>
        <w:keepNext/>
        <w:spacing w:after="10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Test Description: </w:t>
      </w:r>
      <w:r>
        <w:rPr>
          <w:rFonts w:ascii="Figtree" w:cs="Figtree" w:eastAsia="Figtree" w:hAnsi="Figtree"/>
          <w:sz w:val="20"/>
          <w:szCs w:val="20"/>
        </w:rPr>
        <w:t xml:space="preserve">HIV I &amp; II ANTIBODIES/ANTIGEN</w:t>
      </w:r>
    </w:p>
    <w:p>
      <w:pPr>
        <w:spacing w:after="240" w:before="0" w:line="276"/>
      </w:pPr>
      <w:r>
        <w:rPr>
          <w:rFonts w:ascii="Figtree" w:cs="Figtree" w:eastAsia="Figtree" w:hAnsi="Figtree"/>
          <w:b/>
          <w:bCs/>
          <w:sz w:val="20"/>
          <w:szCs w:val="20"/>
        </w:rPr>
        <w:t xml:space="preserve">Result: </w:t>
      </w:r>
      <w:r>
        <w:rPr>
          <w:rFonts w:ascii="Figtree" w:cs="Figtree" w:eastAsia="Figtree" w:hAnsi="Figtree"/>
          <w:sz w:val="20"/>
          <w:szCs w:val="20"/>
        </w:rPr>
        <w:t xml:space="preserve">HIV I &amp; II ANTIBODIES (ELISA) Negative</w:t>
      </w:r>
    </w:p>
    <w:p>
      <w:pPr>
        <w:pStyle w:val="Heading2"/>
        <w:keepNext/>
      </w:pPr>
      <w:r>
        <w:rPr>
          <w:rFonts w:ascii="Figtree" w:cs="Figtree" w:eastAsia="Figtree" w:hAnsi="Figtree"/>
          <w:b/>
          <w:bCs/>
          <w:color w:val="1F4E9C"/>
          <w:sz w:val="24"/>
          <w:szCs w:val="24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Report contents are reproduced as compiled from the source reports, including original wording, abbreviations and spellings.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Dates are in day/month/year format as printed on the reports.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Figtree" w:cs="Figtree" w:eastAsia="Figtree" w:hAnsi="Figtree"/>
          <w:sz w:val="20"/>
          <w:szCs w:val="20"/>
        </w:rPr>
        <w:t xml:space="preserve">Flags (High, Low) and reference ranges are those printed by the reporting laboratory.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Figtree" w:cs="Figtree" w:eastAsia="Figtree" w:hAnsi="Figtree"/>
        <w:color w:val="5F6B7A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E0" w:sz="4" w:space="4"/>
      </w:pBdr>
      <w:spacing w:after="0"/>
      <w:jc w:val="right"/>
    </w:pPr>
    <w:r>
      <w:rPr>
        <w:rFonts w:ascii="Figtree" w:cs="Figtree" w:eastAsia="Figtree" w:hAnsi="Figtree"/>
        <w:b/>
        <w:bCs/>
        <w:color w:val="5F6B7A"/>
        <w:sz w:val="17"/>
        <w:szCs w:val="17"/>
      </w:rPr>
      <w:t xml:space="preserve">JANETH MENDRADI NDALI</w:t>
    </w:r>
    <w:r>
      <w:rPr>
        <w:rFonts w:ascii="Figtree" w:cs="Figtree" w:eastAsia="Figtree" w:hAnsi="Figtree"/>
        <w:color w:val="5F6B7A"/>
        <w:sz w:val="17"/>
        <w:szCs w:val="17"/>
      </w:rPr>
      <w:t xml:space="preserve">   |   MR Number M96-82-60   |   Investigation reports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igtree" w:cs="Figtree" w:eastAsia="Figtree" w:hAnsi="Figtre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Figtree" w:cs="Figtree" w:eastAsia="Figtree" w:hAnsi="Figtree"/>
      <w:b/>
      <w:bCs/>
      <w:color w:val="1F4E9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Figtree" w:cs="Figtree" w:eastAsia="Figtree" w:hAnsi="Figtree"/>
      <w:b/>
      <w:bCs/>
      <w:color w:val="1F4E9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Figtree" w:cs="Figtree" w:eastAsia="Figtree" w:hAnsi="Figtree"/>
      <w:b/>
      <w:bCs/>
      <w:color w:val="2E7D32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Investigation Reports: JANETH MENDRADI NDALI (MR M96-82-60)</dc:title>
  <dc:creator>Compiled investigation reports</dc:creator>
  <cp:lastModifiedBy>Un-named</cp:lastModifiedBy>
  <cp:revision>1</cp:revision>
  <dcterms:created xsi:type="dcterms:W3CDTF">2026-09-27T15:38:55.963Z</dcterms:created>
  <dcterms:modified xsi:type="dcterms:W3CDTF">2026-09-27T15:38:55.964Z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