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97F68" w:rsidRPr="00C97F68" w:rsidRDefault="00C97F68" w:rsidP="00C97F68">
      <w:r w:rsidRPr="00C97F68">
        <w:t>A comprehensive history in chronic liver disease (CLD) is the cornerstone of etiological diagnosis, staging, and complication detection, as each domain directly reflects underlying pathobiological mechanisms.</w:t>
      </w:r>
    </w:p>
    <w:p w:rsidR="00C97F68" w:rsidRPr="00C97F68" w:rsidRDefault="00652F96" w:rsidP="00C97F68">
      <w:r>
        <w:rPr>
          <w:noProof/>
        </w:rPr>
        <w:pict>
          <v:rect id="_x0000_i1053" alt="" style="width:451.3pt;height:.05pt;mso-width-percent:0;mso-height-percent:0;mso-width-percent:0;mso-height-percent:0" o:hrstd="t" o:hrnoshade="t" o:hr="t" fillcolor="#374151" stroked="f"/>
        </w:pict>
      </w:r>
    </w:p>
    <w:p w:rsidR="00C97F68" w:rsidRPr="00C97F68" w:rsidRDefault="00C97F68" w:rsidP="00C97F68">
      <w:pPr>
        <w:rPr>
          <w:b/>
          <w:bCs/>
        </w:rPr>
      </w:pPr>
      <w:r w:rsidRPr="00C97F68">
        <w:rPr>
          <w:b/>
          <w:bCs/>
        </w:rPr>
        <w:t>1. Chief Complaint &amp; Symptom History</w:t>
      </w:r>
    </w:p>
    <w:p w:rsidR="00C97F68" w:rsidRPr="00C97F68" w:rsidRDefault="00C97F68" w:rsidP="00C97F68">
      <w:r w:rsidRPr="00C97F68">
        <w:rPr>
          <w:b/>
          <w:bCs/>
        </w:rPr>
        <w:t>Symptoms and their pathobiological basis:</w:t>
      </w:r>
    </w:p>
    <w:tbl>
      <w:tblPr>
        <w:tblStyle w:val="TableGrid"/>
        <w:tblW w:w="9075" w:type="dxa"/>
        <w:tblLook w:val="04A0" w:firstRow="1" w:lastRow="0" w:firstColumn="1" w:lastColumn="0" w:noHBand="0" w:noVBand="1"/>
      </w:tblPr>
      <w:tblGrid>
        <w:gridCol w:w="1871"/>
        <w:gridCol w:w="4491"/>
        <w:gridCol w:w="2713"/>
      </w:tblGrid>
      <w:tr w:rsidR="00C97F68" w:rsidRPr="00C97F68" w:rsidTr="00F91F0B">
        <w:trPr>
          <w:trHeight w:val="283"/>
        </w:trPr>
        <w:tc>
          <w:tcPr>
            <w:tcW w:w="0" w:type="auto"/>
            <w:hideMark/>
          </w:tcPr>
          <w:p w:rsidR="00C97F68" w:rsidRPr="00C97F68" w:rsidRDefault="00C97F68" w:rsidP="00C97F68">
            <w:pPr>
              <w:rPr>
                <w:b/>
                <w:bCs/>
              </w:rPr>
            </w:pPr>
            <w:r w:rsidRPr="00C97F68">
              <w:rPr>
                <w:b/>
                <w:bCs/>
              </w:rPr>
              <w:t>Symptom</w:t>
            </w:r>
          </w:p>
        </w:tc>
        <w:tc>
          <w:tcPr>
            <w:tcW w:w="0" w:type="auto"/>
            <w:hideMark/>
          </w:tcPr>
          <w:p w:rsidR="00C97F68" w:rsidRPr="00C97F68" w:rsidRDefault="00C97F68" w:rsidP="00C97F68">
            <w:pPr>
              <w:rPr>
                <w:b/>
                <w:bCs/>
              </w:rPr>
            </w:pPr>
            <w:r w:rsidRPr="00C97F68">
              <w:rPr>
                <w:b/>
                <w:bCs/>
              </w:rPr>
              <w:t>Pathobiology</w:t>
            </w:r>
          </w:p>
        </w:tc>
        <w:tc>
          <w:tcPr>
            <w:tcW w:w="0" w:type="auto"/>
            <w:hideMark/>
          </w:tcPr>
          <w:p w:rsidR="00C97F68" w:rsidRPr="00C97F68" w:rsidRDefault="00C97F68" w:rsidP="00C97F68">
            <w:pPr>
              <w:rPr>
                <w:b/>
                <w:bCs/>
              </w:rPr>
            </w:pPr>
            <w:r w:rsidRPr="00C97F68">
              <w:rPr>
                <w:b/>
                <w:bCs/>
              </w:rPr>
              <w:t>Clinical Significance</w:t>
            </w:r>
          </w:p>
        </w:tc>
      </w:tr>
      <w:tr w:rsidR="00C97F68" w:rsidRPr="00C97F68" w:rsidTr="00F91F0B">
        <w:trPr>
          <w:trHeight w:val="1153"/>
        </w:trPr>
        <w:tc>
          <w:tcPr>
            <w:tcW w:w="0" w:type="auto"/>
            <w:hideMark/>
          </w:tcPr>
          <w:p w:rsidR="00C97F68" w:rsidRPr="00C97F68" w:rsidRDefault="00C97F68" w:rsidP="00C97F68">
            <w:r w:rsidRPr="00C97F68">
              <w:rPr>
                <w:b/>
                <w:bCs/>
              </w:rPr>
              <w:t>Fatigue / weakness</w:t>
            </w:r>
          </w:p>
        </w:tc>
        <w:tc>
          <w:tcPr>
            <w:tcW w:w="0" w:type="auto"/>
            <w:hideMark/>
          </w:tcPr>
          <w:p w:rsidR="00C97F68" w:rsidRPr="00C97F68" w:rsidRDefault="00C97F68" w:rsidP="00C97F68">
            <w:r w:rsidRPr="00C97F68">
              <w:t>Reduced hepatic glycogen stores, impaired gluconeogenesis, sarcopenia from hyperammonemia and branched-chain amino acid deficit</w:t>
            </w:r>
          </w:p>
        </w:tc>
        <w:tc>
          <w:tcPr>
            <w:tcW w:w="0" w:type="auto"/>
            <w:hideMark/>
          </w:tcPr>
          <w:p w:rsidR="00C97F68" w:rsidRPr="00C97F68" w:rsidRDefault="00C97F68" w:rsidP="00C97F68">
            <w:r w:rsidRPr="00C97F68">
              <w:t>Near-universal in CLD; predicts poor prognosis</w:t>
            </w:r>
          </w:p>
        </w:tc>
      </w:tr>
      <w:tr w:rsidR="00C97F68" w:rsidRPr="00C97F68" w:rsidTr="00F91F0B">
        <w:trPr>
          <w:trHeight w:val="870"/>
        </w:trPr>
        <w:tc>
          <w:tcPr>
            <w:tcW w:w="0" w:type="auto"/>
            <w:hideMark/>
          </w:tcPr>
          <w:p w:rsidR="00C97F68" w:rsidRPr="00C97F68" w:rsidRDefault="00C97F68" w:rsidP="00C97F68">
            <w:r w:rsidRPr="00C97F68">
              <w:rPr>
                <w:b/>
                <w:bCs/>
              </w:rPr>
              <w:t>Jaundice / scleral icterus</w:t>
            </w:r>
          </w:p>
        </w:tc>
        <w:tc>
          <w:tcPr>
            <w:tcW w:w="0" w:type="auto"/>
            <w:hideMark/>
          </w:tcPr>
          <w:p w:rsidR="00C97F68" w:rsidRPr="00C97F68" w:rsidRDefault="00C97F68" w:rsidP="00C97F68">
            <w:r w:rsidRPr="00C97F68">
              <w:t>Impaired bilirubin conjugation and excretion by hepatocytes; intrahepatic cholestasis; reduced UDP-glucuronosyltransferase activity</w:t>
            </w:r>
          </w:p>
        </w:tc>
        <w:tc>
          <w:tcPr>
            <w:tcW w:w="0" w:type="auto"/>
            <w:hideMark/>
          </w:tcPr>
          <w:p w:rsidR="00C97F68" w:rsidRPr="00C97F68" w:rsidRDefault="00C97F68" w:rsidP="00C97F68">
            <w:r w:rsidRPr="00C97F68">
              <w:t>Suggests hepatocellular dysfunction or cholestatic disease</w:t>
            </w:r>
          </w:p>
        </w:tc>
      </w:tr>
      <w:tr w:rsidR="00C97F68" w:rsidRPr="00C97F68" w:rsidTr="00F91F0B">
        <w:trPr>
          <w:trHeight w:val="870"/>
        </w:trPr>
        <w:tc>
          <w:tcPr>
            <w:tcW w:w="0" w:type="auto"/>
            <w:hideMark/>
          </w:tcPr>
          <w:p w:rsidR="00C97F68" w:rsidRPr="00C97F68" w:rsidRDefault="00C97F68" w:rsidP="00C97F68">
            <w:r w:rsidRPr="00C97F68">
              <w:rPr>
                <w:b/>
                <w:bCs/>
              </w:rPr>
              <w:t>Pruritus</w:t>
            </w:r>
          </w:p>
        </w:tc>
        <w:tc>
          <w:tcPr>
            <w:tcW w:w="0" w:type="auto"/>
            <w:hideMark/>
          </w:tcPr>
          <w:p w:rsidR="00C97F68" w:rsidRPr="00C97F68" w:rsidRDefault="00C97F68" w:rsidP="00C97F68">
            <w:r w:rsidRPr="00C97F68">
              <w:t>Accumulation of pruritogens (bile salts, lysophosphatidic acid, endogenous opioids) due to cholestasis</w:t>
            </w:r>
          </w:p>
        </w:tc>
        <w:tc>
          <w:tcPr>
            <w:tcW w:w="0" w:type="auto"/>
            <w:hideMark/>
          </w:tcPr>
          <w:p w:rsidR="00C97F68" w:rsidRPr="00C97F68" w:rsidRDefault="00C97F68" w:rsidP="00C97F68">
            <w:r w:rsidRPr="00C97F68">
              <w:t>Hallmark of PBC, PSC, cholestatic hepatitis</w:t>
            </w:r>
          </w:p>
        </w:tc>
      </w:tr>
      <w:tr w:rsidR="00C97F68" w:rsidRPr="00C97F68" w:rsidTr="00F91F0B">
        <w:trPr>
          <w:trHeight w:val="870"/>
        </w:trPr>
        <w:tc>
          <w:tcPr>
            <w:tcW w:w="0" w:type="auto"/>
            <w:hideMark/>
          </w:tcPr>
          <w:p w:rsidR="00C97F68" w:rsidRPr="00C97F68" w:rsidRDefault="00C97F68" w:rsidP="00C97F68">
            <w:r w:rsidRPr="00C97F68">
              <w:rPr>
                <w:b/>
                <w:bCs/>
              </w:rPr>
              <w:t>Abdominal distension</w:t>
            </w:r>
          </w:p>
        </w:tc>
        <w:tc>
          <w:tcPr>
            <w:tcW w:w="0" w:type="auto"/>
            <w:hideMark/>
          </w:tcPr>
          <w:p w:rsidR="00C97F68" w:rsidRPr="00C97F68" w:rsidRDefault="00C97F68" w:rsidP="00C97F68">
            <w:r w:rsidRPr="00C97F68">
              <w:t>Portal hypertension → splanchnic vasodilation → sodium/water retention (activated RAAS/ADH) → ascites formation</w:t>
            </w:r>
          </w:p>
        </w:tc>
        <w:tc>
          <w:tcPr>
            <w:tcW w:w="0" w:type="auto"/>
            <w:hideMark/>
          </w:tcPr>
          <w:p w:rsidR="00C97F68" w:rsidRPr="00C97F68" w:rsidRDefault="00C97F68" w:rsidP="00C97F68">
            <w:r w:rsidRPr="00C97F68">
              <w:t>Marks decompensation </w:t>
            </w:r>
            <w:r w:rsidRPr="00C97F68">
              <w:rPr>
                <w:b/>
                <w:bCs/>
              </w:rPr>
              <w:t>1</w:t>
            </w:r>
          </w:p>
        </w:tc>
      </w:tr>
      <w:tr w:rsidR="00C97F68" w:rsidRPr="00C97F68" w:rsidTr="00F91F0B">
        <w:trPr>
          <w:trHeight w:val="870"/>
        </w:trPr>
        <w:tc>
          <w:tcPr>
            <w:tcW w:w="0" w:type="auto"/>
            <w:hideMark/>
          </w:tcPr>
          <w:p w:rsidR="00C97F68" w:rsidRPr="00C97F68" w:rsidRDefault="00C97F68" w:rsidP="00C97F68">
            <w:r w:rsidRPr="00C97F68">
              <w:rPr>
                <w:b/>
                <w:bCs/>
              </w:rPr>
              <w:t>Hematemesis / melena</w:t>
            </w:r>
          </w:p>
        </w:tc>
        <w:tc>
          <w:tcPr>
            <w:tcW w:w="0" w:type="auto"/>
            <w:hideMark/>
          </w:tcPr>
          <w:p w:rsidR="00C97F68" w:rsidRPr="00C97F68" w:rsidRDefault="00C97F68" w:rsidP="00C97F68">
            <w:r w:rsidRPr="00C97F68">
              <w:t>Portal hypertension (HVPG ≥10 mmHg) → portosystemic collateral formation → variceal dilation and rupture</w:t>
            </w:r>
          </w:p>
        </w:tc>
        <w:tc>
          <w:tcPr>
            <w:tcW w:w="0" w:type="auto"/>
            <w:hideMark/>
          </w:tcPr>
          <w:p w:rsidR="00C97F68" w:rsidRPr="00C97F68" w:rsidRDefault="00C97F68" w:rsidP="00C97F68">
            <w:r w:rsidRPr="00C97F68">
              <w:t>Life-threatening; indicates CSPH </w:t>
            </w:r>
            <w:r w:rsidRPr="00C97F68">
              <w:rPr>
                <w:b/>
                <w:bCs/>
              </w:rPr>
              <w:t>2</w:t>
            </w:r>
          </w:p>
        </w:tc>
      </w:tr>
      <w:tr w:rsidR="00C97F68" w:rsidRPr="00C97F68" w:rsidTr="00F91F0B">
        <w:trPr>
          <w:trHeight w:val="870"/>
        </w:trPr>
        <w:tc>
          <w:tcPr>
            <w:tcW w:w="0" w:type="auto"/>
            <w:hideMark/>
          </w:tcPr>
          <w:p w:rsidR="00C97F68" w:rsidRPr="00C97F68" w:rsidRDefault="00C97F68" w:rsidP="00C97F68">
            <w:r w:rsidRPr="00C97F68">
              <w:rPr>
                <w:b/>
                <w:bCs/>
              </w:rPr>
              <w:t>Confusion / behavioral change</w:t>
            </w:r>
          </w:p>
        </w:tc>
        <w:tc>
          <w:tcPr>
            <w:tcW w:w="0" w:type="auto"/>
            <w:hideMark/>
          </w:tcPr>
          <w:p w:rsidR="00C97F68" w:rsidRPr="00C97F68" w:rsidRDefault="00C97F68" w:rsidP="00C97F68">
            <w:r w:rsidRPr="00C97F68">
              <w:t>Impaired hepatic urea cycle → hyperammonemia → astrocyte swelling → neuroinflammation; gut dysbiosis amplifies ammonia load</w:t>
            </w:r>
          </w:p>
        </w:tc>
        <w:tc>
          <w:tcPr>
            <w:tcW w:w="0" w:type="auto"/>
            <w:hideMark/>
          </w:tcPr>
          <w:p w:rsidR="00C97F68" w:rsidRPr="00C97F68" w:rsidRDefault="00C97F68" w:rsidP="00C97F68">
            <w:r w:rsidRPr="00C97F68">
              <w:t>Hepatic encephalopathy; marks decompensation</w:t>
            </w:r>
          </w:p>
        </w:tc>
      </w:tr>
      <w:tr w:rsidR="00C97F68" w:rsidRPr="00C97F68" w:rsidTr="00F91F0B">
        <w:trPr>
          <w:trHeight w:val="870"/>
        </w:trPr>
        <w:tc>
          <w:tcPr>
            <w:tcW w:w="0" w:type="auto"/>
            <w:hideMark/>
          </w:tcPr>
          <w:p w:rsidR="00C97F68" w:rsidRPr="00C97F68" w:rsidRDefault="00C97F68" w:rsidP="00C97F68">
            <w:r w:rsidRPr="00C97F68">
              <w:rPr>
                <w:b/>
                <w:bCs/>
              </w:rPr>
              <w:t>Easy bruising / bleeding</w:t>
            </w:r>
          </w:p>
        </w:tc>
        <w:tc>
          <w:tcPr>
            <w:tcW w:w="0" w:type="auto"/>
            <w:hideMark/>
          </w:tcPr>
          <w:p w:rsidR="00C97F68" w:rsidRPr="00C97F68" w:rsidRDefault="00C97F68" w:rsidP="00C97F68">
            <w:r w:rsidRPr="00C97F68">
              <w:t>Reduced hepatic synthesis of coagulation factors (II, V, VII, IX, X) and thrombopoietin → thrombocytopenia from splenic sequestration</w:t>
            </w:r>
          </w:p>
        </w:tc>
        <w:tc>
          <w:tcPr>
            <w:tcW w:w="0" w:type="auto"/>
            <w:hideMark/>
          </w:tcPr>
          <w:p w:rsidR="00C97F68" w:rsidRPr="00C97F68" w:rsidRDefault="00C97F68" w:rsidP="00C97F68">
            <w:r w:rsidRPr="00C97F68">
              <w:t>Reflects synthetic failure; also assess for hypersplenism</w:t>
            </w:r>
          </w:p>
        </w:tc>
      </w:tr>
      <w:tr w:rsidR="00C97F68" w:rsidRPr="00C97F68" w:rsidTr="00F91F0B">
        <w:trPr>
          <w:trHeight w:val="870"/>
        </w:trPr>
        <w:tc>
          <w:tcPr>
            <w:tcW w:w="0" w:type="auto"/>
            <w:hideMark/>
          </w:tcPr>
          <w:p w:rsidR="00C97F68" w:rsidRPr="00C97F68" w:rsidRDefault="00C97F68" w:rsidP="00C97F68">
            <w:r w:rsidRPr="00C97F68">
              <w:rPr>
                <w:b/>
                <w:bCs/>
              </w:rPr>
              <w:t>Weight loss / muscle wasting</w:t>
            </w:r>
          </w:p>
        </w:tc>
        <w:tc>
          <w:tcPr>
            <w:tcW w:w="0" w:type="auto"/>
            <w:hideMark/>
          </w:tcPr>
          <w:p w:rsidR="00C97F68" w:rsidRPr="00C97F68" w:rsidRDefault="00C97F68" w:rsidP="00C97F68">
            <w:r w:rsidRPr="00C97F68">
              <w:t>Hypermetabolic state, protein catabolism, malabsorption of fat-soluble vitamins, early satiety from ascites</w:t>
            </w:r>
          </w:p>
        </w:tc>
        <w:tc>
          <w:tcPr>
            <w:tcW w:w="0" w:type="auto"/>
            <w:hideMark/>
          </w:tcPr>
          <w:p w:rsidR="00C97F68" w:rsidRPr="00C97F68" w:rsidRDefault="00C97F68" w:rsidP="00C97F68">
            <w:r w:rsidRPr="00C97F68">
              <w:t>Sarcopenia predicts mortality independently</w:t>
            </w:r>
          </w:p>
        </w:tc>
      </w:tr>
      <w:tr w:rsidR="00C97F68" w:rsidRPr="00C97F68" w:rsidTr="00F91F0B">
        <w:trPr>
          <w:trHeight w:val="870"/>
        </w:trPr>
        <w:tc>
          <w:tcPr>
            <w:tcW w:w="0" w:type="auto"/>
            <w:hideMark/>
          </w:tcPr>
          <w:p w:rsidR="00C97F68" w:rsidRPr="00C97F68" w:rsidRDefault="00C97F68" w:rsidP="00C97F68">
            <w:r w:rsidRPr="00C97F68">
              <w:rPr>
                <w:b/>
                <w:bCs/>
              </w:rPr>
              <w:t>Dark urine / pale stools</w:t>
            </w:r>
          </w:p>
        </w:tc>
        <w:tc>
          <w:tcPr>
            <w:tcW w:w="0" w:type="auto"/>
            <w:hideMark/>
          </w:tcPr>
          <w:p w:rsidR="00C97F68" w:rsidRPr="00C97F68" w:rsidRDefault="00C97F68" w:rsidP="00C97F68">
            <w:r w:rsidRPr="00C97F68">
              <w:t>Bilirubinuria (conjugated hyperbilirubinemia) and acholic stools from bile duct obstruction or intrahepatic cholestasis</w:t>
            </w:r>
          </w:p>
        </w:tc>
        <w:tc>
          <w:tcPr>
            <w:tcW w:w="0" w:type="auto"/>
            <w:hideMark/>
          </w:tcPr>
          <w:p w:rsidR="00C97F68" w:rsidRPr="00C97F68" w:rsidRDefault="00C97F68" w:rsidP="00C97F68">
            <w:r w:rsidRPr="00C97F68">
              <w:t>Cholestatic pattern</w:t>
            </w:r>
          </w:p>
        </w:tc>
      </w:tr>
      <w:tr w:rsidR="00C97F68" w:rsidRPr="00C97F68" w:rsidTr="00F91F0B">
        <w:trPr>
          <w:trHeight w:val="566"/>
        </w:trPr>
        <w:tc>
          <w:tcPr>
            <w:tcW w:w="0" w:type="auto"/>
            <w:hideMark/>
          </w:tcPr>
          <w:p w:rsidR="00C97F68" w:rsidRPr="00C97F68" w:rsidRDefault="00C97F68" w:rsidP="00C97F68">
            <w:r w:rsidRPr="00C97F68">
              <w:rPr>
                <w:b/>
                <w:bCs/>
              </w:rPr>
              <w:t>Right upper quadrant pain</w:t>
            </w:r>
          </w:p>
        </w:tc>
        <w:tc>
          <w:tcPr>
            <w:tcW w:w="0" w:type="auto"/>
            <w:hideMark/>
          </w:tcPr>
          <w:p w:rsidR="00C97F68" w:rsidRPr="00C97F68" w:rsidRDefault="00C97F68" w:rsidP="00C97F68">
            <w:r w:rsidRPr="00C97F68">
              <w:t>Hepatic capsular distension (hepatomegaly, congestion), cholecystitis, or HCC invasion</w:t>
            </w:r>
          </w:p>
        </w:tc>
        <w:tc>
          <w:tcPr>
            <w:tcW w:w="0" w:type="auto"/>
            <w:hideMark/>
          </w:tcPr>
          <w:p w:rsidR="00C97F68" w:rsidRPr="00C97F68" w:rsidRDefault="00C97F68" w:rsidP="00C97F68">
            <w:r w:rsidRPr="00C97F68">
              <w:t>Important to distinguish acute vs. chronic</w:t>
            </w:r>
          </w:p>
        </w:tc>
      </w:tr>
    </w:tbl>
    <w:p w:rsidR="00C97F68" w:rsidRPr="00C97F68" w:rsidRDefault="00652F96" w:rsidP="00C97F68">
      <w:r>
        <w:rPr>
          <w:noProof/>
        </w:rPr>
        <w:pict>
          <v:rect id="_x0000_i1052" alt="" style="width:451.3pt;height:.05pt;mso-width-percent:0;mso-height-percent:0;mso-width-percent:0;mso-height-percent:0" o:hrstd="t" o:hrnoshade="t" o:hr="t" fillcolor="#374151" stroked="f"/>
        </w:pict>
      </w:r>
    </w:p>
    <w:p w:rsidR="00C97F68" w:rsidRPr="00C97F68" w:rsidRDefault="00C97F68" w:rsidP="00C97F68">
      <w:pPr>
        <w:rPr>
          <w:b/>
          <w:bCs/>
        </w:rPr>
      </w:pPr>
      <w:r w:rsidRPr="00C97F68">
        <w:rPr>
          <w:b/>
          <w:bCs/>
        </w:rPr>
        <w:t>2. Etiological History — The Most Critical Component</w:t>
      </w:r>
    </w:p>
    <w:p w:rsidR="00C97F68" w:rsidRPr="00C97F68" w:rsidRDefault="00C97F68" w:rsidP="00C97F68">
      <w:r w:rsidRPr="00C97F68">
        <w:t>The leading causes of CLD must be systematically explored; many are silent until decompensation </w:t>
      </w:r>
      <w:r w:rsidRPr="00C97F68">
        <w:rPr>
          <w:b/>
          <w:bCs/>
        </w:rPr>
        <w:t>3</w:t>
      </w:r>
      <w:r w:rsidRPr="00C97F68">
        <w:t>.</w:t>
      </w:r>
    </w:p>
    <w:p w:rsidR="00C97F68" w:rsidRPr="00C97F68" w:rsidRDefault="00C97F68" w:rsidP="00C97F68">
      <w:pPr>
        <w:rPr>
          <w:b/>
          <w:bCs/>
        </w:rPr>
      </w:pPr>
      <w:r w:rsidRPr="00C97F68">
        <w:rPr>
          <w:b/>
          <w:bCs/>
        </w:rPr>
        <w:t>A. Alcohol Use History </w:t>
      </w:r>
      <w:r w:rsidRPr="00C97F68">
        <w:rPr>
          <w:b/>
          <w:bCs/>
          <w:i/>
          <w:iCs/>
        </w:rPr>
        <w:t>(Most common cause of cirrhosis in the Western world)</w:t>
      </w:r>
    </w:p>
    <w:p w:rsidR="00C97F68" w:rsidRPr="00C97F68" w:rsidRDefault="00C97F68" w:rsidP="00C97F68">
      <w:pPr>
        <w:numPr>
          <w:ilvl w:val="0"/>
          <w:numId w:val="1"/>
        </w:numPr>
      </w:pPr>
      <w:r w:rsidRPr="00C97F68">
        <w:rPr>
          <w:b/>
          <w:bCs/>
        </w:rPr>
        <w:lastRenderedPageBreak/>
        <w:t>Quantity, frequency, pattern</w:t>
      </w:r>
      <w:r w:rsidRPr="00C97F68">
        <w:t>: Harmful use = ≥3 drinks/day or ≥21/week (men), ≥2/day or ≥14/week (women) </w:t>
      </w:r>
      <w:r w:rsidRPr="00C97F68">
        <w:rPr>
          <w:b/>
          <w:bCs/>
        </w:rPr>
        <w:t>4</w:t>
      </w:r>
    </w:p>
    <w:p w:rsidR="00C97F68" w:rsidRPr="00C97F68" w:rsidRDefault="00C97F68" w:rsidP="00C97F68">
      <w:pPr>
        <w:numPr>
          <w:ilvl w:val="0"/>
          <w:numId w:val="1"/>
        </w:numPr>
      </w:pPr>
      <w:r w:rsidRPr="00C97F68">
        <w:rPr>
          <w:b/>
          <w:bCs/>
        </w:rPr>
        <w:t>Duration</w:t>
      </w:r>
      <w:r w:rsidRPr="00C97F68">
        <w:t>: Fibrosis risk rises with cumulative exposure; typically &gt;10–15 years for cirrhosis</w:t>
      </w:r>
    </w:p>
    <w:p w:rsidR="00C97F68" w:rsidRPr="00C97F68" w:rsidRDefault="00C97F68" w:rsidP="00C97F68">
      <w:pPr>
        <w:numPr>
          <w:ilvl w:val="0"/>
          <w:numId w:val="1"/>
        </w:numPr>
      </w:pPr>
      <w:r w:rsidRPr="00C97F68">
        <w:rPr>
          <w:b/>
          <w:bCs/>
        </w:rPr>
        <w:t>Pattern</w:t>
      </w:r>
      <w:r w:rsidRPr="00C97F68">
        <w:t>: Binge drinking is more hepatotoxic than equivalent chronic low-level use</w:t>
      </w:r>
    </w:p>
    <w:p w:rsidR="00C97F68" w:rsidRPr="00C97F68" w:rsidRDefault="00C97F68" w:rsidP="00C97F68">
      <w:pPr>
        <w:numPr>
          <w:ilvl w:val="0"/>
          <w:numId w:val="1"/>
        </w:numPr>
      </w:pPr>
      <w:r w:rsidRPr="00C97F68">
        <w:rPr>
          <w:b/>
          <w:bCs/>
        </w:rPr>
        <w:t>Abstinence periods</w:t>
      </w:r>
      <w:r w:rsidRPr="00C97F68">
        <w:t>: Duration and recidivism (informs prognosis and transplant eligibility)</w:t>
      </w:r>
    </w:p>
    <w:p w:rsidR="00C97F68" w:rsidRPr="00C97F68" w:rsidRDefault="00C97F68" w:rsidP="00C97F68">
      <w:pPr>
        <w:numPr>
          <w:ilvl w:val="0"/>
          <w:numId w:val="1"/>
        </w:numPr>
      </w:pPr>
      <w:r w:rsidRPr="00C97F68">
        <w:rPr>
          <w:b/>
          <w:bCs/>
        </w:rPr>
        <w:t>Use validated tools</w:t>
      </w:r>
      <w:r w:rsidRPr="00C97F68">
        <w:t>: AUDIT-C questionnaire; consider biomarkers (CDT, phosphatidylethanol) when self-report is unreliable </w:t>
      </w:r>
      <w:r w:rsidRPr="00C97F68">
        <w:rPr>
          <w:b/>
          <w:bCs/>
        </w:rPr>
        <w:t>5</w:t>
      </w:r>
    </w:p>
    <w:p w:rsidR="00C97F68" w:rsidRPr="00C97F68" w:rsidRDefault="00C97F68" w:rsidP="00C97F68">
      <w:r w:rsidRPr="00C97F68">
        <w:rPr>
          <w:b/>
          <w:bCs/>
        </w:rPr>
        <w:t>Pathobiology</w:t>
      </w:r>
      <w:r w:rsidRPr="00C97F68">
        <w:t>: Ethanol → acetaldehyde (hepatotoxic) + reactive oxygen species → mitochondrial dysfunction, ER stress, hepatocyte apoptosis → Kupffer cell activation → TNF-α, IL-1β → stellate cell activation → collagen deposition (fibrosis). Alcohol also causes gut dysbiosis and increased intestinal permeability → endotoxin (LPS) → TLR4-mediated liver inflammation.</w:t>
      </w:r>
    </w:p>
    <w:p w:rsidR="00C97F68" w:rsidRPr="00C97F68" w:rsidRDefault="00C97F68" w:rsidP="00C97F68">
      <w:r w:rsidRPr="00C97F68">
        <w:t>Clinical Guideline</w:t>
      </w:r>
    </w:p>
    <w:p w:rsidR="00C97F68" w:rsidRPr="00C97F68" w:rsidRDefault="00C97F68" w:rsidP="00C97F68">
      <w:r w:rsidRPr="00C97F68">
        <w:t>The ACG Clinical Guideline recommends documenting detailed alcohol use history (quantity, frequency, pattern, duration, abstinence periods) in all patients with suspected CLD, using validated instruments (e.g., AUDIT-C) and/or biomarkers when self-report is unreliable. </w:t>
      </w:r>
      <w:r w:rsidRPr="00C97F68">
        <w:rPr>
          <w:b/>
          <w:bCs/>
        </w:rPr>
        <w:t>4</w:t>
      </w:r>
    </w:p>
    <w:p w:rsidR="00C97F68" w:rsidRPr="00C97F68" w:rsidRDefault="00652F96" w:rsidP="00C97F68">
      <w:r>
        <w:rPr>
          <w:noProof/>
        </w:rPr>
        <w:pict>
          <v:rect id="_x0000_i1051" alt="" style="width:451.3pt;height:.05pt;mso-width-percent:0;mso-height-percent:0;mso-width-percent:0;mso-height-percent:0" o:hrstd="t" o:hrnoshade="t" o:hr="t" fillcolor="#374151" stroked="f"/>
        </w:pict>
      </w:r>
    </w:p>
    <w:p w:rsidR="00C97F68" w:rsidRPr="00C97F68" w:rsidRDefault="00C97F68" w:rsidP="00C97F68">
      <w:pPr>
        <w:rPr>
          <w:b/>
          <w:bCs/>
        </w:rPr>
      </w:pPr>
      <w:r w:rsidRPr="00C97F68">
        <w:rPr>
          <w:b/>
          <w:bCs/>
        </w:rPr>
        <w:t>B. Metabolic / Cardiometabolic History </w:t>
      </w:r>
      <w:r w:rsidRPr="00C97F68">
        <w:rPr>
          <w:b/>
          <w:bCs/>
          <w:i/>
          <w:iCs/>
        </w:rPr>
        <w:t>(MASLD — most prevalent globally)</w:t>
      </w:r>
    </w:p>
    <w:p w:rsidR="00C97F68" w:rsidRPr="00C97F68" w:rsidRDefault="00C97F68" w:rsidP="00C97F68">
      <w:pPr>
        <w:numPr>
          <w:ilvl w:val="0"/>
          <w:numId w:val="2"/>
        </w:numPr>
      </w:pPr>
      <w:r w:rsidRPr="00C97F68">
        <w:rPr>
          <w:b/>
          <w:bCs/>
        </w:rPr>
        <w:t>Obesity</w:t>
      </w:r>
      <w:r w:rsidRPr="00C97F68">
        <w:t>: BMI, waist circumference (abdominal/visceral adiposity is more hepatotoxic)</w:t>
      </w:r>
    </w:p>
    <w:p w:rsidR="00C97F68" w:rsidRPr="00C97F68" w:rsidRDefault="00C97F68" w:rsidP="00C97F68">
      <w:pPr>
        <w:numPr>
          <w:ilvl w:val="0"/>
          <w:numId w:val="2"/>
        </w:numPr>
      </w:pPr>
      <w:r w:rsidRPr="00C97F68">
        <w:rPr>
          <w:b/>
          <w:bCs/>
        </w:rPr>
        <w:t>Type 2 diabetes mellitus</w:t>
      </w:r>
      <w:r w:rsidRPr="00C97F68">
        <w:t>: Duration, glycemic control (HbA1c); T2DM is an independent risk factor for fibrosis progression and HCC even in non-cirrhotic MASLD </w:t>
      </w:r>
      <w:r w:rsidRPr="00C97F68">
        <w:rPr>
          <w:b/>
          <w:bCs/>
        </w:rPr>
        <w:t>6</w:t>
      </w:r>
    </w:p>
    <w:p w:rsidR="00C97F68" w:rsidRPr="00C97F68" w:rsidRDefault="00C97F68" w:rsidP="00C97F68">
      <w:pPr>
        <w:numPr>
          <w:ilvl w:val="0"/>
          <w:numId w:val="2"/>
        </w:numPr>
      </w:pPr>
      <w:r w:rsidRPr="00C97F68">
        <w:rPr>
          <w:b/>
          <w:bCs/>
        </w:rPr>
        <w:t>Dyslipidemia</w:t>
      </w:r>
      <w:r w:rsidRPr="00C97F68">
        <w:t>: Hypertriglyceridemia, low HDL</w:t>
      </w:r>
    </w:p>
    <w:p w:rsidR="00C97F68" w:rsidRPr="00C97F68" w:rsidRDefault="00C97F68" w:rsidP="00C97F68">
      <w:pPr>
        <w:numPr>
          <w:ilvl w:val="0"/>
          <w:numId w:val="2"/>
        </w:numPr>
      </w:pPr>
      <w:r w:rsidRPr="00C97F68">
        <w:rPr>
          <w:b/>
          <w:bCs/>
        </w:rPr>
        <w:t>Hypertension</w:t>
      </w:r>
    </w:p>
    <w:p w:rsidR="00C97F68" w:rsidRPr="00C97F68" w:rsidRDefault="00C97F68" w:rsidP="00C97F68">
      <w:pPr>
        <w:numPr>
          <w:ilvl w:val="0"/>
          <w:numId w:val="2"/>
        </w:numPr>
      </w:pPr>
      <w:r w:rsidRPr="00C97F68">
        <w:rPr>
          <w:b/>
          <w:bCs/>
        </w:rPr>
        <w:t>Dietary history</w:t>
      </w:r>
      <w:r w:rsidRPr="00C97F68">
        <w:t>: High fructose/saturated fat intake drives de novo lipogenesis</w:t>
      </w:r>
    </w:p>
    <w:p w:rsidR="00C97F68" w:rsidRPr="00C97F68" w:rsidRDefault="00C97F68" w:rsidP="00C97F68">
      <w:r w:rsidRPr="00C97F68">
        <w:rPr>
          <w:b/>
          <w:bCs/>
        </w:rPr>
        <w:t>Pathobiology</w:t>
      </w:r>
      <w:r w:rsidRPr="00C97F68">
        <w:t>: Insulin resistance → excess free fatty acid flux to liver → hepatic lipid accumulation (steatosis) → lipotoxicity via oxidative stress and ER stress → hepatocyte ballooning, lobular inflammation (MASH) → hepatic stellate cell activation → fibrosis. Visceral adipose tissue secretes pro-inflammatory adipokines (leptin↑, adiponectin↓) amplifying hepatic inflammation </w:t>
      </w:r>
      <w:r w:rsidRPr="00C97F68">
        <w:rPr>
          <w:b/>
          <w:bCs/>
        </w:rPr>
        <w:t>6</w:t>
      </w:r>
      <w:r w:rsidRPr="00C97F68">
        <w:t>.</w:t>
      </w:r>
    </w:p>
    <w:p w:rsidR="00C97F68" w:rsidRPr="00C97F68" w:rsidRDefault="00C97F68" w:rsidP="00C97F68">
      <w:pPr>
        <w:numPr>
          <w:ilvl w:val="0"/>
          <w:numId w:val="3"/>
        </w:numPr>
      </w:pPr>
      <w:r w:rsidRPr="00C97F68">
        <w:rPr>
          <w:b/>
          <w:bCs/>
        </w:rPr>
        <w:t>Key question</w:t>
      </w:r>
      <w:r w:rsidRPr="00C97F68">
        <w:t>: Alcohol must be actively quantified even in suspected MASLD — alcohol and metabolic factors have </w:t>
      </w:r>
      <w:r w:rsidRPr="00C97F68">
        <w:rPr>
          <w:b/>
          <w:bCs/>
        </w:rPr>
        <w:t>independent and synergistic</w:t>
      </w:r>
      <w:r w:rsidRPr="00C97F68">
        <w:t> fibrogenic effects </w:t>
      </w:r>
      <w:r w:rsidRPr="00C97F68">
        <w:rPr>
          <w:b/>
          <w:bCs/>
        </w:rPr>
        <w:t>6</w:t>
      </w:r>
    </w:p>
    <w:p w:rsidR="00C97F68" w:rsidRPr="00C97F68" w:rsidRDefault="00652F96" w:rsidP="00C97F68">
      <w:r>
        <w:rPr>
          <w:noProof/>
        </w:rPr>
        <w:pict>
          <v:rect id="_x0000_i1050" alt="" style="width:451.3pt;height:.05pt;mso-width-percent:0;mso-height-percent:0;mso-width-percent:0;mso-height-percent:0" o:hrstd="t" o:hrnoshade="t" o:hr="t" fillcolor="#374151" stroked="f"/>
        </w:pict>
      </w:r>
    </w:p>
    <w:p w:rsidR="00C97F68" w:rsidRPr="00C97F68" w:rsidRDefault="00C97F68" w:rsidP="00C97F68">
      <w:pPr>
        <w:rPr>
          <w:b/>
          <w:bCs/>
        </w:rPr>
      </w:pPr>
      <w:r w:rsidRPr="00C97F68">
        <w:rPr>
          <w:b/>
          <w:bCs/>
        </w:rPr>
        <w:t>C. Viral Hepatitis History</w:t>
      </w:r>
    </w:p>
    <w:p w:rsidR="00C97F68" w:rsidRPr="00C97F68" w:rsidRDefault="00C97F68" w:rsidP="00C97F68">
      <w:r w:rsidRPr="00C97F68">
        <w:rPr>
          <w:b/>
          <w:bCs/>
        </w:rPr>
        <w:t>Hepatitis B (HBV)</w:t>
      </w:r>
      <w:r w:rsidRPr="00C97F68">
        <w:t>:</w:t>
      </w:r>
    </w:p>
    <w:p w:rsidR="00C97F68" w:rsidRPr="00C97F68" w:rsidRDefault="00C97F68" w:rsidP="00C97F68">
      <w:pPr>
        <w:numPr>
          <w:ilvl w:val="0"/>
          <w:numId w:val="4"/>
        </w:numPr>
      </w:pPr>
      <w:r w:rsidRPr="00C97F68">
        <w:t>Risk factors: Birth in endemic region (East/Southeast Asia, sub-Saharan Africa), vertical (perinatal) transmission, unvaccinated status, IV drug use, unprotected sex, healthcare worker exposure</w:t>
      </w:r>
    </w:p>
    <w:p w:rsidR="00C97F68" w:rsidRPr="00C97F68" w:rsidRDefault="00C97F68" w:rsidP="00C97F68">
      <w:pPr>
        <w:numPr>
          <w:ilvl w:val="0"/>
          <w:numId w:val="4"/>
        </w:numPr>
      </w:pPr>
      <w:r w:rsidRPr="00C97F68">
        <w:t>Vaccination history</w:t>
      </w:r>
    </w:p>
    <w:p w:rsidR="00C97F68" w:rsidRPr="00C97F68" w:rsidRDefault="00C97F68" w:rsidP="00C97F68">
      <w:pPr>
        <w:numPr>
          <w:ilvl w:val="0"/>
          <w:numId w:val="4"/>
        </w:numPr>
      </w:pPr>
      <w:r w:rsidRPr="00C97F68">
        <w:t>Family history of HBV, cirrhosis, or HCC (vertical transmission + genetic HCC risk)</w:t>
      </w:r>
    </w:p>
    <w:p w:rsidR="00C97F68" w:rsidRPr="00C97F68" w:rsidRDefault="00C97F68" w:rsidP="00C97F68">
      <w:pPr>
        <w:numPr>
          <w:ilvl w:val="0"/>
          <w:numId w:val="4"/>
        </w:numPr>
      </w:pPr>
      <w:r w:rsidRPr="00C97F68">
        <w:t>Duration of infection: Perinatally acquired HBV has &gt;90% chronicity rate vs. &lt;5% in adults</w:t>
      </w:r>
    </w:p>
    <w:p w:rsidR="00C97F68" w:rsidRPr="00C97F68" w:rsidRDefault="00C97F68" w:rsidP="00C97F68">
      <w:pPr>
        <w:numPr>
          <w:ilvl w:val="0"/>
          <w:numId w:val="4"/>
        </w:numPr>
      </w:pPr>
      <w:r w:rsidRPr="00C97F68">
        <w:t>Prior antiviral treatment</w:t>
      </w:r>
    </w:p>
    <w:p w:rsidR="00C97F68" w:rsidRPr="00C97F68" w:rsidRDefault="00C97F68" w:rsidP="00C97F68">
      <w:r w:rsidRPr="00C97F68">
        <w:rPr>
          <w:b/>
          <w:bCs/>
        </w:rPr>
        <w:lastRenderedPageBreak/>
        <w:t>Pathobiology</w:t>
      </w:r>
      <w:r w:rsidRPr="00C97F68">
        <w:t>: HBV integrates into host genome → immune-mediated hepatocyte destruction (CD8+ T cells) → necroinflammation → fibrosis. Viral replication (HBV DNA), HBeAg status, and HBsAg level determine disease activity and progression risk </w:t>
      </w:r>
      <w:r w:rsidRPr="00C97F68">
        <w:rPr>
          <w:b/>
          <w:bCs/>
        </w:rPr>
        <w:t>7</w:t>
      </w:r>
      <w:r w:rsidRPr="00C97F68">
        <w:t>.</w:t>
      </w:r>
    </w:p>
    <w:p w:rsidR="00C97F68" w:rsidRPr="00C97F68" w:rsidRDefault="00C97F68" w:rsidP="00C97F68">
      <w:r w:rsidRPr="00C97F68">
        <w:rPr>
          <w:b/>
          <w:bCs/>
        </w:rPr>
        <w:t>Hepatitis C (HCV)</w:t>
      </w:r>
      <w:r w:rsidRPr="00C97F68">
        <w:t>:</w:t>
      </w:r>
    </w:p>
    <w:p w:rsidR="00C97F68" w:rsidRPr="00C97F68" w:rsidRDefault="00C97F68" w:rsidP="00C97F68">
      <w:pPr>
        <w:numPr>
          <w:ilvl w:val="0"/>
          <w:numId w:val="5"/>
        </w:numPr>
      </w:pPr>
      <w:r w:rsidRPr="00C97F68">
        <w:t>Risk factors: IV/intranasal drug use (shared equipment), blood transfusion before 1992, tattoos/piercings with non-sterile equipment, incarceration, birth between 1945–1965 (U.S. screening cohort), healthcare exposure</w:t>
      </w:r>
    </w:p>
    <w:p w:rsidR="00C97F68" w:rsidRPr="00C97F68" w:rsidRDefault="00C97F68" w:rsidP="00C97F68">
      <w:pPr>
        <w:numPr>
          <w:ilvl w:val="0"/>
          <w:numId w:val="5"/>
        </w:numPr>
      </w:pPr>
      <w:r w:rsidRPr="00C97F68">
        <w:t>Treatment history: Prior interferon-based therapy or DAA therapy (SVR achieved?)</w:t>
      </w:r>
    </w:p>
    <w:p w:rsidR="00C97F68" w:rsidRPr="00C97F68" w:rsidRDefault="00C97F68" w:rsidP="00C97F68">
      <w:r w:rsidRPr="00C97F68">
        <w:rPr>
          <w:b/>
          <w:bCs/>
        </w:rPr>
        <w:t>Pathobiology</w:t>
      </w:r>
      <w:r w:rsidRPr="00C97F68">
        <w:t>: HCV is non-cytopathic; liver injury is immune-mediated + direct viral effects on lipid metabolism (steatosis especially genotype 3). Untreated HCV progresses to cirrhosis in ~20% over 20–30 years; post-SVR fibrosis can regress but HCC risk persists in established cirrhosis.</w:t>
      </w:r>
    </w:p>
    <w:p w:rsidR="00C97F68" w:rsidRPr="00C97F68" w:rsidRDefault="00C97F68" w:rsidP="00C97F68">
      <w:r w:rsidRPr="00C97F68">
        <w:rPr>
          <w:b/>
          <w:bCs/>
        </w:rPr>
        <w:t>Hepatitis D (HDV)</w:t>
      </w:r>
      <w:r w:rsidRPr="00C97F68">
        <w:t>:</w:t>
      </w:r>
    </w:p>
    <w:p w:rsidR="00C97F68" w:rsidRPr="00C97F68" w:rsidRDefault="00C97F68" w:rsidP="00C97F68">
      <w:pPr>
        <w:numPr>
          <w:ilvl w:val="0"/>
          <w:numId w:val="6"/>
        </w:numPr>
      </w:pPr>
      <w:r w:rsidRPr="00C97F68">
        <w:t>Only in HBsAg-positive patients; ask about IV drug use, travel to endemic areas (Mediterranean, Amazon basin, Central Asia)</w:t>
      </w:r>
    </w:p>
    <w:p w:rsidR="00C97F68" w:rsidRPr="00C97F68" w:rsidRDefault="00C97F68" w:rsidP="00C97F68">
      <w:pPr>
        <w:numPr>
          <w:ilvl w:val="0"/>
          <w:numId w:val="6"/>
        </w:numPr>
      </w:pPr>
      <w:r w:rsidRPr="00C97F68">
        <w:t>HDV superinfection dramatically accelerates HBV-related cirrhosis </w:t>
      </w:r>
      <w:r w:rsidRPr="00C97F68">
        <w:rPr>
          <w:b/>
          <w:bCs/>
        </w:rPr>
        <w:t>8</w:t>
      </w:r>
    </w:p>
    <w:p w:rsidR="00C97F68" w:rsidRPr="00C97F68" w:rsidRDefault="00652F96" w:rsidP="00C97F68">
      <w:r>
        <w:rPr>
          <w:noProof/>
        </w:rPr>
        <w:pict>
          <v:rect id="_x0000_i1049" alt="" style="width:451.3pt;height:.05pt;mso-width-percent:0;mso-height-percent:0;mso-width-percent:0;mso-height-percent:0" o:hrstd="t" o:hrnoshade="t" o:hr="t" fillcolor="#374151" stroked="f"/>
        </w:pict>
      </w:r>
    </w:p>
    <w:p w:rsidR="00C97F68" w:rsidRPr="00C97F68" w:rsidRDefault="00C97F68" w:rsidP="00C97F68">
      <w:pPr>
        <w:rPr>
          <w:b/>
          <w:bCs/>
        </w:rPr>
      </w:pPr>
      <w:r w:rsidRPr="00C97F68">
        <w:rPr>
          <w:b/>
          <w:bCs/>
        </w:rPr>
        <w:t>D. Drug and Toxin History </w:t>
      </w:r>
      <w:r w:rsidRPr="00C97F68">
        <w:rPr>
          <w:b/>
          <w:bCs/>
          <w:i/>
          <w:iCs/>
        </w:rPr>
        <w:t>(DILI — often underrecognized)</w:t>
      </w:r>
    </w:p>
    <w:p w:rsidR="00C97F68" w:rsidRPr="00C97F68" w:rsidRDefault="00C97F68" w:rsidP="00C97F68">
      <w:pPr>
        <w:numPr>
          <w:ilvl w:val="0"/>
          <w:numId w:val="7"/>
        </w:numPr>
      </w:pPr>
      <w:r w:rsidRPr="00C97F68">
        <w:rPr>
          <w:b/>
          <w:bCs/>
        </w:rPr>
        <w:t>All medications</w:t>
      </w:r>
      <w:r w:rsidRPr="00C97F68">
        <w:t>: Prescribed, OTC, herbal/traditional remedies, supplements (ask specifically — patients rarely volunteer herbal use)</w:t>
      </w:r>
    </w:p>
    <w:p w:rsidR="00C97F68" w:rsidRPr="00C97F68" w:rsidRDefault="00C97F68" w:rsidP="00C97F68">
      <w:pPr>
        <w:numPr>
          <w:ilvl w:val="0"/>
          <w:numId w:val="7"/>
        </w:numPr>
      </w:pPr>
      <w:r w:rsidRPr="00C97F68">
        <w:rPr>
          <w:b/>
          <w:bCs/>
        </w:rPr>
        <w:t>Key hepatotoxins to ask about</w:t>
      </w:r>
      <w:r w:rsidRPr="00C97F68">
        <w:t>: Methotrexate, amiodarone, tamoxifen, isoniazid, nitrofurantoin, statins (usually benign), anabolic steroids, antiepileptics</w:t>
      </w:r>
    </w:p>
    <w:p w:rsidR="00C97F68" w:rsidRPr="00C97F68" w:rsidRDefault="00C97F68" w:rsidP="00C97F68">
      <w:pPr>
        <w:numPr>
          <w:ilvl w:val="0"/>
          <w:numId w:val="7"/>
        </w:numPr>
      </w:pPr>
      <w:r w:rsidRPr="00C97F68">
        <w:rPr>
          <w:b/>
          <w:bCs/>
        </w:rPr>
        <w:t>Herbal/supplement history</w:t>
      </w:r>
      <w:r w:rsidRPr="00C97F68">
        <w:t>: Green tea extract, kava, pyrrolizidine alkaloids, traditional Chinese medicine, bodybuilding supplements</w:t>
      </w:r>
    </w:p>
    <w:p w:rsidR="00C97F68" w:rsidRPr="00C97F68" w:rsidRDefault="00C97F68" w:rsidP="00C97F68">
      <w:pPr>
        <w:numPr>
          <w:ilvl w:val="0"/>
          <w:numId w:val="7"/>
        </w:numPr>
      </w:pPr>
      <w:r w:rsidRPr="00C97F68">
        <w:rPr>
          <w:b/>
          <w:bCs/>
        </w:rPr>
        <w:t>Timeline</w:t>
      </w:r>
      <w:r w:rsidRPr="00C97F68">
        <w:t>: Latency from drug initiation to onset of liver test abnormality</w:t>
      </w:r>
    </w:p>
    <w:p w:rsidR="00C97F68" w:rsidRPr="00C97F68" w:rsidRDefault="00C97F68" w:rsidP="00C97F68">
      <w:pPr>
        <w:numPr>
          <w:ilvl w:val="0"/>
          <w:numId w:val="7"/>
        </w:numPr>
      </w:pPr>
      <w:r w:rsidRPr="00C97F68">
        <w:rPr>
          <w:b/>
          <w:bCs/>
        </w:rPr>
        <w:t>Occupational/environmental</w:t>
      </w:r>
      <w:r w:rsidRPr="00C97F68">
        <w:t>: Vinyl chloride, carbon tetrachloride, aflatoxins (HCC risk)</w:t>
      </w:r>
    </w:p>
    <w:p w:rsidR="00C97F68" w:rsidRPr="00C97F68" w:rsidRDefault="00C97F68" w:rsidP="00C97F68">
      <w:r w:rsidRPr="00C97F68">
        <w:rPr>
          <w:b/>
          <w:bCs/>
        </w:rPr>
        <w:t>Pathobiology</w:t>
      </w:r>
      <w:r w:rsidRPr="00C97F68">
        <w:t>: Drug-induced hepatotoxicity occurs via direct hepatocellular damage (intrinsic, dose-dependent — e.g., acetaminophen via NAPQI formation) or idiosyncratic immune-mediated reactions (e.g., nitrofurantoin causing autoimmune hepatitis-like pattern). Certain drugs cause specific patterns: cholestatic (amoxicillin-clavulanate), hepatocellular (isoniazid), or mixed.</w:t>
      </w:r>
    </w:p>
    <w:p w:rsidR="00C97F68" w:rsidRPr="00C97F68" w:rsidRDefault="00652F96" w:rsidP="00C97F68">
      <w:r>
        <w:rPr>
          <w:noProof/>
        </w:rPr>
        <w:pict>
          <v:rect id="_x0000_i1048" alt="" style="width:451.3pt;height:.05pt;mso-width-percent:0;mso-height-percent:0;mso-width-percent:0;mso-height-percent:0" o:hrstd="t" o:hrnoshade="t" o:hr="t" fillcolor="#374151" stroked="f"/>
        </w:pict>
      </w:r>
    </w:p>
    <w:p w:rsidR="00C97F68" w:rsidRPr="00C97F68" w:rsidRDefault="00C97F68" w:rsidP="00C97F68">
      <w:pPr>
        <w:rPr>
          <w:b/>
          <w:bCs/>
        </w:rPr>
      </w:pPr>
      <w:r w:rsidRPr="00C97F68">
        <w:rPr>
          <w:b/>
          <w:bCs/>
        </w:rPr>
        <w:t>E. Autoimmune History</w:t>
      </w:r>
    </w:p>
    <w:p w:rsidR="00C97F68" w:rsidRPr="00C97F68" w:rsidRDefault="00C97F68" w:rsidP="00C97F68">
      <w:pPr>
        <w:numPr>
          <w:ilvl w:val="0"/>
          <w:numId w:val="8"/>
        </w:numPr>
      </w:pPr>
      <w:r w:rsidRPr="00C97F68">
        <w:t>Personal history: Other autoimmune conditions (thyroid disease, IBD, rheumatoid arthritis, Sjögren's, celiac disease)</w:t>
      </w:r>
    </w:p>
    <w:p w:rsidR="00C97F68" w:rsidRPr="00C97F68" w:rsidRDefault="00C97F68" w:rsidP="00C97F68">
      <w:pPr>
        <w:numPr>
          <w:ilvl w:val="0"/>
          <w:numId w:val="8"/>
        </w:numPr>
      </w:pPr>
      <w:r w:rsidRPr="00C97F68">
        <w:t>Family history of autoimmune disease</w:t>
      </w:r>
    </w:p>
    <w:p w:rsidR="00C97F68" w:rsidRPr="00C97F68" w:rsidRDefault="00C97F68" w:rsidP="00C97F68">
      <w:pPr>
        <w:numPr>
          <w:ilvl w:val="0"/>
          <w:numId w:val="8"/>
        </w:numPr>
      </w:pPr>
      <w:r w:rsidRPr="00C97F68">
        <w:rPr>
          <w:b/>
          <w:bCs/>
        </w:rPr>
        <w:t>Autoimmune hepatitis (AIH)</w:t>
      </w:r>
      <w:r w:rsidRPr="00C97F68">
        <w:t>: Young-to-middle-aged women; may present with acute flares mimicking viral hepatitis</w:t>
      </w:r>
    </w:p>
    <w:p w:rsidR="00C97F68" w:rsidRPr="00C97F68" w:rsidRDefault="00C97F68" w:rsidP="00C97F68">
      <w:pPr>
        <w:numPr>
          <w:ilvl w:val="0"/>
          <w:numId w:val="8"/>
        </w:numPr>
      </w:pPr>
      <w:r w:rsidRPr="00C97F68">
        <w:rPr>
          <w:b/>
          <w:bCs/>
        </w:rPr>
        <w:t>Primary biliary cholangitis (PBC)</w:t>
      </w:r>
      <w:r w:rsidRPr="00C97F68">
        <w:t>: Middle-aged women; pruritus, fatigue, cholestatic LFTs, positive AMA</w:t>
      </w:r>
    </w:p>
    <w:p w:rsidR="00C97F68" w:rsidRPr="00C97F68" w:rsidRDefault="00C97F68" w:rsidP="00C97F68">
      <w:pPr>
        <w:numPr>
          <w:ilvl w:val="0"/>
          <w:numId w:val="8"/>
        </w:numPr>
      </w:pPr>
      <w:r w:rsidRPr="00C97F68">
        <w:rPr>
          <w:b/>
          <w:bCs/>
        </w:rPr>
        <w:t>Primary sclerosing cholangitis (PSC)</w:t>
      </w:r>
      <w:r w:rsidRPr="00C97F68">
        <w:t>: Strong association with IBD (70%); cholestatic; ask about IBD symptoms </w:t>
      </w:r>
      <w:r w:rsidRPr="00C97F68">
        <w:rPr>
          <w:b/>
          <w:bCs/>
        </w:rPr>
        <w:t>9</w:t>
      </w:r>
    </w:p>
    <w:p w:rsidR="00C97F68" w:rsidRPr="00C97F68" w:rsidRDefault="00652F96" w:rsidP="00C97F68">
      <w:r>
        <w:rPr>
          <w:noProof/>
        </w:rPr>
        <w:pict>
          <v:rect id="_x0000_i1047" alt="" style="width:451.3pt;height:.05pt;mso-width-percent:0;mso-height-percent:0;mso-width-percent:0;mso-height-percent:0" o:hrstd="t" o:hrnoshade="t" o:hr="t" fillcolor="#374151" stroked="f"/>
        </w:pict>
      </w:r>
    </w:p>
    <w:p w:rsidR="00C97F68" w:rsidRPr="00C97F68" w:rsidRDefault="00C97F68" w:rsidP="00C97F68">
      <w:pPr>
        <w:rPr>
          <w:b/>
          <w:bCs/>
        </w:rPr>
      </w:pPr>
      <w:r w:rsidRPr="00C97F68">
        <w:rPr>
          <w:b/>
          <w:bCs/>
        </w:rPr>
        <w:t>F. Hereditary/Genetic History</w:t>
      </w:r>
    </w:p>
    <w:p w:rsidR="00C97F68" w:rsidRPr="00C97F68" w:rsidRDefault="00C97F68" w:rsidP="00C97F68">
      <w:pPr>
        <w:numPr>
          <w:ilvl w:val="0"/>
          <w:numId w:val="9"/>
        </w:numPr>
      </w:pPr>
      <w:r w:rsidRPr="00C97F68">
        <w:rPr>
          <w:b/>
          <w:bCs/>
        </w:rPr>
        <w:t>Family history of liver disease, cirrhosis, or HCC</w:t>
      </w:r>
    </w:p>
    <w:p w:rsidR="00C97F68" w:rsidRPr="00C97F68" w:rsidRDefault="00C97F68" w:rsidP="00C97F68">
      <w:pPr>
        <w:numPr>
          <w:ilvl w:val="0"/>
          <w:numId w:val="9"/>
        </w:numPr>
      </w:pPr>
      <w:r w:rsidRPr="00C97F68">
        <w:rPr>
          <w:b/>
          <w:bCs/>
        </w:rPr>
        <w:lastRenderedPageBreak/>
        <w:t>Hemochromatosis</w:t>
      </w:r>
      <w:r w:rsidRPr="00C97F68">
        <w:t>: Iron overload; Northern European ancestry; arthropathy, diabetes, hypogonadism, cardiomyopathy ("bronze diabetes"); family history</w:t>
      </w:r>
    </w:p>
    <w:p w:rsidR="00C97F68" w:rsidRPr="00C97F68" w:rsidRDefault="00C97F68" w:rsidP="00C97F68">
      <w:pPr>
        <w:numPr>
          <w:ilvl w:val="0"/>
          <w:numId w:val="9"/>
        </w:numPr>
      </w:pPr>
      <w:r w:rsidRPr="00C97F68">
        <w:rPr>
          <w:b/>
          <w:bCs/>
        </w:rPr>
        <w:t>Wilson's disease</w:t>
      </w:r>
      <w:r w:rsidRPr="00C97F68">
        <w:t>: Young patient (&lt;40 years); neuropsychiatric symptoms, Kayser-Fleischer rings, hemolytic anemia</w:t>
      </w:r>
    </w:p>
    <w:p w:rsidR="00C97F68" w:rsidRPr="00C97F68" w:rsidRDefault="00C97F68" w:rsidP="00C97F68">
      <w:pPr>
        <w:numPr>
          <w:ilvl w:val="0"/>
          <w:numId w:val="9"/>
        </w:numPr>
      </w:pPr>
      <w:r w:rsidRPr="00C97F68">
        <w:rPr>
          <w:b/>
          <w:bCs/>
        </w:rPr>
        <w:t>Alpha-1 antitrypsin deficiency (A1AT)</w:t>
      </w:r>
      <w:r w:rsidRPr="00C97F68">
        <w:t>: Lung (emphysema) + liver disease; ask about early-onset emphysema, family history</w:t>
      </w:r>
    </w:p>
    <w:p w:rsidR="00C97F68" w:rsidRPr="00C97F68" w:rsidRDefault="00C97F68" w:rsidP="00C97F68">
      <w:pPr>
        <w:numPr>
          <w:ilvl w:val="0"/>
          <w:numId w:val="9"/>
        </w:numPr>
      </w:pPr>
      <w:r w:rsidRPr="00C97F68">
        <w:rPr>
          <w:b/>
          <w:bCs/>
        </w:rPr>
        <w:t>Non-alcoholic fatty liver disease in lean individuals</w:t>
      </w:r>
      <w:r w:rsidRPr="00C97F68">
        <w:t> (cryptogenic): Consider genetic modifiers (PNPLA3, TM6SF2 polymorphisms)</w:t>
      </w:r>
    </w:p>
    <w:p w:rsidR="00C97F68" w:rsidRPr="00C97F68" w:rsidRDefault="00652F96" w:rsidP="00C97F68">
      <w:r>
        <w:rPr>
          <w:noProof/>
        </w:rPr>
        <w:pict>
          <v:rect id="_x0000_i1046" alt="" style="width:451.3pt;height:.05pt;mso-width-percent:0;mso-height-percent:0;mso-width-percent:0;mso-height-percent:0" o:hrstd="t" o:hrnoshade="t" o:hr="t" fillcolor="#374151" stroked="f"/>
        </w:pict>
      </w:r>
    </w:p>
    <w:p w:rsidR="00C97F68" w:rsidRPr="00C97F68" w:rsidRDefault="00C97F68" w:rsidP="00C97F68">
      <w:pPr>
        <w:rPr>
          <w:b/>
          <w:bCs/>
        </w:rPr>
      </w:pPr>
      <w:r w:rsidRPr="00C97F68">
        <w:rPr>
          <w:b/>
          <w:bCs/>
        </w:rPr>
        <w:t>G. Cholestatic Disease History</w:t>
      </w:r>
    </w:p>
    <w:p w:rsidR="00C97F68" w:rsidRPr="00C97F68" w:rsidRDefault="00C97F68" w:rsidP="00C97F68">
      <w:pPr>
        <w:numPr>
          <w:ilvl w:val="0"/>
          <w:numId w:val="10"/>
        </w:numPr>
      </w:pPr>
      <w:r w:rsidRPr="00C97F68">
        <w:t>Recurrent biliary colic, cholecystectomy</w:t>
      </w:r>
    </w:p>
    <w:p w:rsidR="00C97F68" w:rsidRPr="00C97F68" w:rsidRDefault="00C97F68" w:rsidP="00C97F68">
      <w:pPr>
        <w:numPr>
          <w:ilvl w:val="0"/>
          <w:numId w:val="10"/>
        </w:numPr>
      </w:pPr>
      <w:r w:rsidRPr="00C97F68">
        <w:t>History of IBD (PSC association)</w:t>
      </w:r>
    </w:p>
    <w:p w:rsidR="00C97F68" w:rsidRPr="00C97F68" w:rsidRDefault="00C97F68" w:rsidP="00C97F68">
      <w:pPr>
        <w:numPr>
          <w:ilvl w:val="0"/>
          <w:numId w:val="10"/>
        </w:numPr>
      </w:pPr>
      <w:r w:rsidRPr="00C97F68">
        <w:t>Symptoms of fat-soluble vitamin deficiency (osteoporosis → vit D; night blindness → vit A; coagulopathy → vit K)</w:t>
      </w:r>
    </w:p>
    <w:p w:rsidR="00C97F68" w:rsidRPr="00C97F68" w:rsidRDefault="00652F96" w:rsidP="00C97F68">
      <w:r>
        <w:rPr>
          <w:noProof/>
        </w:rPr>
        <w:pict>
          <v:rect id="_x0000_i1045" alt="" style="width:451.3pt;height:.05pt;mso-width-percent:0;mso-height-percent:0;mso-width-percent:0;mso-height-percent:0" o:hrstd="t" o:hrnoshade="t" o:hr="t" fillcolor="#374151" stroked="f"/>
        </w:pict>
      </w:r>
    </w:p>
    <w:p w:rsidR="00C97F68" w:rsidRPr="00C97F68" w:rsidRDefault="00C97F68" w:rsidP="00C97F68">
      <w:pPr>
        <w:rPr>
          <w:b/>
          <w:bCs/>
        </w:rPr>
      </w:pPr>
      <w:r w:rsidRPr="00C97F68">
        <w:rPr>
          <w:b/>
          <w:bCs/>
        </w:rPr>
        <w:t>3. Complication / Decompensation History</w:t>
      </w:r>
    </w:p>
    <w:p w:rsidR="00C97F68" w:rsidRPr="00C97F68" w:rsidRDefault="00C97F68" w:rsidP="00C97F68">
      <w:r w:rsidRPr="00C97F68">
        <w:t>Systematically ask about </w:t>
      </w:r>
      <w:r w:rsidRPr="00C97F68">
        <w:rPr>
          <w:b/>
          <w:bCs/>
        </w:rPr>
        <w:t>prior decompensating events</w:t>
      </w:r>
      <w:r w:rsidRPr="00C97F68">
        <w:t> — each episode worsens prognosis and changes management:</w:t>
      </w:r>
    </w:p>
    <w:tbl>
      <w:tblPr>
        <w:tblStyle w:val="TableGrid"/>
        <w:tblW w:w="9169" w:type="dxa"/>
        <w:tblLook w:val="04A0" w:firstRow="1" w:lastRow="0" w:firstColumn="1" w:lastColumn="0" w:noHBand="0" w:noVBand="1"/>
      </w:tblPr>
      <w:tblGrid>
        <w:gridCol w:w="1929"/>
        <w:gridCol w:w="3985"/>
        <w:gridCol w:w="3255"/>
      </w:tblGrid>
      <w:tr w:rsidR="00C97F68" w:rsidRPr="00C97F68" w:rsidTr="00B80352">
        <w:trPr>
          <w:trHeight w:val="282"/>
        </w:trPr>
        <w:tc>
          <w:tcPr>
            <w:tcW w:w="0" w:type="auto"/>
            <w:hideMark/>
          </w:tcPr>
          <w:p w:rsidR="00C97F68" w:rsidRPr="00C97F68" w:rsidRDefault="00C97F68" w:rsidP="00C97F68">
            <w:pPr>
              <w:rPr>
                <w:b/>
                <w:bCs/>
              </w:rPr>
            </w:pPr>
            <w:r w:rsidRPr="00C97F68">
              <w:rPr>
                <w:b/>
                <w:bCs/>
              </w:rPr>
              <w:t>Complication</w:t>
            </w:r>
          </w:p>
        </w:tc>
        <w:tc>
          <w:tcPr>
            <w:tcW w:w="0" w:type="auto"/>
            <w:hideMark/>
          </w:tcPr>
          <w:p w:rsidR="00C97F68" w:rsidRPr="00C97F68" w:rsidRDefault="00C97F68" w:rsidP="00C97F68">
            <w:pPr>
              <w:rPr>
                <w:b/>
                <w:bCs/>
              </w:rPr>
            </w:pPr>
            <w:r w:rsidRPr="00C97F68">
              <w:rPr>
                <w:b/>
                <w:bCs/>
              </w:rPr>
              <w:t>Key Historical Questions</w:t>
            </w:r>
          </w:p>
        </w:tc>
        <w:tc>
          <w:tcPr>
            <w:tcW w:w="0" w:type="auto"/>
            <w:hideMark/>
          </w:tcPr>
          <w:p w:rsidR="00C97F68" w:rsidRPr="00C97F68" w:rsidRDefault="00C97F68" w:rsidP="00C97F68">
            <w:pPr>
              <w:rPr>
                <w:b/>
                <w:bCs/>
              </w:rPr>
            </w:pPr>
            <w:r w:rsidRPr="00C97F68">
              <w:rPr>
                <w:b/>
                <w:bCs/>
              </w:rPr>
              <w:t>Pathobiology</w:t>
            </w:r>
          </w:p>
        </w:tc>
      </w:tr>
      <w:tr w:rsidR="00C97F68" w:rsidRPr="00C97F68" w:rsidTr="00B80352">
        <w:trPr>
          <w:trHeight w:val="866"/>
        </w:trPr>
        <w:tc>
          <w:tcPr>
            <w:tcW w:w="0" w:type="auto"/>
            <w:hideMark/>
          </w:tcPr>
          <w:p w:rsidR="00C97F68" w:rsidRPr="00C97F68" w:rsidRDefault="00C97F68" w:rsidP="00C97F68">
            <w:r w:rsidRPr="00C97F68">
              <w:rPr>
                <w:b/>
                <w:bCs/>
              </w:rPr>
              <w:t>Ascites</w:t>
            </w:r>
          </w:p>
        </w:tc>
        <w:tc>
          <w:tcPr>
            <w:tcW w:w="0" w:type="auto"/>
            <w:hideMark/>
          </w:tcPr>
          <w:p w:rsidR="00C97F68" w:rsidRPr="00C97F68" w:rsidRDefault="00C97F68" w:rsidP="00C97F68">
            <w:r w:rsidRPr="00C97F68">
              <w:t>First episode vs. recurrent? Diuretic use (doses)? Paracentesis frequency?</w:t>
            </w:r>
          </w:p>
        </w:tc>
        <w:tc>
          <w:tcPr>
            <w:tcW w:w="0" w:type="auto"/>
            <w:hideMark/>
          </w:tcPr>
          <w:p w:rsidR="00C97F68" w:rsidRPr="00C97F68" w:rsidRDefault="00C97F68" w:rsidP="00C97F68">
            <w:r w:rsidRPr="00C97F68">
              <w:t>Portal hypertension + splanchnic vasodilation → RAAS activation → Na/H₂O retention </w:t>
            </w:r>
            <w:r w:rsidRPr="00C97F68">
              <w:rPr>
                <w:b/>
                <w:bCs/>
              </w:rPr>
              <w:t>1</w:t>
            </w:r>
          </w:p>
        </w:tc>
      </w:tr>
      <w:tr w:rsidR="00C97F68" w:rsidRPr="00C97F68" w:rsidTr="00B80352">
        <w:trPr>
          <w:trHeight w:val="866"/>
        </w:trPr>
        <w:tc>
          <w:tcPr>
            <w:tcW w:w="0" w:type="auto"/>
            <w:hideMark/>
          </w:tcPr>
          <w:p w:rsidR="00C97F68" w:rsidRPr="00C97F68" w:rsidRDefault="00C97F68" w:rsidP="00C97F68">
            <w:r w:rsidRPr="00C97F68">
              <w:rPr>
                <w:b/>
                <w:bCs/>
              </w:rPr>
              <w:t>Variceal bleeding</w:t>
            </w:r>
          </w:p>
        </w:tc>
        <w:tc>
          <w:tcPr>
            <w:tcW w:w="0" w:type="auto"/>
            <w:hideMark/>
          </w:tcPr>
          <w:p w:rsidR="00C97F68" w:rsidRPr="00C97F68" w:rsidRDefault="00C97F68" w:rsidP="00C97F68">
            <w:r w:rsidRPr="00C97F68">
              <w:t>Prior hematemesis/melena? Endoscopy showing varices? On non-selective beta-blocker or banding?</w:t>
            </w:r>
          </w:p>
        </w:tc>
        <w:tc>
          <w:tcPr>
            <w:tcW w:w="0" w:type="auto"/>
            <w:hideMark/>
          </w:tcPr>
          <w:p w:rsidR="00C97F68" w:rsidRPr="00C97F68" w:rsidRDefault="00C97F68" w:rsidP="00C97F68">
            <w:r w:rsidRPr="00C97F68">
              <w:t>HVPG ≥12 mmHg → variceal rupture </w:t>
            </w:r>
            <w:r w:rsidRPr="00C97F68">
              <w:rPr>
                <w:b/>
                <w:bCs/>
              </w:rPr>
              <w:t>2</w:t>
            </w:r>
          </w:p>
        </w:tc>
      </w:tr>
      <w:tr w:rsidR="00C97F68" w:rsidRPr="00C97F68" w:rsidTr="00B80352">
        <w:trPr>
          <w:trHeight w:val="1149"/>
        </w:trPr>
        <w:tc>
          <w:tcPr>
            <w:tcW w:w="0" w:type="auto"/>
            <w:hideMark/>
          </w:tcPr>
          <w:p w:rsidR="00C97F68" w:rsidRPr="00C97F68" w:rsidRDefault="00C97F68" w:rsidP="00C97F68">
            <w:r w:rsidRPr="00C97F68">
              <w:rPr>
                <w:b/>
                <w:bCs/>
              </w:rPr>
              <w:t>Hepatic encephalopathy</w:t>
            </w:r>
          </w:p>
        </w:tc>
        <w:tc>
          <w:tcPr>
            <w:tcW w:w="0" w:type="auto"/>
            <w:hideMark/>
          </w:tcPr>
          <w:p w:rsidR="00C97F68" w:rsidRPr="00C97F68" w:rsidRDefault="00C97F68" w:rsidP="00C97F68">
            <w:r w:rsidRPr="00C97F68">
              <w:t>Confusion episodes? Hospitalizations? Precipitants (infection, GIB, constipation, dietary protein, benzodiazepines)? On lactulose/rifaximin?</w:t>
            </w:r>
          </w:p>
        </w:tc>
        <w:tc>
          <w:tcPr>
            <w:tcW w:w="0" w:type="auto"/>
            <w:hideMark/>
          </w:tcPr>
          <w:p w:rsidR="00C97F68" w:rsidRPr="00C97F68" w:rsidRDefault="00C97F68" w:rsidP="00C97F68">
            <w:r w:rsidRPr="00C97F68">
              <w:t>Ammonia + systemic inflammation → cerebral astrocyte dysfunction</w:t>
            </w:r>
          </w:p>
        </w:tc>
      </w:tr>
      <w:tr w:rsidR="00C97F68" w:rsidRPr="00C97F68" w:rsidTr="00B80352">
        <w:trPr>
          <w:trHeight w:val="1168"/>
        </w:trPr>
        <w:tc>
          <w:tcPr>
            <w:tcW w:w="0" w:type="auto"/>
            <w:hideMark/>
          </w:tcPr>
          <w:p w:rsidR="00C97F68" w:rsidRPr="00C97F68" w:rsidRDefault="00C97F68" w:rsidP="00C97F68">
            <w:r w:rsidRPr="00C97F68">
              <w:rPr>
                <w:b/>
                <w:bCs/>
              </w:rPr>
              <w:t>SBP</w:t>
            </w:r>
          </w:p>
        </w:tc>
        <w:tc>
          <w:tcPr>
            <w:tcW w:w="0" w:type="auto"/>
            <w:hideMark/>
          </w:tcPr>
          <w:p w:rsidR="00C97F68" w:rsidRPr="00C97F68" w:rsidRDefault="00C97F68" w:rsidP="00C97F68">
            <w:r w:rsidRPr="00C97F68">
              <w:t>Prior infection? Prophylactic antibiotics?</w:t>
            </w:r>
          </w:p>
        </w:tc>
        <w:tc>
          <w:tcPr>
            <w:tcW w:w="0" w:type="auto"/>
            <w:hideMark/>
          </w:tcPr>
          <w:p w:rsidR="00C97F68" w:rsidRPr="00C97F68" w:rsidRDefault="00C97F68" w:rsidP="00C97F68">
            <w:r w:rsidRPr="00C97F68">
              <w:t>Gut bacteria translocation through a compromised intestinal barrier into ascites; neutrophil count &gt;250/mm³ defines SBP</w:t>
            </w:r>
          </w:p>
        </w:tc>
      </w:tr>
      <w:tr w:rsidR="00C97F68" w:rsidRPr="00C97F68" w:rsidTr="00B80352">
        <w:trPr>
          <w:trHeight w:val="848"/>
        </w:trPr>
        <w:tc>
          <w:tcPr>
            <w:tcW w:w="0" w:type="auto"/>
            <w:hideMark/>
          </w:tcPr>
          <w:p w:rsidR="00C97F68" w:rsidRPr="00C97F68" w:rsidRDefault="00C97F68" w:rsidP="00C97F68">
            <w:r w:rsidRPr="00C97F68">
              <w:rPr>
                <w:b/>
                <w:bCs/>
              </w:rPr>
              <w:t>HRS</w:t>
            </w:r>
          </w:p>
        </w:tc>
        <w:tc>
          <w:tcPr>
            <w:tcW w:w="0" w:type="auto"/>
            <w:hideMark/>
          </w:tcPr>
          <w:p w:rsidR="00C97F68" w:rsidRPr="00C97F68" w:rsidRDefault="00C97F68" w:rsidP="00C97F68">
            <w:r w:rsidRPr="00C97F68">
              <w:t>Prior AKI with cirrhosis? Creatinine trends?</w:t>
            </w:r>
          </w:p>
        </w:tc>
        <w:tc>
          <w:tcPr>
            <w:tcW w:w="0" w:type="auto"/>
            <w:hideMark/>
          </w:tcPr>
          <w:p w:rsidR="00C97F68" w:rsidRPr="00C97F68" w:rsidRDefault="00C97F68" w:rsidP="00C97F68">
            <w:r w:rsidRPr="00C97F68">
              <w:t>Extreme splanchnic vasodilation → renal cortical vasoconstriction; structural kidney injury may follow</w:t>
            </w:r>
          </w:p>
        </w:tc>
      </w:tr>
      <w:tr w:rsidR="00C97F68" w:rsidRPr="00C97F68" w:rsidTr="00B80352">
        <w:trPr>
          <w:trHeight w:val="1149"/>
        </w:trPr>
        <w:tc>
          <w:tcPr>
            <w:tcW w:w="0" w:type="auto"/>
            <w:hideMark/>
          </w:tcPr>
          <w:p w:rsidR="00C97F68" w:rsidRPr="00C97F68" w:rsidRDefault="00C97F68" w:rsidP="00C97F68">
            <w:r w:rsidRPr="00C97F68">
              <w:rPr>
                <w:b/>
                <w:bCs/>
              </w:rPr>
              <w:t>HCC</w:t>
            </w:r>
          </w:p>
        </w:tc>
        <w:tc>
          <w:tcPr>
            <w:tcW w:w="0" w:type="auto"/>
            <w:hideMark/>
          </w:tcPr>
          <w:p w:rsidR="00C97F68" w:rsidRPr="00C97F68" w:rsidRDefault="00C97F68" w:rsidP="00C97F68">
            <w:r w:rsidRPr="00C97F68">
              <w:t>AFP trend? Imaging surveillance compliance?</w:t>
            </w:r>
          </w:p>
        </w:tc>
        <w:tc>
          <w:tcPr>
            <w:tcW w:w="0" w:type="auto"/>
            <w:hideMark/>
          </w:tcPr>
          <w:p w:rsidR="00C97F68" w:rsidRPr="00C97F68" w:rsidRDefault="00C97F68" w:rsidP="00C97F68">
            <w:r w:rsidRPr="00C97F68">
              <w:t>Chronic inflammation + cirrhosis → hepatocyte regeneration + oxidative DNA damage → malignant transformation</w:t>
            </w:r>
          </w:p>
        </w:tc>
      </w:tr>
    </w:tbl>
    <w:p w:rsidR="00C97F68" w:rsidRPr="00C97F68" w:rsidRDefault="00652F96" w:rsidP="00C97F68">
      <w:r>
        <w:rPr>
          <w:noProof/>
        </w:rPr>
        <w:pict>
          <v:rect id="_x0000_i1044" alt="" style="width:451.3pt;height:.05pt;mso-width-percent:0;mso-height-percent:0;mso-width-percent:0;mso-height-percent:0" o:hrstd="t" o:hrnoshade="t" o:hr="t" fillcolor="#374151" stroked="f"/>
        </w:pict>
      </w:r>
    </w:p>
    <w:p w:rsidR="00C97F68" w:rsidRPr="00C97F68" w:rsidRDefault="00C97F68" w:rsidP="00C97F68">
      <w:pPr>
        <w:rPr>
          <w:b/>
          <w:bCs/>
        </w:rPr>
      </w:pPr>
      <w:r w:rsidRPr="00C97F68">
        <w:rPr>
          <w:b/>
          <w:bCs/>
        </w:rPr>
        <w:t>4. Past Medical and Surgical History</w:t>
      </w:r>
    </w:p>
    <w:p w:rsidR="00C97F68" w:rsidRPr="00C97F68" w:rsidRDefault="00C97F68" w:rsidP="00C97F68">
      <w:pPr>
        <w:numPr>
          <w:ilvl w:val="0"/>
          <w:numId w:val="11"/>
        </w:numPr>
      </w:pPr>
      <w:r w:rsidRPr="00C97F68">
        <w:lastRenderedPageBreak/>
        <w:t>Prior liver biopsy (stage documented?)</w:t>
      </w:r>
    </w:p>
    <w:p w:rsidR="00C97F68" w:rsidRPr="00C97F68" w:rsidRDefault="00C97F68" w:rsidP="00C97F68">
      <w:pPr>
        <w:numPr>
          <w:ilvl w:val="0"/>
          <w:numId w:val="11"/>
        </w:numPr>
      </w:pPr>
      <w:r w:rsidRPr="00C97F68">
        <w:t>Prior liver transplant evaluation or listing</w:t>
      </w:r>
    </w:p>
    <w:p w:rsidR="00C97F68" w:rsidRPr="00C97F68" w:rsidRDefault="00C97F68" w:rsidP="00C97F68">
      <w:pPr>
        <w:numPr>
          <w:ilvl w:val="0"/>
          <w:numId w:val="11"/>
        </w:numPr>
      </w:pPr>
      <w:r w:rsidRPr="00C97F68">
        <w:t>Cardiac disease: Heart failure, constrictive pericarditis (cause of congestive hepatopathy/cardiac cirrhosis)</w:t>
      </w:r>
    </w:p>
    <w:p w:rsidR="00C97F68" w:rsidRPr="00C97F68" w:rsidRDefault="00C97F68" w:rsidP="00C97F68">
      <w:pPr>
        <w:numPr>
          <w:ilvl w:val="0"/>
          <w:numId w:val="11"/>
        </w:numPr>
      </w:pPr>
      <w:r w:rsidRPr="00C97F68">
        <w:t>Thyroid disease (hypothyroidism → steatosis, elevated LFTs)</w:t>
      </w:r>
    </w:p>
    <w:p w:rsidR="00C97F68" w:rsidRPr="00C97F68" w:rsidRDefault="00C97F68" w:rsidP="00C97F68">
      <w:pPr>
        <w:numPr>
          <w:ilvl w:val="0"/>
          <w:numId w:val="11"/>
        </w:numPr>
      </w:pPr>
      <w:r w:rsidRPr="00C97F68">
        <w:t>Hematologic disorders: Hypercoagulable states (portal vein thrombosis), hematologic malignancy (hepatic infiltration)</w:t>
      </w:r>
    </w:p>
    <w:p w:rsidR="00C97F68" w:rsidRPr="00C97F68" w:rsidRDefault="00C97F68" w:rsidP="00C97F68">
      <w:pPr>
        <w:numPr>
          <w:ilvl w:val="0"/>
          <w:numId w:val="11"/>
        </w:numPr>
      </w:pPr>
      <w:r w:rsidRPr="00C97F68">
        <w:t>Pancreatitis (shared ALD etiology; pancreatic ascites)</w:t>
      </w:r>
    </w:p>
    <w:p w:rsidR="00C97F68" w:rsidRPr="00C97F68" w:rsidRDefault="00C97F68" w:rsidP="00C97F68">
      <w:pPr>
        <w:numPr>
          <w:ilvl w:val="0"/>
          <w:numId w:val="11"/>
        </w:numPr>
      </w:pPr>
      <w:r w:rsidRPr="00C97F68">
        <w:t>Tuberculosis (peritoneal TB — cause of non-SAAG ascites)</w:t>
      </w:r>
    </w:p>
    <w:p w:rsidR="00C97F68" w:rsidRPr="00C97F68" w:rsidRDefault="00C97F68" w:rsidP="00C97F68">
      <w:pPr>
        <w:numPr>
          <w:ilvl w:val="0"/>
          <w:numId w:val="11"/>
        </w:numPr>
      </w:pPr>
      <w:r w:rsidRPr="00C97F68">
        <w:t>Malignancy (hepatic metastases)</w:t>
      </w:r>
    </w:p>
    <w:p w:rsidR="00C97F68" w:rsidRPr="00C97F68" w:rsidRDefault="00652F96" w:rsidP="00C97F68">
      <w:r>
        <w:rPr>
          <w:noProof/>
        </w:rPr>
        <w:pict>
          <v:rect id="_x0000_i1043" alt="" style="width:451.3pt;height:.05pt;mso-width-percent:0;mso-height-percent:0;mso-width-percent:0;mso-height-percent:0" o:hrstd="t" o:hrnoshade="t" o:hr="t" fillcolor="#374151" stroked="f"/>
        </w:pict>
      </w:r>
    </w:p>
    <w:p w:rsidR="00C97F68" w:rsidRPr="00C97F68" w:rsidRDefault="00C97F68" w:rsidP="00C97F68">
      <w:pPr>
        <w:rPr>
          <w:b/>
          <w:bCs/>
        </w:rPr>
      </w:pPr>
      <w:r w:rsidRPr="00C97F68">
        <w:rPr>
          <w:b/>
          <w:bCs/>
        </w:rPr>
        <w:t>5. Medication History (Expanded)</w:t>
      </w:r>
    </w:p>
    <w:p w:rsidR="00C97F68" w:rsidRPr="00C97F68" w:rsidRDefault="00C97F68" w:rsidP="00C97F68">
      <w:pPr>
        <w:numPr>
          <w:ilvl w:val="0"/>
          <w:numId w:val="12"/>
        </w:numPr>
      </w:pPr>
      <w:r w:rsidRPr="00C97F68">
        <w:t>Current medications including doses (identify hepatotoxins, nephrotoxins, drugs affecting portal pressure)</w:t>
      </w:r>
    </w:p>
    <w:p w:rsidR="00C97F68" w:rsidRPr="00C97F68" w:rsidRDefault="00C97F68" w:rsidP="00C97F68">
      <w:pPr>
        <w:numPr>
          <w:ilvl w:val="0"/>
          <w:numId w:val="12"/>
        </w:numPr>
      </w:pPr>
      <w:r w:rsidRPr="00C97F68">
        <w:t>NSAIDs (renal impairment → precipitate HRS)</w:t>
      </w:r>
    </w:p>
    <w:p w:rsidR="00C97F68" w:rsidRPr="00C97F68" w:rsidRDefault="00C97F68" w:rsidP="00C97F68">
      <w:pPr>
        <w:numPr>
          <w:ilvl w:val="0"/>
          <w:numId w:val="12"/>
        </w:numPr>
      </w:pPr>
      <w:r w:rsidRPr="00C97F68">
        <w:t>Proton pump inhibitors (associated with SBP risk via gut dysbiosis)</w:t>
      </w:r>
    </w:p>
    <w:p w:rsidR="00C97F68" w:rsidRPr="00C97F68" w:rsidRDefault="00C97F68" w:rsidP="00C97F68">
      <w:pPr>
        <w:numPr>
          <w:ilvl w:val="0"/>
          <w:numId w:val="12"/>
        </w:numPr>
      </w:pPr>
      <w:r w:rsidRPr="00C97F68">
        <w:t>Anticoagulants (coagulopathy of CLD is complex — not a true anticoagulant state)</w:t>
      </w:r>
    </w:p>
    <w:p w:rsidR="00C97F68" w:rsidRPr="00C97F68" w:rsidRDefault="00C97F68" w:rsidP="00C97F68">
      <w:pPr>
        <w:numPr>
          <w:ilvl w:val="0"/>
          <w:numId w:val="12"/>
        </w:numPr>
      </w:pPr>
      <w:r w:rsidRPr="00C97F68">
        <w:t>Herbal supplements (must ask explicitly)</w:t>
      </w:r>
    </w:p>
    <w:p w:rsidR="00C97F68" w:rsidRPr="00C97F68" w:rsidRDefault="00652F96" w:rsidP="00C97F68">
      <w:r>
        <w:rPr>
          <w:noProof/>
        </w:rPr>
        <w:pict>
          <v:rect id="_x0000_i1042" alt="" style="width:451.3pt;height:.05pt;mso-width-percent:0;mso-height-percent:0;mso-width-percent:0;mso-height-percent:0" o:hrstd="t" o:hrnoshade="t" o:hr="t" fillcolor="#374151" stroked="f"/>
        </w:pict>
      </w:r>
    </w:p>
    <w:p w:rsidR="00C97F68" w:rsidRPr="00C97F68" w:rsidRDefault="00C97F68" w:rsidP="00C97F68">
      <w:pPr>
        <w:rPr>
          <w:b/>
          <w:bCs/>
        </w:rPr>
      </w:pPr>
      <w:r w:rsidRPr="00C97F68">
        <w:rPr>
          <w:b/>
          <w:bCs/>
        </w:rPr>
        <w:t>6. Social History</w:t>
      </w:r>
    </w:p>
    <w:p w:rsidR="00C97F68" w:rsidRPr="00C97F68" w:rsidRDefault="00C97F68" w:rsidP="00C97F68">
      <w:pPr>
        <w:numPr>
          <w:ilvl w:val="0"/>
          <w:numId w:val="13"/>
        </w:numPr>
      </w:pPr>
      <w:r w:rsidRPr="00C97F68">
        <w:rPr>
          <w:b/>
          <w:bCs/>
        </w:rPr>
        <w:t>Alcohol</w:t>
      </w:r>
      <w:r w:rsidRPr="00C97F68">
        <w:t>: (as above — AUDIT-C; collateral history from family when feasible)</w:t>
      </w:r>
    </w:p>
    <w:p w:rsidR="00C97F68" w:rsidRPr="00C97F68" w:rsidRDefault="00C97F68" w:rsidP="00C97F68">
      <w:pPr>
        <w:numPr>
          <w:ilvl w:val="0"/>
          <w:numId w:val="13"/>
        </w:numPr>
      </w:pPr>
      <w:r w:rsidRPr="00C97F68">
        <w:rPr>
          <w:b/>
          <w:bCs/>
        </w:rPr>
        <w:t>Illicit drug use</w:t>
      </w:r>
      <w:r w:rsidRPr="00C97F68">
        <w:t>: IV drug use (HCV/HBV transmission), intranasal cocaine</w:t>
      </w:r>
    </w:p>
    <w:p w:rsidR="00C97F68" w:rsidRPr="00C97F68" w:rsidRDefault="00C97F68" w:rsidP="00C97F68">
      <w:pPr>
        <w:numPr>
          <w:ilvl w:val="0"/>
          <w:numId w:val="13"/>
        </w:numPr>
      </w:pPr>
      <w:r w:rsidRPr="00C97F68">
        <w:rPr>
          <w:b/>
          <w:bCs/>
        </w:rPr>
        <w:t>Occupation</w:t>
      </w:r>
      <w:r w:rsidRPr="00C97F68">
        <w:t>: Hepatotoxin exposure</w:t>
      </w:r>
    </w:p>
    <w:p w:rsidR="00C97F68" w:rsidRPr="00C97F68" w:rsidRDefault="00C97F68" w:rsidP="00C97F68">
      <w:pPr>
        <w:numPr>
          <w:ilvl w:val="0"/>
          <w:numId w:val="13"/>
        </w:numPr>
      </w:pPr>
      <w:r w:rsidRPr="00C97F68">
        <w:rPr>
          <w:b/>
          <w:bCs/>
        </w:rPr>
        <w:t>Travel</w:t>
      </w:r>
      <w:r w:rsidRPr="00C97F68">
        <w:t>: Endemic HBV/HCV/HDV regions; schistosomiasis (non-cirrhotic portal hypertension from periportal fibrosis in endemic areas); TB</w:t>
      </w:r>
    </w:p>
    <w:p w:rsidR="00C97F68" w:rsidRPr="00C97F68" w:rsidRDefault="00C97F68" w:rsidP="00C97F68">
      <w:pPr>
        <w:numPr>
          <w:ilvl w:val="0"/>
          <w:numId w:val="13"/>
        </w:numPr>
      </w:pPr>
      <w:r w:rsidRPr="00C97F68">
        <w:rPr>
          <w:b/>
          <w:bCs/>
        </w:rPr>
        <w:t>Tattoos/piercings</w:t>
      </w:r>
      <w:r w:rsidRPr="00C97F68">
        <w:t>: HCV risk</w:t>
      </w:r>
    </w:p>
    <w:p w:rsidR="00C97F68" w:rsidRPr="00C97F68" w:rsidRDefault="00C97F68" w:rsidP="00C97F68">
      <w:pPr>
        <w:numPr>
          <w:ilvl w:val="0"/>
          <w:numId w:val="13"/>
        </w:numPr>
      </w:pPr>
      <w:r w:rsidRPr="00C97F68">
        <w:rPr>
          <w:b/>
          <w:bCs/>
        </w:rPr>
        <w:t>Sexual history</w:t>
      </w:r>
      <w:r w:rsidRPr="00C97F68">
        <w:t>: Multiple partners, MSM (HBV/HCV risk)</w:t>
      </w:r>
    </w:p>
    <w:p w:rsidR="00C97F68" w:rsidRPr="00C97F68" w:rsidRDefault="00C97F68" w:rsidP="00C97F68">
      <w:pPr>
        <w:numPr>
          <w:ilvl w:val="0"/>
          <w:numId w:val="13"/>
        </w:numPr>
      </w:pPr>
      <w:r w:rsidRPr="00C97F68">
        <w:rPr>
          <w:b/>
          <w:bCs/>
        </w:rPr>
        <w:t>Socioeconomic factors</w:t>
      </w:r>
      <w:r w:rsidRPr="00C97F68">
        <w:t>: Insurance status, language, social support (critical for transplant candidacy and treatment adherence) </w:t>
      </w:r>
      <w:r w:rsidRPr="00C97F68">
        <w:rPr>
          <w:b/>
          <w:bCs/>
        </w:rPr>
        <w:t>5</w:t>
      </w:r>
    </w:p>
    <w:p w:rsidR="00C97F68" w:rsidRPr="00C97F68" w:rsidRDefault="00C97F68" w:rsidP="00C97F68">
      <w:pPr>
        <w:numPr>
          <w:ilvl w:val="0"/>
          <w:numId w:val="13"/>
        </w:numPr>
      </w:pPr>
      <w:r w:rsidRPr="00C97F68">
        <w:rPr>
          <w:b/>
          <w:bCs/>
        </w:rPr>
        <w:t>Smoking</w:t>
      </w:r>
      <w:r w:rsidRPr="00C97F68">
        <w:t>: Independent HCC risk factor; MASLD progression</w:t>
      </w:r>
    </w:p>
    <w:p w:rsidR="00C97F68" w:rsidRPr="00C97F68" w:rsidRDefault="00652F96" w:rsidP="00C97F68">
      <w:r>
        <w:rPr>
          <w:noProof/>
        </w:rPr>
        <w:pict>
          <v:rect id="_x0000_i1041" alt="" style="width:451.3pt;height:.05pt;mso-width-percent:0;mso-height-percent:0;mso-width-percent:0;mso-height-percent:0" o:hrstd="t" o:hrnoshade="t" o:hr="t" fillcolor="#374151" stroked="f"/>
        </w:pict>
      </w:r>
    </w:p>
    <w:p w:rsidR="00C97F68" w:rsidRPr="00C97F68" w:rsidRDefault="00C97F68" w:rsidP="00C97F68">
      <w:pPr>
        <w:rPr>
          <w:b/>
          <w:bCs/>
        </w:rPr>
      </w:pPr>
      <w:r w:rsidRPr="00C97F68">
        <w:rPr>
          <w:b/>
          <w:bCs/>
        </w:rPr>
        <w:t>7. Family History</w:t>
      </w:r>
    </w:p>
    <w:p w:rsidR="00C97F68" w:rsidRPr="00C97F68" w:rsidRDefault="00C97F68" w:rsidP="00C97F68">
      <w:pPr>
        <w:numPr>
          <w:ilvl w:val="0"/>
          <w:numId w:val="14"/>
        </w:numPr>
      </w:pPr>
      <w:r w:rsidRPr="00C97F68">
        <w:t>First-degree relatives with: Liver disease, cirrhosis, HCC, HBV/HCV, hemochromatosis, Wilson's disease, A1AT deficiency, autoimmune disease</w:t>
      </w:r>
    </w:p>
    <w:p w:rsidR="00C97F68" w:rsidRPr="00C97F68" w:rsidRDefault="00C97F68" w:rsidP="00C97F68">
      <w:pPr>
        <w:numPr>
          <w:ilvl w:val="0"/>
          <w:numId w:val="14"/>
        </w:numPr>
      </w:pPr>
      <w:r w:rsidRPr="00C97F68">
        <w:rPr>
          <w:b/>
          <w:bCs/>
        </w:rPr>
        <w:t>HCC family history</w:t>
      </w:r>
      <w:r w:rsidRPr="00C97F68">
        <w:t> in HBV carriers increases risk ~2-fold</w:t>
      </w:r>
    </w:p>
    <w:p w:rsidR="00C97F68" w:rsidRPr="00C97F68" w:rsidRDefault="00652F96" w:rsidP="00C97F68">
      <w:r>
        <w:rPr>
          <w:noProof/>
        </w:rPr>
        <w:pict>
          <v:rect id="_x0000_i1040" alt="" style="width:451.3pt;height:.05pt;mso-width-percent:0;mso-height-percent:0;mso-width-percent:0;mso-height-percent:0" o:hrstd="t" o:hrnoshade="t" o:hr="t" fillcolor="#374151" stroked="f"/>
        </w:pict>
      </w:r>
    </w:p>
    <w:p w:rsidR="00C97F68" w:rsidRPr="00C97F68" w:rsidRDefault="00C97F68" w:rsidP="00C97F68">
      <w:pPr>
        <w:rPr>
          <w:b/>
          <w:bCs/>
        </w:rPr>
      </w:pPr>
      <w:r w:rsidRPr="00C97F68">
        <w:rPr>
          <w:b/>
          <w:bCs/>
        </w:rPr>
        <w:t>8. Review of Systems — Extrahepatic Manifestations</w:t>
      </w:r>
    </w:p>
    <w:p w:rsidR="00C97F68" w:rsidRPr="00C97F68" w:rsidRDefault="00C97F68" w:rsidP="00C97F68">
      <w:r w:rsidRPr="00C97F68">
        <w:t>These reflect immune complex deposition, cryoglobulinemia (HCV), or systemic effects of portal hypertension:</w:t>
      </w:r>
    </w:p>
    <w:tbl>
      <w:tblPr>
        <w:tblW w:w="100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9FAF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3363"/>
        <w:gridCol w:w="5044"/>
      </w:tblGrid>
      <w:tr w:rsidR="00C97F68" w:rsidRPr="00C97F68" w:rsidTr="00C97F68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pPr>
              <w:rPr>
                <w:b/>
                <w:bCs/>
              </w:rPr>
            </w:pPr>
            <w:r w:rsidRPr="00C97F68">
              <w:rPr>
                <w:b/>
                <w:bCs/>
              </w:rPr>
              <w:t>System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pPr>
              <w:rPr>
                <w:b/>
                <w:bCs/>
              </w:rPr>
            </w:pPr>
            <w:r w:rsidRPr="00C97F68">
              <w:rPr>
                <w:b/>
                <w:bCs/>
              </w:rPr>
              <w:t>Finding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pPr>
              <w:rPr>
                <w:b/>
                <w:bCs/>
              </w:rPr>
            </w:pPr>
            <w:r w:rsidRPr="00C97F68">
              <w:rPr>
                <w:b/>
                <w:bCs/>
              </w:rPr>
              <w:t>Associated Etiology</w:t>
            </w:r>
          </w:p>
        </w:tc>
      </w:tr>
      <w:tr w:rsidR="00C97F68" w:rsidRPr="00C97F68" w:rsidTr="00C97F6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Skin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Spider angiomata, palmar erythema, leukonychia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Hyperestrogenism (reduced hepatic estrogen metabolism); cirrhosis</w:t>
            </w:r>
          </w:p>
        </w:tc>
      </w:tr>
      <w:tr w:rsidR="00C97F68" w:rsidRPr="00C97F68" w:rsidTr="00C97F6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Skin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Porphyria cutanea tarda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HCV, ALD, hemochromatosis</w:t>
            </w:r>
          </w:p>
        </w:tc>
      </w:tr>
      <w:tr w:rsidR="00C97F68" w:rsidRPr="00C97F68" w:rsidTr="00C97F6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Joints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Arthralgia/arthritis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HCV cryoglobulinemia, hemochromatosis, AIH, PBC, Wilson's</w:t>
            </w:r>
          </w:p>
        </w:tc>
      </w:tr>
      <w:tr w:rsidR="00C97F68" w:rsidRPr="00C97F68" w:rsidTr="00C97F6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Renal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Hematuria, proteinuria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IgA nephropathy (ALD), membranoproliferative GN (HCV)</w:t>
            </w:r>
          </w:p>
        </w:tc>
      </w:tr>
      <w:tr w:rsidR="00C97F68" w:rsidRPr="00C97F68" w:rsidTr="00C97F6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lastRenderedPageBreak/>
              <w:t>Neuropsychiatric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Tremor, dysarthria, psychiatric symptoms in young patient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Wilson's disease</w:t>
            </w:r>
          </w:p>
        </w:tc>
      </w:tr>
      <w:tr w:rsidR="00C97F68" w:rsidRPr="00C97F68" w:rsidTr="00C97F6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Endocrine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Hypogonadism, loss of libido, gynecomastia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Impaired hepatic metabolism of estrogens/androgens; hemochromatosis</w:t>
            </w:r>
          </w:p>
        </w:tc>
      </w:tr>
      <w:tr w:rsidR="00C97F68" w:rsidRPr="00C97F68" w:rsidTr="00C97F6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Pulmonary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Dyspnea, platypnea-orthodeoxia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Hepatopulmonary syndrome (intrapulmonary vascular dilation); portopulmonary hypertension</w:t>
            </w:r>
          </w:p>
        </w:tc>
      </w:tr>
      <w:tr w:rsidR="00C97F68" w:rsidRPr="00C97F68" w:rsidTr="00C97F6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Sicca symptoms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Dry eyes/mouth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Sjögren's, PBC overlap</w:t>
            </w:r>
          </w:p>
        </w:tc>
      </w:tr>
    </w:tbl>
    <w:p w:rsidR="00C97F68" w:rsidRPr="00C97F68" w:rsidRDefault="00652F96" w:rsidP="00C97F68">
      <w:r>
        <w:rPr>
          <w:noProof/>
        </w:rPr>
        <w:pict>
          <v:rect id="_x0000_i1039" alt="" style="width:451.3pt;height:.05pt;mso-width-percent:0;mso-height-percent:0;mso-width-percent:0;mso-height-percent:0" o:hrstd="t" o:hrnoshade="t" o:hr="t" fillcolor="#374151" stroked="f"/>
        </w:pict>
      </w:r>
    </w:p>
    <w:p w:rsidR="00C97F68" w:rsidRPr="00C97F68" w:rsidRDefault="00C97F68" w:rsidP="00C97F68">
      <w:pPr>
        <w:rPr>
          <w:b/>
          <w:bCs/>
        </w:rPr>
      </w:pPr>
      <w:r w:rsidRPr="00C97F68">
        <w:rPr>
          <w:b/>
          <w:bCs/>
        </w:rPr>
        <w:t>9. Functional Status and Nutritional Assessment</w:t>
      </w:r>
    </w:p>
    <w:p w:rsidR="00C97F68" w:rsidRPr="00C97F68" w:rsidRDefault="00C97F68" w:rsidP="00C97F68">
      <w:pPr>
        <w:numPr>
          <w:ilvl w:val="0"/>
          <w:numId w:val="15"/>
        </w:numPr>
      </w:pPr>
      <w:r w:rsidRPr="00C97F68">
        <w:t>Performance status (ECOG/Karnofsky)</w:t>
      </w:r>
    </w:p>
    <w:p w:rsidR="00C97F68" w:rsidRPr="00C97F68" w:rsidRDefault="00C97F68" w:rsidP="00C97F68">
      <w:pPr>
        <w:numPr>
          <w:ilvl w:val="0"/>
          <w:numId w:val="15"/>
        </w:numPr>
      </w:pPr>
      <w:r w:rsidRPr="00C97F68">
        <w:t>Dietary intake, appetite, early satiety</w:t>
      </w:r>
    </w:p>
    <w:p w:rsidR="00C97F68" w:rsidRPr="00C97F68" w:rsidRDefault="00C97F68" w:rsidP="00C97F68">
      <w:pPr>
        <w:numPr>
          <w:ilvl w:val="0"/>
          <w:numId w:val="15"/>
        </w:numPr>
      </w:pPr>
      <w:r w:rsidRPr="00C97F68">
        <w:t>Weight trajectory (rapid weight loss = sarcopenia; weight gain despite dieting = worsening ascites)</w:t>
      </w:r>
    </w:p>
    <w:p w:rsidR="00C97F68" w:rsidRPr="00C97F68" w:rsidRDefault="00C97F68" w:rsidP="00C97F68">
      <w:pPr>
        <w:numPr>
          <w:ilvl w:val="0"/>
          <w:numId w:val="15"/>
        </w:numPr>
      </w:pPr>
      <w:r w:rsidRPr="00C97F68">
        <w:t>Muscle cramps (common in cirrhosis due to altered Na/water distribution, hypomagnesemia)</w:t>
      </w:r>
    </w:p>
    <w:p w:rsidR="00C97F68" w:rsidRPr="00C97F68" w:rsidRDefault="00C97F68" w:rsidP="00C97F68">
      <w:pPr>
        <w:numPr>
          <w:ilvl w:val="0"/>
          <w:numId w:val="15"/>
        </w:numPr>
      </w:pPr>
      <w:r w:rsidRPr="00C97F68">
        <w:t>Sleep disturbance (reversal of sleep-wake cycle — early HE)</w:t>
      </w:r>
    </w:p>
    <w:p w:rsidR="00C97F68" w:rsidRPr="00C97F68" w:rsidRDefault="00652F96" w:rsidP="00C97F68">
      <w:r>
        <w:rPr>
          <w:noProof/>
        </w:rPr>
        <w:pict>
          <v:rect id="_x0000_i1038" alt="" style="width:451.3pt;height:.05pt;mso-width-percent:0;mso-height-percent:0;mso-width-percent:0;mso-height-percent:0" o:hrstd="t" o:hrnoshade="t" o:hr="t" fillcolor="#374151" stroked="f"/>
        </w:pict>
      </w:r>
    </w:p>
    <w:p w:rsidR="00C97F68" w:rsidRPr="00C97F68" w:rsidRDefault="00C97F68" w:rsidP="00C97F68">
      <w:pPr>
        <w:rPr>
          <w:b/>
          <w:bCs/>
        </w:rPr>
      </w:pPr>
      <w:r w:rsidRPr="00C97F68">
        <w:rPr>
          <w:b/>
          <w:bCs/>
        </w:rPr>
        <w:t>Summary: Structured CLD History Framework</w:t>
      </w:r>
    </w:p>
    <w:p w:rsidR="00C97F68" w:rsidRPr="00C97F68" w:rsidRDefault="00C97F68" w:rsidP="00C97F68">
      <w:r w:rsidRPr="00C97F68">
        <w:t>Clinical Guideline</w:t>
      </w:r>
    </w:p>
    <w:p w:rsidR="00C97F68" w:rsidRPr="00C97F68" w:rsidRDefault="00C97F68" w:rsidP="00C97F68">
      <w:r w:rsidRPr="00C97F68">
        <w:t>The EASL, ACG, and AASLD guidelines recommend a comprehensive structured history covering: (1) alcohol quantification (AUDIT-C), (2) metabolic risk factors (BMI, T2DM, dyslipidemia), (3) viral hepatitis risk factors and serological status, (4) drug/herbal hepatotoxin exposure, (5) autoimmune and genetic disease history, (6) prior decompensation events (ascites, variceal bleeding, HE, SBP), and (7) family history of liver disease/HCC — before any laboratory or imaging workup. </w:t>
      </w:r>
      <w:r w:rsidRPr="00C97F68">
        <w:rPr>
          <w:b/>
          <w:bCs/>
        </w:rPr>
        <w:t>4</w:t>
      </w:r>
      <w:r w:rsidRPr="00C97F68">
        <w:t> </w:t>
      </w:r>
      <w:r w:rsidRPr="00C97F68">
        <w:rPr>
          <w:b/>
          <w:bCs/>
        </w:rPr>
        <w:t>1</w:t>
      </w:r>
      <w:r w:rsidRPr="00C97F68">
        <w:t> </w:t>
      </w:r>
      <w:r w:rsidRPr="00C97F68">
        <w:rPr>
          <w:b/>
          <w:bCs/>
        </w:rPr>
        <w:t>6</w:t>
      </w:r>
    </w:p>
    <w:p w:rsidR="00C97F68" w:rsidRPr="00C97F68" w:rsidRDefault="00C97F68" w:rsidP="00C97F68">
      <w:r w:rsidRPr="00C97F68">
        <w:rPr>
          <w:b/>
          <w:bCs/>
        </w:rPr>
        <w:t>Clinical pearl</w:t>
      </w:r>
      <w:r w:rsidRPr="00C97F68">
        <w:t>: The history alone can establish the </w:t>
      </w:r>
      <w:r w:rsidRPr="00C97F68">
        <w:rPr>
          <w:b/>
          <w:bCs/>
        </w:rPr>
        <w:t>etiology</w:t>
      </w:r>
      <w:r w:rsidRPr="00C97F68">
        <w:t> in the majority of CLD cases. The pattern of liver enzyme elevation (hepatocellular: ALT/AST predominant; cholestatic: ALP/GGT predominant; mixed) combined with the historical risk factors should direct a targeted — not shotgun — serological workup </w:t>
      </w:r>
      <w:r w:rsidRPr="00C97F68">
        <w:rPr>
          <w:b/>
          <w:bCs/>
        </w:rPr>
        <w:t>9</w:t>
      </w:r>
      <w:r w:rsidRPr="00C97F68">
        <w:t>. Multiple etiologies frequently coexist (e.g., ALD + MASLD, HCV + hemochromatosis) and carry </w:t>
      </w:r>
      <w:r w:rsidRPr="00C97F68">
        <w:rPr>
          <w:b/>
          <w:bCs/>
        </w:rPr>
        <w:t>synergistic fibrogenic risk</w:t>
      </w:r>
    </w:p>
    <w:p w:rsidR="00C97F68" w:rsidRDefault="00C97F68">
      <w:r>
        <w:br w:type="page"/>
      </w:r>
    </w:p>
    <w:p w:rsidR="00C97F68" w:rsidRPr="00C97F68" w:rsidRDefault="00C97F68" w:rsidP="00C97F68">
      <w:r w:rsidRPr="00C97F68">
        <w:lastRenderedPageBreak/>
        <w:t>A systematic head-to-toe physical examination in CLD serves two simultaneous goals: </w:t>
      </w:r>
      <w:r w:rsidRPr="00C97F68">
        <w:rPr>
          <w:b/>
          <w:bCs/>
        </w:rPr>
        <w:t>detecting stigmata of hepatocellular dysfunction</w:t>
      </w:r>
      <w:r w:rsidRPr="00C97F68">
        <w:t> (reflecting lost synthetic and metabolic capacity) and </w:t>
      </w:r>
      <w:r w:rsidRPr="00C97F68">
        <w:rPr>
          <w:b/>
          <w:bCs/>
        </w:rPr>
        <w:t>identifying signs of portal hypertension and its complications</w:t>
      </w:r>
      <w:r w:rsidRPr="00C97F68">
        <w:t> (reflecting hemodynamic consequences of fibrosis). Many signs individually lack sensitivity but carry specificity &gt;90% for cirrhosis when present </w:t>
      </w:r>
      <w:r w:rsidRPr="00C97F68">
        <w:rPr>
          <w:b/>
          <w:bCs/>
        </w:rPr>
        <w:t>1</w:t>
      </w:r>
      <w:r w:rsidRPr="00C97F68">
        <w:t>.</w:t>
      </w:r>
    </w:p>
    <w:p w:rsidR="00C97F68" w:rsidRPr="00C97F68" w:rsidRDefault="00652F96" w:rsidP="00C97F68">
      <w:r>
        <w:rPr>
          <w:noProof/>
        </w:rPr>
        <w:pict>
          <v:rect id="_x0000_i1037" alt="" style="width:451.3pt;height:.05pt;mso-width-percent:0;mso-height-percent:0;mso-width-percent:0;mso-height-percent:0" o:hrstd="t" o:hrnoshade="t" o:hr="t" fillcolor="#374151" stroked="f"/>
        </w:pict>
      </w:r>
    </w:p>
    <w:p w:rsidR="00C97F68" w:rsidRPr="00C97F68" w:rsidRDefault="00C97F68" w:rsidP="00C97F68">
      <w:pPr>
        <w:rPr>
          <w:b/>
          <w:bCs/>
        </w:rPr>
      </w:pPr>
      <w:r w:rsidRPr="00C97F68">
        <w:rPr>
          <w:b/>
          <w:bCs/>
        </w:rPr>
        <w:t>1. General Inspection — The First 30 Seconds</w:t>
      </w:r>
    </w:p>
    <w:p w:rsidR="00C97F68" w:rsidRPr="00C97F68" w:rsidRDefault="00C97F68" w:rsidP="00C97F68">
      <w:r w:rsidRPr="00C97F68">
        <w:t>Begin before touching the patient. Observe:</w:t>
      </w:r>
    </w:p>
    <w:p w:rsidR="00C97F68" w:rsidRPr="00C97F68" w:rsidRDefault="00C97F68" w:rsidP="00C97F68">
      <w:pPr>
        <w:numPr>
          <w:ilvl w:val="0"/>
          <w:numId w:val="16"/>
        </w:numPr>
      </w:pPr>
      <w:r w:rsidRPr="00C97F68">
        <w:rPr>
          <w:b/>
          <w:bCs/>
        </w:rPr>
        <w:t>Nutritional status and body habitus</w:t>
      </w:r>
      <w:r w:rsidRPr="00C97F68">
        <w:t>: Sarcopenia (temporal wasting, loss of thenar/hypothenar bulk, thin extremities with protuberant abdomen) is present in most patients with advanced CLD. Malnutrition affects nearly all patients with alcoholic hepatitis and decompensated cirrhosis </w:t>
      </w:r>
      <w:r w:rsidRPr="00C97F68">
        <w:rPr>
          <w:b/>
          <w:bCs/>
        </w:rPr>
        <w:t>2</w:t>
      </w:r>
      <w:r w:rsidRPr="00C97F68">
        <w:t>.</w:t>
      </w:r>
    </w:p>
    <w:p w:rsidR="00C97F68" w:rsidRPr="00C97F68" w:rsidRDefault="00C97F68" w:rsidP="00C97F68">
      <w:r w:rsidRPr="00C97F68">
        <w:rPr>
          <w:b/>
          <w:bCs/>
        </w:rPr>
        <w:t>Pathobiology</w:t>
      </w:r>
      <w:r w:rsidRPr="00C97F68">
        <w:t>: Hypermetabolic state + impaired glycogen synthesis + protein catabolism driven by hyperammonemia + reduced branched-chain amino acid availability → obligatory muscle wasting. Visceral fat may be preserved (especially MASLD), masking sarcopenia on BMI alone </w:t>
      </w:r>
      <w:r w:rsidRPr="00C97F68">
        <w:rPr>
          <w:b/>
          <w:bCs/>
        </w:rPr>
        <w:t>3</w:t>
      </w:r>
      <w:r w:rsidRPr="00C97F68">
        <w:t>.</w:t>
      </w:r>
    </w:p>
    <w:p w:rsidR="00C97F68" w:rsidRPr="00C97F68" w:rsidRDefault="00C97F68" w:rsidP="00C97F68">
      <w:pPr>
        <w:numPr>
          <w:ilvl w:val="0"/>
          <w:numId w:val="16"/>
        </w:numPr>
      </w:pPr>
      <w:r w:rsidRPr="00C97F68">
        <w:rPr>
          <w:b/>
          <w:bCs/>
        </w:rPr>
        <w:t>Jaundice</w:t>
      </w:r>
      <w:r w:rsidRPr="00C97F68">
        <w:t>: Yellow discoloration of skin and sclerae (scleral icterus detectable at bilirubin ≥2–3 mg/dL).</w:t>
      </w:r>
    </w:p>
    <w:p w:rsidR="00C97F68" w:rsidRPr="00C97F68" w:rsidRDefault="00C97F68" w:rsidP="00C97F68">
      <w:r w:rsidRPr="00C97F68">
        <w:rPr>
          <w:b/>
          <w:bCs/>
        </w:rPr>
        <w:t>Pathobiology</w:t>
      </w:r>
      <w:r w:rsidRPr="00C97F68">
        <w:t>: Failure of hepatocyte UDP-glucuronosyltransferase → conjugated hyperbilirubinemia; additionally, hemolysis in Wilson's disease or ALD → unconjugated fraction.</w:t>
      </w:r>
    </w:p>
    <w:p w:rsidR="00C97F68" w:rsidRPr="00C97F68" w:rsidRDefault="00C97F68" w:rsidP="00C97F68">
      <w:pPr>
        <w:numPr>
          <w:ilvl w:val="0"/>
          <w:numId w:val="16"/>
        </w:numPr>
      </w:pPr>
      <w:r w:rsidRPr="00C97F68">
        <w:rPr>
          <w:b/>
          <w:bCs/>
        </w:rPr>
        <w:t>Level of consciousness and behavior</w:t>
      </w:r>
      <w:r w:rsidRPr="00C97F68">
        <w:t>: Disorientation, slowed responses, asterixis, or frank confusion → screen immediately for </w:t>
      </w:r>
      <w:r w:rsidRPr="00C97F68">
        <w:rPr>
          <w:b/>
          <w:bCs/>
        </w:rPr>
        <w:t>hepatic encephalopathy (HE)</w:t>
      </w:r>
      <w:r w:rsidRPr="00C97F68">
        <w:t>.</w:t>
      </w:r>
    </w:p>
    <w:p w:rsidR="00C97F68" w:rsidRPr="00C97F68" w:rsidRDefault="00C97F68" w:rsidP="00C97F68">
      <w:r w:rsidRPr="00C97F68">
        <w:rPr>
          <w:b/>
          <w:bCs/>
        </w:rPr>
        <w:t>Pathobiology</w:t>
      </w:r>
      <w:r w:rsidRPr="00C97F68">
        <w:t>: Impaired urea cycle + gut dysbiosis → systemic hyperammonemia → cerebral astrocyte swelling (glutamine accumulation) + neuroinflammation → HE spectrum </w:t>
      </w:r>
      <w:r w:rsidRPr="00C97F68">
        <w:rPr>
          <w:b/>
          <w:bCs/>
        </w:rPr>
        <w:t>4</w:t>
      </w:r>
      <w:r w:rsidRPr="00C97F68">
        <w:t>.</w:t>
      </w:r>
    </w:p>
    <w:p w:rsidR="00C97F68" w:rsidRPr="00C97F68" w:rsidRDefault="00C97F68" w:rsidP="00C97F68">
      <w:pPr>
        <w:numPr>
          <w:ilvl w:val="0"/>
          <w:numId w:val="16"/>
        </w:numPr>
      </w:pPr>
      <w:r w:rsidRPr="00C97F68">
        <w:rPr>
          <w:b/>
          <w:bCs/>
        </w:rPr>
        <w:t>Fetor hepaticus</w:t>
      </w:r>
      <w:r w:rsidRPr="00C97F68">
        <w:t>: Sweet-musty breath odor from exhaled mercaptans (dimethyl sulfide); high specificity for advanced hepatocellular failure and portosystemic shunting.</w:t>
      </w:r>
    </w:p>
    <w:p w:rsidR="00C97F68" w:rsidRPr="00C97F68" w:rsidRDefault="00652F96" w:rsidP="00C97F68">
      <w:r>
        <w:rPr>
          <w:noProof/>
        </w:rPr>
        <w:pict>
          <v:rect id="_x0000_i1036" alt="" style="width:451.3pt;height:.05pt;mso-width-percent:0;mso-height-percent:0;mso-width-percent:0;mso-height-percent:0" o:hrstd="t" o:hrnoshade="t" o:hr="t" fillcolor="#374151" stroked="f"/>
        </w:pict>
      </w:r>
    </w:p>
    <w:p w:rsidR="00C97F68" w:rsidRPr="00C97F68" w:rsidRDefault="00C97F68" w:rsidP="00C97F68">
      <w:pPr>
        <w:rPr>
          <w:b/>
          <w:bCs/>
        </w:rPr>
      </w:pPr>
      <w:r w:rsidRPr="00C97F68">
        <w:rPr>
          <w:b/>
          <w:bCs/>
        </w:rPr>
        <w:t>2. Vital Signs — Underappreciated in CLD</w:t>
      </w:r>
    </w:p>
    <w:tbl>
      <w:tblPr>
        <w:tblW w:w="100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9FAF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3825"/>
        <w:gridCol w:w="8598"/>
        <w:gridCol w:w="6241"/>
      </w:tblGrid>
      <w:tr w:rsidR="00C97F68" w:rsidRPr="00C97F68" w:rsidTr="00C97F68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pPr>
              <w:rPr>
                <w:b/>
                <w:bCs/>
              </w:rPr>
            </w:pPr>
            <w:r w:rsidRPr="00C97F68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pPr>
              <w:rPr>
                <w:b/>
                <w:bCs/>
              </w:rPr>
            </w:pPr>
            <w:r w:rsidRPr="00C97F68">
              <w:rPr>
                <w:b/>
                <w:bCs/>
              </w:rPr>
              <w:t>Finding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pPr>
              <w:rPr>
                <w:b/>
                <w:bCs/>
              </w:rPr>
            </w:pPr>
            <w:r w:rsidRPr="00C97F68">
              <w:rPr>
                <w:b/>
                <w:bCs/>
              </w:rPr>
              <w:t>Pathobiology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pPr>
              <w:rPr>
                <w:b/>
                <w:bCs/>
              </w:rPr>
            </w:pPr>
            <w:r w:rsidRPr="00C97F68">
              <w:rPr>
                <w:b/>
                <w:bCs/>
              </w:rPr>
              <w:t>Clinical Significance</w:t>
            </w:r>
          </w:p>
        </w:tc>
      </w:tr>
      <w:tr w:rsidR="00C97F68" w:rsidRPr="00C97F68" w:rsidTr="00C97F6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rPr>
                <w:b/>
                <w:bCs/>
              </w:rPr>
              <w:t>Blood pressure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Systemic hypotension (SBP &lt;90 mmHg)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Splanchnic vasodilation → reduced effective arterial blood volume (activated RAAS/SNS)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Marks advanced decompensation; predicts HRS risk </w:t>
            </w:r>
            <w:r w:rsidRPr="00C97F68">
              <w:rPr>
                <w:b/>
                <w:bCs/>
              </w:rPr>
              <w:t>5</w:t>
            </w:r>
          </w:p>
        </w:tc>
      </w:tr>
      <w:tr w:rsidR="00C97F68" w:rsidRPr="00C97F68" w:rsidTr="00C97F6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rPr>
                <w:b/>
                <w:bCs/>
              </w:rPr>
              <w:t>Heart rate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Resting tachycardia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Hyperdynamic circulation; also withdrawal in ALD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Tachycardia + tremor → suspect alcohol withdrawal syndrome </w:t>
            </w:r>
            <w:r w:rsidRPr="00C97F68">
              <w:rPr>
                <w:b/>
                <w:bCs/>
              </w:rPr>
              <w:t>6</w:t>
            </w:r>
          </w:p>
        </w:tc>
      </w:tr>
      <w:tr w:rsidR="00C97F68" w:rsidRPr="00C97F68" w:rsidTr="00C97F6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rPr>
                <w:b/>
                <w:bCs/>
              </w:rPr>
              <w:t>Respiratory rate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Tachypnea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Hepatopulmonary syndrome; large ascites restricting diaphragm; infection/SIRS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≥2 SIRS criteria in AH even without infection </w:t>
            </w:r>
            <w:r w:rsidRPr="00C97F68">
              <w:rPr>
                <w:b/>
                <w:bCs/>
              </w:rPr>
              <w:t>2</w:t>
            </w:r>
          </w:p>
        </w:tc>
      </w:tr>
      <w:tr w:rsidR="00C97F68" w:rsidRPr="00C97F68" w:rsidTr="00C97F6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rPr>
                <w:b/>
                <w:bCs/>
              </w:rPr>
              <w:t>Temperature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Fever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Bacterial translocation → SBP, other infections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Always evaluate for source: skin, urine, ascites, lungs</w:t>
            </w:r>
          </w:p>
        </w:tc>
      </w:tr>
      <w:tr w:rsidR="00C97F68" w:rsidRPr="00C97F68" w:rsidTr="00C97F6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rPr>
                <w:b/>
                <w:bCs/>
              </w:rPr>
              <w:t>O₂ saturation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Hypoxia, platypnea-orthodeoxia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Intrapulmonary vascular dilation (HPS) or portopulmonary hypertension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Desaturation on standing is pathognomonic of HPS</w:t>
            </w:r>
          </w:p>
        </w:tc>
      </w:tr>
    </w:tbl>
    <w:p w:rsidR="00C97F68" w:rsidRPr="00C97F68" w:rsidRDefault="00652F96" w:rsidP="00C97F68">
      <w:r>
        <w:rPr>
          <w:noProof/>
        </w:rPr>
        <w:pict>
          <v:rect id="_x0000_i1035" alt="" style="width:451.3pt;height:.05pt;mso-width-percent:0;mso-height-percent:0;mso-width-percent:0;mso-height-percent:0" o:hrstd="t" o:hrnoshade="t" o:hr="t" fillcolor="#374151" stroked="f"/>
        </w:pict>
      </w:r>
    </w:p>
    <w:p w:rsidR="00C97F68" w:rsidRPr="00C97F68" w:rsidRDefault="00C97F68" w:rsidP="00C97F68">
      <w:pPr>
        <w:rPr>
          <w:b/>
          <w:bCs/>
        </w:rPr>
      </w:pPr>
      <w:r w:rsidRPr="00C97F68">
        <w:rPr>
          <w:b/>
          <w:bCs/>
        </w:rPr>
        <w:t>3. Skin Examination — The Most Information-Rich Region</w:t>
      </w:r>
    </w:p>
    <w:p w:rsidR="00C97F68" w:rsidRPr="00C97F68" w:rsidRDefault="00C97F68" w:rsidP="00C97F68">
      <w:pPr>
        <w:rPr>
          <w:b/>
          <w:bCs/>
        </w:rPr>
      </w:pPr>
      <w:r w:rsidRPr="00C97F68">
        <w:rPr>
          <w:b/>
          <w:bCs/>
        </w:rPr>
        <w:t>A. Vascular Signs</w:t>
      </w:r>
    </w:p>
    <w:p w:rsidR="00C97F68" w:rsidRPr="00C97F68" w:rsidRDefault="00C97F68" w:rsidP="00C97F68">
      <w:pPr>
        <w:numPr>
          <w:ilvl w:val="0"/>
          <w:numId w:val="17"/>
        </w:numPr>
      </w:pPr>
      <w:r w:rsidRPr="00C97F68">
        <w:rPr>
          <w:b/>
          <w:bCs/>
        </w:rPr>
        <w:t>Spider angiomata</w:t>
      </w:r>
      <w:r w:rsidRPr="00C97F68">
        <w:t> (spider nevi): Central arteriole with radiating vessels; blanch and refill from center on pressure; found in distribution of superior vena cava (face, neck, upper chest, arms). </w:t>
      </w:r>
      <w:r w:rsidRPr="00C97F68">
        <w:rPr>
          <w:b/>
          <w:bCs/>
        </w:rPr>
        <w:t>LR+ 4.3 (95% CI 2.4–6.2)</w:t>
      </w:r>
      <w:r w:rsidRPr="00C97F68">
        <w:t> for biopsy-proven cirrhosis </w:t>
      </w:r>
      <w:r w:rsidRPr="00C97F68">
        <w:rPr>
          <w:b/>
          <w:bCs/>
        </w:rPr>
        <w:t>7</w:t>
      </w:r>
      <w:r w:rsidRPr="00C97F68">
        <w:t>.</w:t>
      </w:r>
    </w:p>
    <w:p w:rsidR="00C97F68" w:rsidRPr="00C97F68" w:rsidRDefault="00C97F68" w:rsidP="00C97F68">
      <w:r w:rsidRPr="00C97F68">
        <w:rPr>
          <w:b/>
          <w:bCs/>
        </w:rPr>
        <w:t>Pathobiology</w:t>
      </w:r>
      <w:r w:rsidRPr="00C97F68">
        <w:t>: Impaired hepatic estrogen metabolism → hyperestrogenemia → cutaneous arteriolar dilation + VEGF-mediated angiogenesis. Also seen in normal pregnancy; &gt;5 spiders is abnormal in men.</w:t>
      </w:r>
    </w:p>
    <w:p w:rsidR="00C97F68" w:rsidRPr="00C97F68" w:rsidRDefault="00C97F68" w:rsidP="00C97F68">
      <w:pPr>
        <w:numPr>
          <w:ilvl w:val="0"/>
          <w:numId w:val="17"/>
        </w:numPr>
      </w:pPr>
      <w:r w:rsidRPr="00C97F68">
        <w:rPr>
          <w:b/>
          <w:bCs/>
        </w:rPr>
        <w:lastRenderedPageBreak/>
        <w:t>Palmar erythema</w:t>
      </w:r>
      <w:r w:rsidRPr="00C97F68">
        <w:t>: Erythema of thenar/hypothenar eminences and fingertips, sparing central palm; bilateral; warm to touch. Specificity &gt;90% for cirrhosis </w:t>
      </w:r>
      <w:r w:rsidRPr="00C97F68">
        <w:rPr>
          <w:b/>
          <w:bCs/>
        </w:rPr>
        <w:t>1</w:t>
      </w:r>
      <w:r w:rsidRPr="00C97F68">
        <w:t>.</w:t>
      </w:r>
    </w:p>
    <w:p w:rsidR="00C97F68" w:rsidRPr="00C97F68" w:rsidRDefault="00C97F68" w:rsidP="00C97F68">
      <w:r w:rsidRPr="00C97F68">
        <w:rPr>
          <w:b/>
          <w:bCs/>
        </w:rPr>
        <w:t>Pathobiology</w:t>
      </w:r>
      <w:r w:rsidRPr="00C97F68">
        <w:t>: Same hyperestrogenic mechanism → peripheral vasodilation in palmar vessels.</w:t>
      </w:r>
    </w:p>
    <w:p w:rsidR="00C97F68" w:rsidRPr="00C97F68" w:rsidRDefault="00C97F68" w:rsidP="00C97F68">
      <w:pPr>
        <w:numPr>
          <w:ilvl w:val="0"/>
          <w:numId w:val="17"/>
        </w:numPr>
      </w:pPr>
      <w:r w:rsidRPr="00C97F68">
        <w:rPr>
          <w:b/>
          <w:bCs/>
        </w:rPr>
        <w:t>Facial telangiectasias</w:t>
      </w:r>
      <w:r w:rsidRPr="00C97F68">
        <w:t>: Fine dilated capillaries over cheeks/nose; specificity &gt;90% </w:t>
      </w:r>
      <w:r w:rsidRPr="00C97F68">
        <w:rPr>
          <w:b/>
          <w:bCs/>
        </w:rPr>
        <w:t>1</w:t>
      </w:r>
      <w:r w:rsidRPr="00C97F68">
        <w:t>.</w:t>
      </w:r>
    </w:p>
    <w:p w:rsidR="00C97F68" w:rsidRPr="00C97F68" w:rsidRDefault="00C97F68" w:rsidP="00C97F68">
      <w:pPr>
        <w:numPr>
          <w:ilvl w:val="0"/>
          <w:numId w:val="17"/>
        </w:numPr>
      </w:pPr>
      <w:r w:rsidRPr="00C97F68">
        <w:rPr>
          <w:b/>
          <w:bCs/>
        </w:rPr>
        <w:t>Caput medusae</w:t>
      </w:r>
      <w:r w:rsidRPr="00C97F68">
        <w:t>: Dilated periumbilical veins radiating outward from umbilicus.</w:t>
      </w:r>
    </w:p>
    <w:p w:rsidR="00C97F68" w:rsidRPr="00C97F68" w:rsidRDefault="00C97F68" w:rsidP="00C97F68">
      <w:r w:rsidRPr="00C97F68">
        <w:rPr>
          <w:b/>
          <w:bCs/>
        </w:rPr>
        <w:t>Pathobiology</w:t>
      </w:r>
      <w:r w:rsidRPr="00C97F68">
        <w:t>: Portal hypertension → recanalization of paraumbilical vein (embryonic remnant) → portosystemic collateral → blood flows </w:t>
      </w:r>
      <w:r w:rsidRPr="00C97F68">
        <w:rPr>
          <w:b/>
          <w:bCs/>
        </w:rPr>
        <w:t>away from</w:t>
      </w:r>
      <w:r w:rsidRPr="00C97F68">
        <w:t> umbilicus (distinguishes it from IVC obstruction where flow is </w:t>
      </w:r>
      <w:r w:rsidRPr="00C97F68">
        <w:rPr>
          <w:b/>
          <w:bCs/>
        </w:rPr>
        <w:t>toward</w:t>
      </w:r>
      <w:r w:rsidRPr="00C97F68">
        <w:t> umbilicus). A venous hum audible at the umbilicus = </w:t>
      </w:r>
      <w:r w:rsidRPr="00C97F68">
        <w:rPr>
          <w:b/>
          <w:bCs/>
        </w:rPr>
        <w:t>Cruveilhier-Baumgarten syndrome</w:t>
      </w:r>
      <w:r w:rsidRPr="00C97F68">
        <w:t> </w:t>
      </w:r>
      <w:r w:rsidRPr="00C97F68">
        <w:rPr>
          <w:b/>
          <w:bCs/>
        </w:rPr>
        <w:t>4</w:t>
      </w:r>
      <w:r w:rsidRPr="00C97F68">
        <w:t>.</w:t>
      </w:r>
    </w:p>
    <w:p w:rsidR="00C97F68" w:rsidRPr="00C97F68" w:rsidRDefault="00C97F68" w:rsidP="00C97F68">
      <w:pPr>
        <w:rPr>
          <w:b/>
          <w:bCs/>
        </w:rPr>
      </w:pPr>
      <w:r w:rsidRPr="00C97F68">
        <w:rPr>
          <w:b/>
          <w:bCs/>
        </w:rPr>
        <w:t>B. Pigmentation and Color</w:t>
      </w:r>
    </w:p>
    <w:p w:rsidR="00C97F68" w:rsidRPr="00C97F68" w:rsidRDefault="00C97F68" w:rsidP="00C97F68">
      <w:pPr>
        <w:numPr>
          <w:ilvl w:val="0"/>
          <w:numId w:val="18"/>
        </w:numPr>
      </w:pPr>
      <w:r w:rsidRPr="00C97F68">
        <w:rPr>
          <w:b/>
          <w:bCs/>
        </w:rPr>
        <w:t>Jaundice / scleral icterus</w:t>
      </w:r>
      <w:r w:rsidRPr="00C97F68">
        <w:t>: Assess in natural light; sclerae are more sensitive than skin.</w:t>
      </w:r>
    </w:p>
    <w:p w:rsidR="00C97F68" w:rsidRPr="00C97F68" w:rsidRDefault="00C97F68" w:rsidP="00C97F68">
      <w:pPr>
        <w:numPr>
          <w:ilvl w:val="0"/>
          <w:numId w:val="18"/>
        </w:numPr>
      </w:pPr>
      <w:r w:rsidRPr="00C97F68">
        <w:rPr>
          <w:b/>
          <w:bCs/>
        </w:rPr>
        <w:t>Hyperpigmentation</w:t>
      </w:r>
      <w:r w:rsidRPr="00C97F68">
        <w:t>: Bronze discoloration → hemochromatosis ("bronze diabetes").</w:t>
      </w:r>
    </w:p>
    <w:p w:rsidR="00C97F68" w:rsidRPr="00C97F68" w:rsidRDefault="00C97F68" w:rsidP="00C97F68">
      <w:pPr>
        <w:numPr>
          <w:ilvl w:val="0"/>
          <w:numId w:val="18"/>
        </w:numPr>
      </w:pPr>
      <w:r w:rsidRPr="00C97F68">
        <w:rPr>
          <w:b/>
          <w:bCs/>
        </w:rPr>
        <w:t>Xanthelasma / xanthomata</w:t>
      </w:r>
      <w:r w:rsidRPr="00C97F68">
        <w:t>: Periorbital or tendinous lipid deposits → cholestatic disease (PBC, PSC).</w:t>
      </w:r>
    </w:p>
    <w:p w:rsidR="00C97F68" w:rsidRPr="00C97F68" w:rsidRDefault="00C97F68" w:rsidP="00C97F68">
      <w:pPr>
        <w:numPr>
          <w:ilvl w:val="0"/>
          <w:numId w:val="18"/>
        </w:numPr>
      </w:pPr>
      <w:r w:rsidRPr="00C97F68">
        <w:rPr>
          <w:b/>
          <w:bCs/>
        </w:rPr>
        <w:t>Ecchymoses / purpura</w:t>
      </w:r>
      <w:r w:rsidRPr="00C97F68">
        <w:t>: Impaired coagulation factor synthesis (factors II, V, VII, IX, X) + thrombocytopenia from hypersplenism </w:t>
      </w:r>
      <w:r w:rsidRPr="00C97F68">
        <w:rPr>
          <w:b/>
          <w:bCs/>
        </w:rPr>
        <w:t>6</w:t>
      </w:r>
      <w:r w:rsidRPr="00C97F68">
        <w:t>.</w:t>
      </w:r>
    </w:p>
    <w:p w:rsidR="00C97F68" w:rsidRPr="00C97F68" w:rsidRDefault="00C97F68" w:rsidP="00C97F68">
      <w:pPr>
        <w:numPr>
          <w:ilvl w:val="0"/>
          <w:numId w:val="18"/>
        </w:numPr>
      </w:pPr>
      <w:r w:rsidRPr="00C97F68">
        <w:rPr>
          <w:b/>
          <w:bCs/>
        </w:rPr>
        <w:t>Leukonychia</w:t>
      </w:r>
      <w:r w:rsidRPr="00C97F68">
        <w:t> (Terry's nails): White discoloration of nails, absent lunula, pink tip; specificity &gt;90% for cirrhosis </w:t>
      </w:r>
      <w:r w:rsidRPr="00C97F68">
        <w:rPr>
          <w:b/>
          <w:bCs/>
        </w:rPr>
        <w:t>1</w:t>
      </w:r>
      <w:r w:rsidRPr="00C97F68">
        <w:t>.</w:t>
      </w:r>
    </w:p>
    <w:p w:rsidR="00C97F68" w:rsidRPr="00C97F68" w:rsidRDefault="00C97F68" w:rsidP="00C97F68">
      <w:r w:rsidRPr="00C97F68">
        <w:rPr>
          <w:b/>
          <w:bCs/>
        </w:rPr>
        <w:t>Pathobiology</w:t>
      </w:r>
      <w:r w:rsidRPr="00C97F68">
        <w:t>: Hypoalbuminemia → changes in nail bed vascularity and connective tissue.</w:t>
      </w:r>
    </w:p>
    <w:p w:rsidR="00C97F68" w:rsidRPr="00C97F68" w:rsidRDefault="00C97F68" w:rsidP="00C97F68">
      <w:pPr>
        <w:rPr>
          <w:b/>
          <w:bCs/>
        </w:rPr>
      </w:pPr>
      <w:r w:rsidRPr="00C97F68">
        <w:rPr>
          <w:b/>
          <w:bCs/>
        </w:rPr>
        <w:t>C. Signs of Specific Etiologies</w:t>
      </w:r>
    </w:p>
    <w:p w:rsidR="00C97F68" w:rsidRPr="00C97F68" w:rsidRDefault="00C97F68" w:rsidP="00C97F68">
      <w:pPr>
        <w:numPr>
          <w:ilvl w:val="0"/>
          <w:numId w:val="19"/>
        </w:numPr>
      </w:pPr>
      <w:r w:rsidRPr="00C97F68">
        <w:rPr>
          <w:b/>
          <w:bCs/>
        </w:rPr>
        <w:t>Dupuytren's contracture</w:t>
      </w:r>
      <w:r w:rsidRPr="00C97F68">
        <w:t>: Palmar fibrosis → ALD (also genetic); ask about hand function </w:t>
      </w:r>
      <w:r w:rsidRPr="00C97F68">
        <w:rPr>
          <w:b/>
          <w:bCs/>
        </w:rPr>
        <w:t>2</w:t>
      </w:r>
      <w:r w:rsidRPr="00C97F68">
        <w:t>.</w:t>
      </w:r>
    </w:p>
    <w:p w:rsidR="00C97F68" w:rsidRPr="00C97F68" w:rsidRDefault="00C97F68" w:rsidP="00C97F68">
      <w:pPr>
        <w:numPr>
          <w:ilvl w:val="0"/>
          <w:numId w:val="19"/>
        </w:numPr>
      </w:pPr>
      <w:r w:rsidRPr="00C97F68">
        <w:rPr>
          <w:b/>
          <w:bCs/>
        </w:rPr>
        <w:t>Rhinophyma</w:t>
      </w:r>
      <w:r w:rsidRPr="00C97F68">
        <w:t>: Skin findings of chronic alcohol use.</w:t>
      </w:r>
    </w:p>
    <w:p w:rsidR="00C97F68" w:rsidRPr="00C97F68" w:rsidRDefault="00C97F68" w:rsidP="00C97F68">
      <w:pPr>
        <w:numPr>
          <w:ilvl w:val="0"/>
          <w:numId w:val="19"/>
        </w:numPr>
      </w:pPr>
      <w:r w:rsidRPr="00C97F68">
        <w:rPr>
          <w:b/>
          <w:bCs/>
        </w:rPr>
        <w:t>Excoriation marks</w:t>
      </w:r>
      <w:r w:rsidRPr="00C97F68">
        <w:t>: Scratch marks from pruritus → cholestatic disease (PBC, PSC).</w:t>
      </w:r>
    </w:p>
    <w:p w:rsidR="00C97F68" w:rsidRPr="00C97F68" w:rsidRDefault="00C97F68" w:rsidP="00C97F68">
      <w:pPr>
        <w:numPr>
          <w:ilvl w:val="0"/>
          <w:numId w:val="19"/>
        </w:numPr>
      </w:pPr>
      <w:r w:rsidRPr="00C97F68">
        <w:rPr>
          <w:b/>
          <w:bCs/>
        </w:rPr>
        <w:t>Cellulitis or wound infection</w:t>
      </w:r>
      <w:r w:rsidRPr="00C97F68">
        <w:t>: Mandatory full skin survey in decompensated ALD/AH to exclude sepsis source </w:t>
      </w:r>
      <w:r w:rsidRPr="00C97F68">
        <w:rPr>
          <w:b/>
          <w:bCs/>
        </w:rPr>
        <w:t>8</w:t>
      </w:r>
      <w:r w:rsidRPr="00C97F68">
        <w:t>.</w:t>
      </w:r>
    </w:p>
    <w:p w:rsidR="00C97F68" w:rsidRPr="00C97F68" w:rsidRDefault="00C97F68" w:rsidP="00C97F68">
      <w:pPr>
        <w:numPr>
          <w:ilvl w:val="0"/>
          <w:numId w:val="19"/>
        </w:numPr>
      </w:pPr>
      <w:r w:rsidRPr="00C97F68">
        <w:rPr>
          <w:b/>
          <w:bCs/>
        </w:rPr>
        <w:t>Porphyria cutanea tarda</w:t>
      </w:r>
      <w:r w:rsidRPr="00C97F68">
        <w:t>: Blistering, fragile skin on sun-exposed areas → HCV, ALD, hemochromatosis.</w:t>
      </w:r>
    </w:p>
    <w:p w:rsidR="00C97F68" w:rsidRPr="00C97F68" w:rsidRDefault="00652F96" w:rsidP="00C97F68">
      <w:r>
        <w:rPr>
          <w:noProof/>
        </w:rPr>
        <w:pict>
          <v:rect id="_x0000_i1034" alt="" style="width:451.3pt;height:.05pt;mso-width-percent:0;mso-height-percent:0;mso-width-percent:0;mso-height-percent:0" o:hrstd="t" o:hrnoshade="t" o:hr="t" fillcolor="#374151" stroked="f"/>
        </w:pict>
      </w:r>
    </w:p>
    <w:p w:rsidR="00C97F68" w:rsidRPr="00C97F68" w:rsidRDefault="00C97F68" w:rsidP="00C97F68">
      <w:pPr>
        <w:rPr>
          <w:b/>
          <w:bCs/>
        </w:rPr>
      </w:pPr>
      <w:r w:rsidRPr="00C97F68">
        <w:rPr>
          <w:b/>
          <w:bCs/>
        </w:rPr>
        <w:t>4. Eyes</w:t>
      </w:r>
    </w:p>
    <w:p w:rsidR="00C97F68" w:rsidRPr="00C97F68" w:rsidRDefault="00C97F68" w:rsidP="00C97F68">
      <w:pPr>
        <w:numPr>
          <w:ilvl w:val="0"/>
          <w:numId w:val="20"/>
        </w:numPr>
      </w:pPr>
      <w:r w:rsidRPr="00C97F68">
        <w:rPr>
          <w:b/>
          <w:bCs/>
        </w:rPr>
        <w:t>Scleral icterus</w:t>
      </w:r>
      <w:r w:rsidRPr="00C97F68">
        <w:t>: Most sensitive site for detecting jaundice.</w:t>
      </w:r>
    </w:p>
    <w:p w:rsidR="00C97F68" w:rsidRPr="00C97F68" w:rsidRDefault="00C97F68" w:rsidP="00C97F68">
      <w:pPr>
        <w:numPr>
          <w:ilvl w:val="0"/>
          <w:numId w:val="20"/>
        </w:numPr>
      </w:pPr>
      <w:r w:rsidRPr="00C97F68">
        <w:rPr>
          <w:b/>
          <w:bCs/>
        </w:rPr>
        <w:t>Kayser-Fleischer (KF) rings</w:t>
      </w:r>
      <w:r w:rsidRPr="00C97F68">
        <w:t>: Golden-brown deposits in Descemet's membrane of cornea periphery (best seen with slit lamp); </w:t>
      </w:r>
      <w:r w:rsidRPr="00C97F68">
        <w:rPr>
          <w:b/>
          <w:bCs/>
        </w:rPr>
        <w:t>pathognomonic of Wilson's disease</w:t>
      </w:r>
      <w:r w:rsidRPr="00C97F68">
        <w:t> when accompanied by liver disease </w:t>
      </w:r>
      <w:r w:rsidRPr="00C97F68">
        <w:rPr>
          <w:b/>
          <w:bCs/>
        </w:rPr>
        <w:t>9</w:t>
      </w:r>
      <w:r w:rsidRPr="00C97F68">
        <w:t>.</w:t>
      </w:r>
    </w:p>
    <w:p w:rsidR="00C97F68" w:rsidRPr="00C97F68" w:rsidRDefault="00C97F68" w:rsidP="00C97F68">
      <w:r w:rsidRPr="00C97F68">
        <w:rPr>
          <w:b/>
          <w:bCs/>
        </w:rPr>
        <w:t>Pathobiology</w:t>
      </w:r>
      <w:r w:rsidRPr="00C97F68">
        <w:t>: Copper deposition in corneal periphery due to impaired hepatic copper excretion (ATP7B mutation → absent/dysfunctional copper-transporting ATPase in hepatocytes → copper accumulates in liver, then spills to brain, cornea, kidneys).</w:t>
      </w:r>
    </w:p>
    <w:p w:rsidR="00C97F68" w:rsidRPr="00C97F68" w:rsidRDefault="00C97F68" w:rsidP="00C97F68">
      <w:pPr>
        <w:numPr>
          <w:ilvl w:val="1"/>
          <w:numId w:val="20"/>
        </w:numPr>
      </w:pPr>
      <w:r w:rsidRPr="00C97F68">
        <w:t>KF rings absent in ~50% of patients with hepatic-only WD presentation — absence does not exclude the diagnosis </w:t>
      </w:r>
      <w:r w:rsidRPr="00C97F68">
        <w:rPr>
          <w:b/>
          <w:bCs/>
        </w:rPr>
        <w:t>9</w:t>
      </w:r>
      <w:r w:rsidRPr="00C97F68">
        <w:t>.</w:t>
      </w:r>
    </w:p>
    <w:p w:rsidR="00C97F68" w:rsidRPr="00C97F68" w:rsidRDefault="00C97F68" w:rsidP="00C97F68">
      <w:pPr>
        <w:numPr>
          <w:ilvl w:val="0"/>
          <w:numId w:val="20"/>
        </w:numPr>
      </w:pPr>
      <w:r w:rsidRPr="00C97F68">
        <w:rPr>
          <w:b/>
          <w:bCs/>
        </w:rPr>
        <w:t>Sunflower cataracts</w:t>
      </w:r>
      <w:r w:rsidRPr="00C97F68">
        <w:t>: Copper deposition in lens → Wilson's disease.</w:t>
      </w:r>
    </w:p>
    <w:p w:rsidR="00C97F68" w:rsidRPr="00C97F68" w:rsidRDefault="00C97F68" w:rsidP="00C97F68">
      <w:pPr>
        <w:numPr>
          <w:ilvl w:val="0"/>
          <w:numId w:val="20"/>
        </w:numPr>
      </w:pPr>
      <w:r w:rsidRPr="00C97F68">
        <w:rPr>
          <w:b/>
          <w:bCs/>
        </w:rPr>
        <w:t>Xanthelasma</w:t>
      </w:r>
      <w:r w:rsidRPr="00C97F68">
        <w:t>: Periorbital yellow plaques → cholestatic disease.</w:t>
      </w:r>
    </w:p>
    <w:p w:rsidR="00C97F68" w:rsidRPr="00C97F68" w:rsidRDefault="00652F96" w:rsidP="00C97F68">
      <w:r>
        <w:rPr>
          <w:noProof/>
        </w:rPr>
        <w:pict>
          <v:rect id="_x0000_i1033" alt="" style="width:451.3pt;height:.05pt;mso-width-percent:0;mso-height-percent:0;mso-width-percent:0;mso-height-percent:0" o:hrstd="t" o:hrnoshade="t" o:hr="t" fillcolor="#374151" stroked="f"/>
        </w:pict>
      </w:r>
    </w:p>
    <w:p w:rsidR="00C97F68" w:rsidRPr="00C97F68" w:rsidRDefault="00C97F68" w:rsidP="00C97F68">
      <w:pPr>
        <w:rPr>
          <w:b/>
          <w:bCs/>
        </w:rPr>
      </w:pPr>
      <w:r w:rsidRPr="00C97F68">
        <w:rPr>
          <w:b/>
          <w:bCs/>
        </w:rPr>
        <w:t>5. Head and Neck</w:t>
      </w:r>
    </w:p>
    <w:p w:rsidR="00C97F68" w:rsidRPr="00C97F68" w:rsidRDefault="00C97F68" w:rsidP="00C97F68">
      <w:pPr>
        <w:numPr>
          <w:ilvl w:val="0"/>
          <w:numId w:val="21"/>
        </w:numPr>
      </w:pPr>
      <w:r w:rsidRPr="00C97F68">
        <w:rPr>
          <w:b/>
          <w:bCs/>
        </w:rPr>
        <w:t>Temporal wasting</w:t>
      </w:r>
      <w:r w:rsidRPr="00C97F68">
        <w:t>: Loss of temporalis muscle bulk; best assessed by asking patient to clench jaw → prominent temporal fossa if wasted. Early sign of </w:t>
      </w:r>
      <w:r w:rsidRPr="00C97F68">
        <w:rPr>
          <w:b/>
          <w:bCs/>
        </w:rPr>
        <w:t>sarcopenia</w:t>
      </w:r>
      <w:r w:rsidRPr="00C97F68">
        <w:t> </w:t>
      </w:r>
      <w:r w:rsidRPr="00C97F68">
        <w:rPr>
          <w:b/>
          <w:bCs/>
        </w:rPr>
        <w:t>6</w:t>
      </w:r>
      <w:r w:rsidRPr="00C97F68">
        <w:t>.</w:t>
      </w:r>
    </w:p>
    <w:p w:rsidR="00C97F68" w:rsidRPr="00C97F68" w:rsidRDefault="00C97F68" w:rsidP="00C97F68">
      <w:pPr>
        <w:numPr>
          <w:ilvl w:val="0"/>
          <w:numId w:val="21"/>
        </w:numPr>
      </w:pPr>
      <w:r w:rsidRPr="00C97F68">
        <w:rPr>
          <w:b/>
          <w:bCs/>
        </w:rPr>
        <w:lastRenderedPageBreak/>
        <w:t>Parotid enlargement</w:t>
      </w:r>
      <w:r w:rsidRPr="00C97F68">
        <w:t>: Bilateral painless parotid gland hypertrophy → </w:t>
      </w:r>
      <w:r w:rsidRPr="00C97F68">
        <w:rPr>
          <w:b/>
          <w:bCs/>
        </w:rPr>
        <w:t>chronic alcohol use</w:t>
      </w:r>
      <w:r w:rsidRPr="00C97F68">
        <w:t> (sialosis).</w:t>
      </w:r>
    </w:p>
    <w:p w:rsidR="00C97F68" w:rsidRPr="00C97F68" w:rsidRDefault="00C97F68" w:rsidP="00C97F68">
      <w:r w:rsidRPr="00C97F68">
        <w:rPr>
          <w:b/>
          <w:bCs/>
        </w:rPr>
        <w:t>Pathobiology</w:t>
      </w:r>
      <w:r w:rsidRPr="00C97F68">
        <w:t>: Alcohol → acinar cell hypertrophy + altered autonomic innervation → gland enlargement.</w:t>
      </w:r>
    </w:p>
    <w:p w:rsidR="00C97F68" w:rsidRPr="00C97F68" w:rsidRDefault="00C97F68" w:rsidP="00C97F68">
      <w:pPr>
        <w:numPr>
          <w:ilvl w:val="0"/>
          <w:numId w:val="21"/>
        </w:numPr>
      </w:pPr>
      <w:r w:rsidRPr="00C97F68">
        <w:rPr>
          <w:b/>
          <w:bCs/>
        </w:rPr>
        <w:t>Jugular venous distension (JVD)</w:t>
      </w:r>
      <w:r w:rsidRPr="00C97F68">
        <w:t>: Elevated JVP → cardiac cirrhosis (right heart failure, constrictive pericarditis) — important non-hepatic cause of CLD </w:t>
      </w:r>
      <w:r w:rsidRPr="00C97F68">
        <w:rPr>
          <w:b/>
          <w:bCs/>
        </w:rPr>
        <w:t>10</w:t>
      </w:r>
      <w:r w:rsidRPr="00C97F68">
        <w:t>.</w:t>
      </w:r>
    </w:p>
    <w:p w:rsidR="00C97F68" w:rsidRPr="00C97F68" w:rsidRDefault="00C97F68" w:rsidP="00C97F68">
      <w:pPr>
        <w:numPr>
          <w:ilvl w:val="0"/>
          <w:numId w:val="21"/>
        </w:numPr>
      </w:pPr>
      <w:r w:rsidRPr="00C97F68">
        <w:rPr>
          <w:b/>
          <w:bCs/>
        </w:rPr>
        <w:t>Lymphadenopathy</w:t>
      </w:r>
      <w:r w:rsidRPr="00C97F68">
        <w:t>: Supraclavicular, axillary, inguinal → malignancy (HCC with nodal spread, lymphoma with hepatic infiltration).</w:t>
      </w:r>
    </w:p>
    <w:p w:rsidR="00C97F68" w:rsidRPr="00C97F68" w:rsidRDefault="00C97F68" w:rsidP="00C97F68">
      <w:pPr>
        <w:numPr>
          <w:ilvl w:val="0"/>
          <w:numId w:val="21"/>
        </w:numPr>
      </w:pPr>
      <w:r w:rsidRPr="00C97F68">
        <w:rPr>
          <w:b/>
          <w:bCs/>
        </w:rPr>
        <w:t>Fetor hepaticus</w:t>
      </w:r>
      <w:r w:rsidRPr="00C97F68">
        <w:t>: As above; assess during inspection.</w:t>
      </w:r>
    </w:p>
    <w:p w:rsidR="00C97F68" w:rsidRPr="00C97F68" w:rsidRDefault="00652F96" w:rsidP="00C97F68">
      <w:r>
        <w:rPr>
          <w:noProof/>
        </w:rPr>
        <w:pict>
          <v:rect id="_x0000_i1032" alt="" style="width:451.3pt;height:.05pt;mso-width-percent:0;mso-height-percent:0;mso-width-percent:0;mso-height-percent:0" o:hrstd="t" o:hrnoshade="t" o:hr="t" fillcolor="#374151" stroked="f"/>
        </w:pict>
      </w:r>
    </w:p>
    <w:p w:rsidR="00C97F68" w:rsidRPr="00C97F68" w:rsidRDefault="00C97F68" w:rsidP="00C97F68">
      <w:pPr>
        <w:rPr>
          <w:b/>
          <w:bCs/>
        </w:rPr>
      </w:pPr>
      <w:r w:rsidRPr="00C97F68">
        <w:rPr>
          <w:b/>
          <w:bCs/>
        </w:rPr>
        <w:t>6. Neurological Examination — Screen for Hepatic Encephalopathy</w:t>
      </w:r>
    </w:p>
    <w:p w:rsidR="00C97F68" w:rsidRPr="00C97F68" w:rsidRDefault="00C97F68" w:rsidP="00C97F68">
      <w:r w:rsidRPr="00C97F68">
        <w:rPr>
          <w:b/>
          <w:bCs/>
        </w:rPr>
        <w:t>Always perform a focused neurological exam in CLD.</w:t>
      </w:r>
    </w:p>
    <w:tbl>
      <w:tblPr>
        <w:tblW w:w="100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9FAF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6"/>
        <w:gridCol w:w="6452"/>
        <w:gridCol w:w="11133"/>
        <w:gridCol w:w="3399"/>
      </w:tblGrid>
      <w:tr w:rsidR="00C97F68" w:rsidRPr="00C97F68" w:rsidTr="00C97F68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pPr>
              <w:rPr>
                <w:b/>
                <w:bCs/>
              </w:rPr>
            </w:pPr>
            <w:r w:rsidRPr="00C97F68">
              <w:rPr>
                <w:b/>
                <w:bCs/>
              </w:rPr>
              <w:t>Sign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pPr>
              <w:rPr>
                <w:b/>
                <w:bCs/>
              </w:rPr>
            </w:pPr>
            <w:r w:rsidRPr="00C97F68">
              <w:rPr>
                <w:b/>
                <w:bCs/>
              </w:rPr>
              <w:t>How to Elicit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pPr>
              <w:rPr>
                <w:b/>
                <w:bCs/>
              </w:rPr>
            </w:pPr>
            <w:r w:rsidRPr="00C97F68">
              <w:rPr>
                <w:b/>
                <w:bCs/>
              </w:rPr>
              <w:t>Pathobiology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pPr>
              <w:rPr>
                <w:b/>
                <w:bCs/>
              </w:rPr>
            </w:pPr>
            <w:r w:rsidRPr="00C97F68">
              <w:rPr>
                <w:b/>
                <w:bCs/>
              </w:rPr>
              <w:t>Grade of HE</w:t>
            </w:r>
          </w:p>
        </w:tc>
      </w:tr>
      <w:tr w:rsidR="00C97F68" w:rsidRPr="00C97F68" w:rsidTr="00C97F6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rPr>
                <w:b/>
                <w:bCs/>
              </w:rPr>
              <w:t>Asterixis (flapping tremor)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Ask patient to extend arms, dorsiflex wrists, spread fingers for 15–30 seconds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Ammonia + systemic inflammation → impaired inhibitory interneuron function → brief lapses in sustained posture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Grade 2–3 HE; also in uremia, CO₂ retention</w:t>
            </w:r>
          </w:p>
        </w:tc>
      </w:tr>
      <w:tr w:rsidR="00C97F68" w:rsidRPr="00C97F68" w:rsidTr="00C97F6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rPr>
                <w:b/>
                <w:bCs/>
              </w:rPr>
              <w:t>Psychomotor slowing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Number connection test (Trail Making Test A); writing sample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Neuroinflammation + cerebral astrocyte dysfunction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Covert (minimal) HE</w:t>
            </w:r>
          </w:p>
        </w:tc>
      </w:tr>
      <w:tr w:rsidR="00C97F68" w:rsidRPr="00C97F68" w:rsidTr="00C97F6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rPr>
                <w:b/>
                <w:bCs/>
              </w:rPr>
              <w:t>Day/night reversal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Ask about sleep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Impaired melatonin metabolism + circadian disruption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Early HE</w:t>
            </w:r>
          </w:p>
        </w:tc>
      </w:tr>
      <w:tr w:rsidR="00C97F68" w:rsidRPr="00C97F68" w:rsidTr="00C97F6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rPr>
                <w:b/>
                <w:bCs/>
              </w:rPr>
              <w:t>Dysarthria, ataxia, tremor in young patient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Assess gait and speech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Copper toxicity → basal ganglia/cerebellar damage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Wilson's disease</w:t>
            </w:r>
          </w:p>
        </w:tc>
      </w:tr>
      <w:tr w:rsidR="00C97F68" w:rsidRPr="00C97F68" w:rsidTr="00C97F6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rPr>
                <w:b/>
                <w:bCs/>
              </w:rPr>
              <w:t>Wernicke's encephalopathy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Ophthalmoplegia, ataxia, confusion triad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Thiamine (B1) depletion in ALD → mammillary body/thalamic hemorrhage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ALD-specific; emergency</w:t>
            </w:r>
          </w:p>
        </w:tc>
      </w:tr>
      <w:tr w:rsidR="00C97F68" w:rsidRPr="00C97F68" w:rsidTr="00C97F6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rPr>
                <w:b/>
                <w:bCs/>
              </w:rPr>
              <w:t>Peripheral neuropathy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Absent ankle reflexes, stocking-glove sensory loss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Alcohol neurotoxicity + B1/B12/folate deficiency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ALD; also cryoglobulinemia in HCV</w:t>
            </w:r>
          </w:p>
        </w:tc>
      </w:tr>
    </w:tbl>
    <w:p w:rsidR="00C97F68" w:rsidRPr="00C97F68" w:rsidRDefault="00C97F68" w:rsidP="00C97F68">
      <w:r w:rsidRPr="00C97F68">
        <w:rPr>
          <w:b/>
          <w:bCs/>
        </w:rPr>
        <w:t>Clinical pearl</w:t>
      </w:r>
      <w:r w:rsidRPr="00C97F68">
        <w:t>: Asterixis is </w:t>
      </w:r>
      <w:r w:rsidRPr="00C97F68">
        <w:rPr>
          <w:b/>
          <w:bCs/>
        </w:rPr>
        <w:t>not</w:t>
      </w:r>
      <w:r w:rsidRPr="00C97F68">
        <w:t> pathognomonic of HE — always exclude uremia, hypercapnia, and drug toxicity. Test </w:t>
      </w:r>
      <w:r w:rsidRPr="00C97F68">
        <w:rPr>
          <w:b/>
          <w:bCs/>
        </w:rPr>
        <w:t>both hands</w:t>
      </w:r>
      <w:r w:rsidRPr="00C97F68">
        <w:t> simultaneously; asymmetric asterixis suggests structural CNS lesion.</w:t>
      </w:r>
    </w:p>
    <w:p w:rsidR="00C97F68" w:rsidRPr="00C97F68" w:rsidRDefault="00652F96" w:rsidP="00C97F68">
      <w:r>
        <w:rPr>
          <w:noProof/>
        </w:rPr>
        <w:pict>
          <v:rect id="_x0000_i1031" alt="" style="width:451.3pt;height:.05pt;mso-width-percent:0;mso-height-percent:0;mso-width-percent:0;mso-height-percent:0" o:hrstd="t" o:hrnoshade="t" o:hr="t" fillcolor="#374151" stroked="f"/>
        </w:pict>
      </w:r>
    </w:p>
    <w:p w:rsidR="00C97F68" w:rsidRPr="00C97F68" w:rsidRDefault="00C97F68" w:rsidP="00C97F68">
      <w:pPr>
        <w:rPr>
          <w:b/>
          <w:bCs/>
        </w:rPr>
      </w:pPr>
      <w:r w:rsidRPr="00C97F68">
        <w:rPr>
          <w:b/>
          <w:bCs/>
        </w:rPr>
        <w:t>7. Chest Examination</w:t>
      </w:r>
    </w:p>
    <w:p w:rsidR="00C97F68" w:rsidRPr="00C97F68" w:rsidRDefault="00C97F68" w:rsidP="00C97F68">
      <w:pPr>
        <w:numPr>
          <w:ilvl w:val="0"/>
          <w:numId w:val="22"/>
        </w:numPr>
      </w:pPr>
      <w:r w:rsidRPr="00C97F68">
        <w:rPr>
          <w:b/>
          <w:bCs/>
        </w:rPr>
        <w:t>Gynecomastia</w:t>
      </w:r>
      <w:r w:rsidRPr="00C97F68">
        <w:t>: Palpate glandular breast tissue (distinguish from lipomastia — fatty tissue, no discrete disc). Bilateral, often tender. Specificity &gt;90% for cirrhosis </w:t>
      </w:r>
      <w:r w:rsidRPr="00C97F68">
        <w:rPr>
          <w:b/>
          <w:bCs/>
        </w:rPr>
        <w:t>1</w:t>
      </w:r>
      <w:r w:rsidRPr="00C97F68">
        <w:t>.</w:t>
      </w:r>
    </w:p>
    <w:p w:rsidR="00C97F68" w:rsidRPr="00C97F68" w:rsidRDefault="00C97F68" w:rsidP="00C97F68">
      <w:r w:rsidRPr="00C97F68">
        <w:rPr>
          <w:b/>
          <w:bCs/>
        </w:rPr>
        <w:t>Pathobiology</w:t>
      </w:r>
      <w:r w:rsidRPr="00C97F68">
        <w:t>: Impaired hepatic metabolism of estradiol + reduced androgen production (hypogonadism from direct alcohol toxicity or hemochromatosis pituitary infiltration) → estrogen/androgen imbalance.</w:t>
      </w:r>
    </w:p>
    <w:p w:rsidR="00C97F68" w:rsidRPr="00C97F68" w:rsidRDefault="00C97F68" w:rsidP="00C97F68">
      <w:pPr>
        <w:numPr>
          <w:ilvl w:val="0"/>
          <w:numId w:val="22"/>
        </w:numPr>
      </w:pPr>
      <w:r w:rsidRPr="00C97F68">
        <w:rPr>
          <w:b/>
          <w:bCs/>
        </w:rPr>
        <w:t>Decreased body hair</w:t>
      </w:r>
      <w:r w:rsidRPr="00C97F68">
        <w:t>: Loss of axillary/pubic/chest hair in men → hyperestrogenism.</w:t>
      </w:r>
    </w:p>
    <w:p w:rsidR="00C97F68" w:rsidRPr="00C97F68" w:rsidRDefault="00C97F68" w:rsidP="00C97F68">
      <w:pPr>
        <w:numPr>
          <w:ilvl w:val="0"/>
          <w:numId w:val="22"/>
        </w:numPr>
      </w:pPr>
      <w:r w:rsidRPr="00C97F68">
        <w:rPr>
          <w:b/>
          <w:bCs/>
        </w:rPr>
        <w:t>Spider angiomata</w:t>
      </w:r>
      <w:r w:rsidRPr="00C97F68">
        <w:t>: Upper chest is a key distribution.</w:t>
      </w:r>
    </w:p>
    <w:p w:rsidR="00C97F68" w:rsidRPr="00C97F68" w:rsidRDefault="00C97F68" w:rsidP="00C97F68">
      <w:pPr>
        <w:numPr>
          <w:ilvl w:val="0"/>
          <w:numId w:val="22"/>
        </w:numPr>
      </w:pPr>
      <w:r w:rsidRPr="00C97F68">
        <w:rPr>
          <w:b/>
          <w:bCs/>
        </w:rPr>
        <w:t>Pleural effusion (hepatic hydrothorax)</w:t>
      </w:r>
      <w:r w:rsidRPr="00C97F68">
        <w:t>: Usually right-sided; dullness to percussion, absent breath sounds.</w:t>
      </w:r>
    </w:p>
    <w:p w:rsidR="00C97F68" w:rsidRPr="00C97F68" w:rsidRDefault="00C97F68" w:rsidP="00C97F68">
      <w:r w:rsidRPr="00C97F68">
        <w:rPr>
          <w:b/>
          <w:bCs/>
        </w:rPr>
        <w:t>Pathobiology</w:t>
      </w:r>
      <w:r w:rsidRPr="00C97F68">
        <w:t>: Ascitic fluid passes through diaphragmatic defects (often microscopic) into pleural space via pressure gradient; may be massive even with minimal ascites </w:t>
      </w:r>
      <w:r w:rsidRPr="00C97F68">
        <w:rPr>
          <w:b/>
          <w:bCs/>
        </w:rPr>
        <w:t>10</w:t>
      </w:r>
      <w:r w:rsidRPr="00C97F68">
        <w:t>.</w:t>
      </w:r>
    </w:p>
    <w:p w:rsidR="00C97F68" w:rsidRPr="00C97F68" w:rsidRDefault="00C97F68" w:rsidP="00C97F68">
      <w:pPr>
        <w:numPr>
          <w:ilvl w:val="0"/>
          <w:numId w:val="22"/>
        </w:numPr>
      </w:pPr>
      <w:r w:rsidRPr="00C97F68">
        <w:rPr>
          <w:b/>
          <w:bCs/>
        </w:rPr>
        <w:t>Pulmonary signs of HPS</w:t>
      </w:r>
      <w:r w:rsidRPr="00C97F68">
        <w:t>: Normal percussion/auscultation but significant hypoxia → intrapulmonary vascular dilation (not detectable clinically, confirmed by contrast echocardiography).</w:t>
      </w:r>
    </w:p>
    <w:p w:rsidR="00C97F68" w:rsidRPr="00C97F68" w:rsidRDefault="00652F96" w:rsidP="00C97F68">
      <w:r>
        <w:rPr>
          <w:noProof/>
        </w:rPr>
        <w:pict>
          <v:rect id="_x0000_i1030" alt="" style="width:451.3pt;height:.05pt;mso-width-percent:0;mso-height-percent:0;mso-width-percent:0;mso-height-percent:0" o:hrstd="t" o:hrnoshade="t" o:hr="t" fillcolor="#374151" stroked="f"/>
        </w:pict>
      </w:r>
    </w:p>
    <w:p w:rsidR="00C97F68" w:rsidRPr="00C97F68" w:rsidRDefault="00C97F68" w:rsidP="00C97F68">
      <w:pPr>
        <w:rPr>
          <w:b/>
          <w:bCs/>
        </w:rPr>
      </w:pPr>
      <w:r w:rsidRPr="00C97F68">
        <w:rPr>
          <w:b/>
          <w:bCs/>
        </w:rPr>
        <w:t>8. Abdominal Examination — The Core of CLD Assessment</w:t>
      </w:r>
    </w:p>
    <w:p w:rsidR="00C97F68" w:rsidRPr="00C97F68" w:rsidRDefault="00C97F68" w:rsidP="00C97F68">
      <w:pPr>
        <w:rPr>
          <w:b/>
          <w:bCs/>
        </w:rPr>
      </w:pPr>
      <w:r w:rsidRPr="00C97F68">
        <w:rPr>
          <w:b/>
          <w:bCs/>
        </w:rPr>
        <w:t>A. Inspection</w:t>
      </w:r>
    </w:p>
    <w:p w:rsidR="00C97F68" w:rsidRPr="00C97F68" w:rsidRDefault="00C97F68" w:rsidP="00C97F68">
      <w:pPr>
        <w:numPr>
          <w:ilvl w:val="0"/>
          <w:numId w:val="23"/>
        </w:numPr>
      </w:pPr>
      <w:r w:rsidRPr="00C97F68">
        <w:rPr>
          <w:b/>
          <w:bCs/>
        </w:rPr>
        <w:t>Distension</w:t>
      </w:r>
      <w:r w:rsidRPr="00C97F68">
        <w:t>: Generalized (ascites, hepatosplenomegaly) vs. localized.</w:t>
      </w:r>
    </w:p>
    <w:p w:rsidR="00C97F68" w:rsidRPr="00C97F68" w:rsidRDefault="00C97F68" w:rsidP="00C97F68">
      <w:pPr>
        <w:numPr>
          <w:ilvl w:val="0"/>
          <w:numId w:val="23"/>
        </w:numPr>
      </w:pPr>
      <w:r w:rsidRPr="00C97F68">
        <w:rPr>
          <w:b/>
          <w:bCs/>
        </w:rPr>
        <w:t>Caput medusae</w:t>
      </w:r>
      <w:r w:rsidRPr="00C97F68">
        <w:t>: As described above.</w:t>
      </w:r>
    </w:p>
    <w:p w:rsidR="00C97F68" w:rsidRPr="00C97F68" w:rsidRDefault="00C97F68" w:rsidP="00C97F68">
      <w:pPr>
        <w:numPr>
          <w:ilvl w:val="0"/>
          <w:numId w:val="23"/>
        </w:numPr>
      </w:pPr>
      <w:r w:rsidRPr="00C97F68">
        <w:rPr>
          <w:b/>
          <w:bCs/>
        </w:rPr>
        <w:t>Visible pulsation</w:t>
      </w:r>
      <w:r w:rsidRPr="00C97F68">
        <w:t>: Pulsatile liver → tricuspid regurgitation (cardiac cirrhosis).</w:t>
      </w:r>
    </w:p>
    <w:p w:rsidR="00C97F68" w:rsidRPr="00C97F68" w:rsidRDefault="00C97F68" w:rsidP="00C97F68">
      <w:pPr>
        <w:numPr>
          <w:ilvl w:val="0"/>
          <w:numId w:val="23"/>
        </w:numPr>
      </w:pPr>
      <w:r w:rsidRPr="00C97F68">
        <w:rPr>
          <w:b/>
          <w:bCs/>
        </w:rPr>
        <w:lastRenderedPageBreak/>
        <w:t>Hernia</w:t>
      </w:r>
      <w:r w:rsidRPr="00C97F68">
        <w:t>: Umbilical hernia very common in ascites (increased intra-abdominal pressure) → risk of spontaneous rupture.</w:t>
      </w:r>
    </w:p>
    <w:p w:rsidR="00C97F68" w:rsidRPr="00C97F68" w:rsidRDefault="00C97F68" w:rsidP="00C97F68">
      <w:pPr>
        <w:numPr>
          <w:ilvl w:val="0"/>
          <w:numId w:val="23"/>
        </w:numPr>
      </w:pPr>
      <w:r w:rsidRPr="00C97F68">
        <w:rPr>
          <w:b/>
          <w:bCs/>
        </w:rPr>
        <w:t>Skin</w:t>
      </w:r>
      <w:r w:rsidRPr="00C97F68">
        <w:t>: Striae from rapid abdominal distension.</w:t>
      </w:r>
    </w:p>
    <w:p w:rsidR="00C97F68" w:rsidRPr="00C97F68" w:rsidRDefault="00C97F68" w:rsidP="00C97F68">
      <w:pPr>
        <w:rPr>
          <w:b/>
          <w:bCs/>
        </w:rPr>
      </w:pPr>
      <w:r w:rsidRPr="00C97F68">
        <w:rPr>
          <w:b/>
          <w:bCs/>
        </w:rPr>
        <w:t>B. Auscultation (before palpation)</w:t>
      </w:r>
    </w:p>
    <w:p w:rsidR="00C97F68" w:rsidRPr="00C97F68" w:rsidRDefault="00C97F68" w:rsidP="00C97F68">
      <w:pPr>
        <w:numPr>
          <w:ilvl w:val="0"/>
          <w:numId w:val="24"/>
        </w:numPr>
      </w:pPr>
      <w:r w:rsidRPr="00C97F68">
        <w:rPr>
          <w:b/>
          <w:bCs/>
        </w:rPr>
        <w:t>Venous hum</w:t>
      </w:r>
      <w:r w:rsidRPr="00C97F68">
        <w:t>: Soft, continuous hum at umbilicus/epigastrium → portosystemic shunting via recanalized umbilical vein (Cruveilhier-Baumgarten) </w:t>
      </w:r>
      <w:r w:rsidRPr="00C97F68">
        <w:rPr>
          <w:b/>
          <w:bCs/>
        </w:rPr>
        <w:t>4</w:t>
      </w:r>
      <w:r w:rsidRPr="00C97F68">
        <w:t>.</w:t>
      </w:r>
    </w:p>
    <w:p w:rsidR="00C97F68" w:rsidRPr="00C97F68" w:rsidRDefault="00C97F68" w:rsidP="00C97F68">
      <w:pPr>
        <w:numPr>
          <w:ilvl w:val="0"/>
          <w:numId w:val="24"/>
        </w:numPr>
      </w:pPr>
      <w:r w:rsidRPr="00C97F68">
        <w:rPr>
          <w:b/>
          <w:bCs/>
        </w:rPr>
        <w:t>Arterial bruit over liver</w:t>
      </w:r>
      <w:r w:rsidRPr="00C97F68">
        <w:t>: Systolic bruit → </w:t>
      </w:r>
      <w:r w:rsidRPr="00C97F68">
        <w:rPr>
          <w:b/>
          <w:bCs/>
        </w:rPr>
        <w:t>HCC</w:t>
      </w:r>
      <w:r w:rsidRPr="00C97F68">
        <w:t> (highly vascular tumor) or alcoholic hepatitis (hepatic arterial flow increase). A bruit over the liver in known CLD should prompt urgent HCC imaging </w:t>
      </w:r>
      <w:r w:rsidRPr="00C97F68">
        <w:rPr>
          <w:b/>
          <w:bCs/>
        </w:rPr>
        <w:t>2</w:t>
      </w:r>
      <w:r w:rsidRPr="00C97F68">
        <w:t>.</w:t>
      </w:r>
    </w:p>
    <w:p w:rsidR="00C97F68" w:rsidRPr="00C97F68" w:rsidRDefault="00C97F68" w:rsidP="00C97F68">
      <w:pPr>
        <w:numPr>
          <w:ilvl w:val="0"/>
          <w:numId w:val="24"/>
        </w:numPr>
      </w:pPr>
      <w:r w:rsidRPr="00C97F68">
        <w:rPr>
          <w:b/>
          <w:bCs/>
        </w:rPr>
        <w:t>Rub</w:t>
      </w:r>
      <w:r w:rsidRPr="00C97F68">
        <w:t>: Hepatic friction rub → HCC or recent biopsy site.</w:t>
      </w:r>
    </w:p>
    <w:p w:rsidR="00C97F68" w:rsidRPr="00C97F68" w:rsidRDefault="00C97F68" w:rsidP="00C97F68">
      <w:pPr>
        <w:numPr>
          <w:ilvl w:val="0"/>
          <w:numId w:val="24"/>
        </w:numPr>
      </w:pPr>
      <w:r w:rsidRPr="00C97F68">
        <w:rPr>
          <w:b/>
          <w:bCs/>
        </w:rPr>
        <w:t>Bowel sounds</w:t>
      </w:r>
      <w:r w:rsidRPr="00C97F68">
        <w:t>: Decreased in ascites; hyperactive in GI bleeding.</w:t>
      </w:r>
    </w:p>
    <w:p w:rsidR="00C97F68" w:rsidRPr="00C97F68" w:rsidRDefault="00C97F68" w:rsidP="00C97F68">
      <w:pPr>
        <w:rPr>
          <w:b/>
          <w:bCs/>
        </w:rPr>
      </w:pPr>
      <w:r w:rsidRPr="00C97F68">
        <w:rPr>
          <w:b/>
          <w:bCs/>
        </w:rPr>
        <w:t>C. Palpation</w:t>
      </w:r>
    </w:p>
    <w:p w:rsidR="00C97F68" w:rsidRPr="00C97F68" w:rsidRDefault="00C97F68" w:rsidP="00C97F68">
      <w:r w:rsidRPr="00C97F68">
        <w:rPr>
          <w:b/>
          <w:bCs/>
        </w:rPr>
        <w:t>Liver:</w:t>
      </w:r>
    </w:p>
    <w:p w:rsidR="00C97F68" w:rsidRPr="00C97F68" w:rsidRDefault="00C97F68" w:rsidP="00C97F68">
      <w:pPr>
        <w:numPr>
          <w:ilvl w:val="0"/>
          <w:numId w:val="25"/>
        </w:numPr>
      </w:pPr>
      <w:r w:rsidRPr="00C97F68">
        <w:t>Begin in RLQ, move upward during inspiration.</w:t>
      </w:r>
    </w:p>
    <w:p w:rsidR="00C97F68" w:rsidRPr="00C97F68" w:rsidRDefault="00C97F68" w:rsidP="00C97F68">
      <w:pPr>
        <w:numPr>
          <w:ilvl w:val="0"/>
          <w:numId w:val="25"/>
        </w:numPr>
      </w:pPr>
      <w:r w:rsidRPr="00C97F68">
        <w:t>Assess: size (cm below costal margin in midclavicular line), consistency, edge (sharp vs. rounded/blunted), surface (smooth vs. nodular), tenderness.</w:t>
      </w:r>
    </w:p>
    <w:tbl>
      <w:tblPr>
        <w:tblW w:w="100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9FAF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2"/>
        <w:gridCol w:w="5744"/>
        <w:gridCol w:w="6013"/>
      </w:tblGrid>
      <w:tr w:rsidR="00C97F68" w:rsidRPr="00C97F68" w:rsidTr="00C97F68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pPr>
              <w:rPr>
                <w:b/>
                <w:bCs/>
              </w:rPr>
            </w:pPr>
            <w:r w:rsidRPr="00C97F68">
              <w:rPr>
                <w:b/>
                <w:bCs/>
              </w:rPr>
              <w:t>Liver Finding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pPr>
              <w:rPr>
                <w:b/>
                <w:bCs/>
              </w:rPr>
            </w:pPr>
            <w:r w:rsidRPr="00C97F68">
              <w:rPr>
                <w:b/>
                <w:bCs/>
              </w:rPr>
              <w:t>Significance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pPr>
              <w:rPr>
                <w:b/>
                <w:bCs/>
              </w:rPr>
            </w:pPr>
            <w:r w:rsidRPr="00C97F68">
              <w:rPr>
                <w:b/>
                <w:bCs/>
              </w:rPr>
              <w:t>Pathobiology</w:t>
            </w:r>
          </w:p>
        </w:tc>
      </w:tr>
      <w:tr w:rsidR="00C97F68" w:rsidRPr="00C97F68" w:rsidTr="00C97F6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rPr>
                <w:b/>
                <w:bCs/>
              </w:rPr>
              <w:t>Enlarged, smooth, tender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Steatosis, AH, congestive hepatopathy, acute viral hepatitis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Hepatocyte swelling, inflammation, venous congestion</w:t>
            </w:r>
          </w:p>
        </w:tc>
      </w:tr>
      <w:tr w:rsidR="00C97F68" w:rsidRPr="00C97F68" w:rsidTr="00C97F6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rPr>
                <w:b/>
                <w:bCs/>
              </w:rPr>
              <w:t>Enlarged, firm, irregular nodular surface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Cirrhosis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Fibrous bands + regenerative nodules → nodular contour</w:t>
            </w:r>
          </w:p>
        </w:tc>
      </w:tr>
      <w:tr w:rsidR="00C97F68" w:rsidRPr="00C97F68" w:rsidTr="00C97F6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rPr>
                <w:b/>
                <w:bCs/>
              </w:rPr>
              <w:t>Small, shrunken, firm liver</w:t>
            </w:r>
            <w:r w:rsidRPr="00C97F68">
              <w:t> (not palpable)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Advanced cirrhosis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Progressive fibrosis → hepatic volume loss; right lobe atrophy</w:t>
            </w:r>
          </w:p>
        </w:tc>
      </w:tr>
      <w:tr w:rsidR="00C97F68" w:rsidRPr="00C97F68" w:rsidTr="00C97F6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rPr>
                <w:b/>
                <w:bCs/>
              </w:rPr>
              <w:t>Pulsatile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Tricuspid regurgitation → congestive hepatopathy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Transmitted venous pulsation from right atrium</w:t>
            </w:r>
          </w:p>
        </w:tc>
      </w:tr>
      <w:tr w:rsidR="00C97F68" w:rsidRPr="00C97F68" w:rsidTr="00C97F6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rPr>
                <w:b/>
                <w:bCs/>
              </w:rPr>
              <w:t>Tender hepatomegaly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AH, right heart failure, acute Budd-Chiari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Capsular stretch + inflammation</w:t>
            </w:r>
          </w:p>
        </w:tc>
      </w:tr>
      <w:tr w:rsidR="00C97F68" w:rsidRPr="00C97F68" w:rsidTr="00C97F6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rPr>
                <w:b/>
                <w:bCs/>
              </w:rPr>
              <w:t>Absence of hepatomegaly</w:t>
            </w:r>
            <w:r w:rsidRPr="00C97F68">
              <w:t> (LR 0.37)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Reduces likelihood of cirrhosis if absent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rPr>
                <w:b/>
                <w:bCs/>
              </w:rPr>
              <w:t>7</w:t>
            </w:r>
          </w:p>
        </w:tc>
      </w:tr>
    </w:tbl>
    <w:p w:rsidR="00C97F68" w:rsidRPr="00C97F68" w:rsidRDefault="00C97F68" w:rsidP="00C97F68">
      <w:r w:rsidRPr="00C97F68">
        <w:rPr>
          <w:b/>
          <w:bCs/>
        </w:rPr>
        <w:t>Note</w:t>
      </w:r>
      <w:r w:rsidRPr="00C97F68">
        <w:t>: In advanced cirrhosis, the right lobe shrinks while the </w:t>
      </w:r>
      <w:r w:rsidRPr="00C97F68">
        <w:rPr>
          <w:b/>
          <w:bCs/>
        </w:rPr>
        <w:t>caudate lobe and left lobe hypertrophy</w:t>
      </w:r>
      <w:r w:rsidRPr="00C97F68">
        <w:t> — the liver may not be palpable in the RUQ but may be felt in the epigastrium (enlarged left lobe).</w:t>
      </w:r>
    </w:p>
    <w:p w:rsidR="00C97F68" w:rsidRPr="00C97F68" w:rsidRDefault="00C97F68" w:rsidP="00C97F68">
      <w:r w:rsidRPr="00C97F68">
        <w:rPr>
          <w:b/>
          <w:bCs/>
        </w:rPr>
        <w:t>Spleen:</w:t>
      </w:r>
    </w:p>
    <w:p w:rsidR="00C97F68" w:rsidRPr="00C97F68" w:rsidRDefault="00C97F68" w:rsidP="00C97F68">
      <w:pPr>
        <w:numPr>
          <w:ilvl w:val="0"/>
          <w:numId w:val="26"/>
        </w:numPr>
      </w:pPr>
      <w:r w:rsidRPr="00C97F68">
        <w:t>Begin in RLQ, percuss Traube's space first (tympany = no splenomegaly; dullness = enlarged), then palpate.</w:t>
      </w:r>
    </w:p>
    <w:p w:rsidR="00C97F68" w:rsidRPr="00C97F68" w:rsidRDefault="00C97F68" w:rsidP="00C97F68">
      <w:pPr>
        <w:numPr>
          <w:ilvl w:val="0"/>
          <w:numId w:val="26"/>
        </w:numPr>
      </w:pPr>
      <w:r w:rsidRPr="00C97F68">
        <w:rPr>
          <w:b/>
          <w:bCs/>
        </w:rPr>
        <w:t>Splenomegaly</w:t>
      </w:r>
      <w:r w:rsidRPr="00C97F68">
        <w:t> is among the most reliable clinical signs of portal hypertension </w:t>
      </w:r>
      <w:r w:rsidRPr="00C97F68">
        <w:rPr>
          <w:b/>
          <w:bCs/>
        </w:rPr>
        <w:t>4</w:t>
      </w:r>
      <w:r w:rsidRPr="00C97F68">
        <w:t>.</w:t>
      </w:r>
    </w:p>
    <w:p w:rsidR="00C97F68" w:rsidRPr="00C97F68" w:rsidRDefault="00C97F68" w:rsidP="00C97F68">
      <w:r w:rsidRPr="00C97F68">
        <w:rPr>
          <w:b/>
          <w:bCs/>
        </w:rPr>
        <w:t>Pathobiology</w:t>
      </w:r>
      <w:r w:rsidRPr="00C97F68">
        <w:t>: Portal hypertension → increased splenic venous pressure → splenic congestion and reticuloendothelial hyperplasia → splenomegaly + hypersplenism (thrombocytopenia, leukopenia, anemia from sequestration).</w:t>
      </w:r>
    </w:p>
    <w:p w:rsidR="00C97F68" w:rsidRPr="00C97F68" w:rsidRDefault="00C97F68" w:rsidP="00C97F68">
      <w:pPr>
        <w:numPr>
          <w:ilvl w:val="0"/>
          <w:numId w:val="26"/>
        </w:numPr>
      </w:pPr>
      <w:r w:rsidRPr="00C97F68">
        <w:rPr>
          <w:b/>
          <w:bCs/>
        </w:rPr>
        <w:t>"If the spleen is not enlarged, the diagnosis [of portal hypertension] warrants scrutiny"</w:t>
      </w:r>
      <w:r w:rsidRPr="00C97F68">
        <w:t> </w:t>
      </w:r>
      <w:r w:rsidRPr="00C97F68">
        <w:rPr>
          <w:b/>
          <w:bCs/>
        </w:rPr>
        <w:t>4</w:t>
      </w:r>
      <w:r w:rsidRPr="00C97F68">
        <w:t>.</w:t>
      </w:r>
    </w:p>
    <w:p w:rsidR="00C97F68" w:rsidRPr="00C97F68" w:rsidRDefault="00C97F68" w:rsidP="00C97F68">
      <w:r w:rsidRPr="00C97F68">
        <w:rPr>
          <w:b/>
          <w:bCs/>
        </w:rPr>
        <w:t>Murphy's sign / tenderness</w:t>
      </w:r>
      <w:r w:rsidRPr="00C97F68">
        <w:t>: RUQ tenderness with hepatomegaly → AH (tender hepatomegaly); positive Murphy's sign → gallbladder disease (common in CLD, especially PBC/PSC).</w:t>
      </w:r>
    </w:p>
    <w:p w:rsidR="00C97F68" w:rsidRPr="00C97F68" w:rsidRDefault="00C97F68" w:rsidP="00C97F68">
      <w:r w:rsidRPr="00C97F68">
        <w:rPr>
          <w:b/>
          <w:bCs/>
        </w:rPr>
        <w:t>Masses</w:t>
      </w:r>
      <w:r w:rsidRPr="00C97F68">
        <w:t>: Firm irregular mass in RUQ or epigastrium in known cirrhosis → </w:t>
      </w:r>
      <w:r w:rsidRPr="00C97F68">
        <w:rPr>
          <w:b/>
          <w:bCs/>
        </w:rPr>
        <w:t>HCC until proven otherwise</w:t>
      </w:r>
      <w:r w:rsidRPr="00C97F68">
        <w:t> </w:t>
      </w:r>
      <w:r w:rsidRPr="00C97F68">
        <w:rPr>
          <w:b/>
          <w:bCs/>
        </w:rPr>
        <w:t>11</w:t>
      </w:r>
      <w:r w:rsidRPr="00C97F68">
        <w:t>.</w:t>
      </w:r>
    </w:p>
    <w:p w:rsidR="00C97F68" w:rsidRPr="00C97F68" w:rsidRDefault="00C97F68" w:rsidP="00C97F68">
      <w:pPr>
        <w:rPr>
          <w:b/>
          <w:bCs/>
        </w:rPr>
      </w:pPr>
      <w:r w:rsidRPr="00C97F68">
        <w:rPr>
          <w:b/>
          <w:bCs/>
        </w:rPr>
        <w:t>D. Percussion</w:t>
      </w:r>
    </w:p>
    <w:p w:rsidR="00C97F68" w:rsidRPr="00C97F68" w:rsidRDefault="00C97F68" w:rsidP="00C97F68">
      <w:pPr>
        <w:numPr>
          <w:ilvl w:val="0"/>
          <w:numId w:val="27"/>
        </w:numPr>
      </w:pPr>
      <w:r w:rsidRPr="00C97F68">
        <w:rPr>
          <w:b/>
          <w:bCs/>
        </w:rPr>
        <w:t>Liver span</w:t>
      </w:r>
      <w:r w:rsidRPr="00C97F68">
        <w:t>: Percuss upper border (liver dullness, upper midclavicular line) and lower border; normal 6–12 cm.</w:t>
      </w:r>
    </w:p>
    <w:p w:rsidR="00C97F68" w:rsidRPr="00C97F68" w:rsidRDefault="00C97F68" w:rsidP="00C97F68">
      <w:pPr>
        <w:numPr>
          <w:ilvl w:val="0"/>
          <w:numId w:val="27"/>
        </w:numPr>
      </w:pPr>
      <w:r w:rsidRPr="00C97F68">
        <w:rPr>
          <w:b/>
          <w:bCs/>
        </w:rPr>
        <w:t>Shifting dullness</w:t>
      </w:r>
      <w:r w:rsidRPr="00C97F68">
        <w:t> for ascites:</w:t>
      </w:r>
    </w:p>
    <w:p w:rsidR="00C97F68" w:rsidRPr="00C97F68" w:rsidRDefault="00C97F68" w:rsidP="00C97F68">
      <w:pPr>
        <w:numPr>
          <w:ilvl w:val="1"/>
          <w:numId w:val="27"/>
        </w:numPr>
      </w:pPr>
      <w:r w:rsidRPr="00C97F68">
        <w:t>Percuss from umbilicus toward flank until dull.</w:t>
      </w:r>
    </w:p>
    <w:p w:rsidR="00C97F68" w:rsidRPr="00C97F68" w:rsidRDefault="00C97F68" w:rsidP="00C97F68">
      <w:pPr>
        <w:numPr>
          <w:ilvl w:val="1"/>
          <w:numId w:val="27"/>
        </w:numPr>
      </w:pPr>
      <w:r w:rsidRPr="00C97F68">
        <w:t>Mark the point and ask patient to roll to opposite side.</w:t>
      </w:r>
    </w:p>
    <w:p w:rsidR="00C97F68" w:rsidRPr="00C97F68" w:rsidRDefault="00C97F68" w:rsidP="00C97F68">
      <w:pPr>
        <w:numPr>
          <w:ilvl w:val="1"/>
          <w:numId w:val="27"/>
        </w:numPr>
      </w:pPr>
      <w:r w:rsidRPr="00C97F68">
        <w:lastRenderedPageBreak/>
        <w:t>If dullness shifts → </w:t>
      </w:r>
      <w:r w:rsidRPr="00C97F68">
        <w:rPr>
          <w:b/>
          <w:bCs/>
        </w:rPr>
        <w:t>shifting dullness</w:t>
      </w:r>
      <w:r w:rsidRPr="00C97F68">
        <w:t> (sensitivity ~83%, specificity ~56% for ascites) </w:t>
      </w:r>
      <w:r w:rsidRPr="00C97F68">
        <w:rPr>
          <w:b/>
          <w:bCs/>
        </w:rPr>
        <w:t>10</w:t>
      </w:r>
      <w:r w:rsidRPr="00C97F68">
        <w:t>.</w:t>
      </w:r>
    </w:p>
    <w:p w:rsidR="00C97F68" w:rsidRPr="00C97F68" w:rsidRDefault="00C97F68" w:rsidP="00C97F68">
      <w:pPr>
        <w:numPr>
          <w:ilvl w:val="1"/>
          <w:numId w:val="28"/>
        </w:numPr>
      </w:pPr>
      <w:r w:rsidRPr="00C97F68">
        <w:t>Requires ≥1,500 mL to detect clinically; ultrasound detects ≥100 mL.</w:t>
      </w:r>
    </w:p>
    <w:p w:rsidR="00C97F68" w:rsidRPr="00C97F68" w:rsidRDefault="00C97F68" w:rsidP="00C97F68">
      <w:r w:rsidRPr="00C97F68">
        <w:rPr>
          <w:b/>
          <w:bCs/>
        </w:rPr>
        <w:t>Pathobiology</w:t>
      </w:r>
      <w:r w:rsidRPr="00C97F68">
        <w:t>: Ascites forms from portal hypertension → splanchnic vasodilation → reduced effective arterial blood volume → RAAS + ADH activation → renal sodium and water retention </w:t>
      </w:r>
      <w:r w:rsidRPr="00C97F68">
        <w:rPr>
          <w:b/>
          <w:bCs/>
        </w:rPr>
        <w:t>10</w:t>
      </w:r>
      <w:r w:rsidRPr="00C97F68">
        <w:t>.</w:t>
      </w:r>
    </w:p>
    <w:p w:rsidR="00C97F68" w:rsidRPr="00C97F68" w:rsidRDefault="00C97F68" w:rsidP="00C97F68">
      <w:pPr>
        <w:numPr>
          <w:ilvl w:val="0"/>
          <w:numId w:val="27"/>
        </w:numPr>
      </w:pPr>
      <w:r w:rsidRPr="00C97F68">
        <w:rPr>
          <w:b/>
          <w:bCs/>
        </w:rPr>
        <w:t>Fluid wave</w:t>
      </w:r>
      <w:r w:rsidRPr="00C97F68">
        <w:t>: Ask assistant to press firmly along midline (dampens fat transmission); tap one flank and feel for impulse on contralateral hand → positive in large-volume ascites (&gt;3–4L).</w:t>
      </w:r>
    </w:p>
    <w:p w:rsidR="00C97F68" w:rsidRPr="00C97F68" w:rsidRDefault="00C97F68" w:rsidP="00C97F68">
      <w:pPr>
        <w:numPr>
          <w:ilvl w:val="0"/>
          <w:numId w:val="27"/>
        </w:numPr>
      </w:pPr>
      <w:r w:rsidRPr="00C97F68">
        <w:rPr>
          <w:b/>
          <w:bCs/>
        </w:rPr>
        <w:t>Traube's space</w:t>
      </w:r>
      <w:r w:rsidRPr="00C97F68">
        <w:t>: Triangular area (left 6th rib → left MCL → left costal margin); normally tympanic; dullness → splenomegaly or left-sided pleural effusion.</w:t>
      </w:r>
    </w:p>
    <w:p w:rsidR="00C97F68" w:rsidRPr="00C97F68" w:rsidRDefault="00C97F68" w:rsidP="00C97F68">
      <w:pPr>
        <w:rPr>
          <w:b/>
          <w:bCs/>
        </w:rPr>
      </w:pPr>
      <w:r w:rsidRPr="00C97F68">
        <w:rPr>
          <w:b/>
          <w:bCs/>
        </w:rPr>
        <w:t>E. Special Signs</w:t>
      </w:r>
    </w:p>
    <w:p w:rsidR="00C97F68" w:rsidRPr="00C97F68" w:rsidRDefault="00C97F68" w:rsidP="00C97F68">
      <w:pPr>
        <w:numPr>
          <w:ilvl w:val="0"/>
          <w:numId w:val="29"/>
        </w:numPr>
      </w:pPr>
      <w:r w:rsidRPr="00C97F68">
        <w:rPr>
          <w:b/>
          <w:bCs/>
        </w:rPr>
        <w:t>Umbilical hernia</w:t>
      </w:r>
      <w:r w:rsidRPr="00C97F68">
        <w:t>: Common with tense ascites; can incarcerate or spontaneously rupture (Cullen's equivalent) → surgical emergency.</w:t>
      </w:r>
    </w:p>
    <w:p w:rsidR="00C97F68" w:rsidRPr="00C97F68" w:rsidRDefault="00C97F68" w:rsidP="00C97F68">
      <w:pPr>
        <w:numPr>
          <w:ilvl w:val="0"/>
          <w:numId w:val="29"/>
        </w:numPr>
      </w:pPr>
      <w:r w:rsidRPr="00C97F68">
        <w:rPr>
          <w:b/>
          <w:bCs/>
        </w:rPr>
        <w:t>Venous collaterals</w:t>
      </w:r>
      <w:r w:rsidRPr="00C97F68">
        <w:t>: Document direction of flow (use two fingers, occlude vein, release one end, observe flow direction).</w:t>
      </w:r>
    </w:p>
    <w:p w:rsidR="00C97F68" w:rsidRPr="00C97F68" w:rsidRDefault="00C97F68" w:rsidP="00C97F68">
      <w:pPr>
        <w:numPr>
          <w:ilvl w:val="0"/>
          <w:numId w:val="29"/>
        </w:numPr>
      </w:pPr>
      <w:r w:rsidRPr="00C97F68">
        <w:rPr>
          <w:b/>
          <w:bCs/>
        </w:rPr>
        <w:t>Abdominal wall edema</w:t>
      </w:r>
      <w:r w:rsidRPr="00C97F68">
        <w:t>: Often accompanies tense ascites and hypoalbuminemia.</w:t>
      </w:r>
    </w:p>
    <w:p w:rsidR="00C97F68" w:rsidRPr="00C97F68" w:rsidRDefault="00652F96" w:rsidP="00C97F68">
      <w:r>
        <w:rPr>
          <w:noProof/>
        </w:rPr>
        <w:pict>
          <v:rect id="_x0000_i1029" alt="" style="width:451.3pt;height:.05pt;mso-width-percent:0;mso-height-percent:0;mso-width-percent:0;mso-height-percent:0" o:hrstd="t" o:hrnoshade="t" o:hr="t" fillcolor="#374151" stroked="f"/>
        </w:pict>
      </w:r>
    </w:p>
    <w:p w:rsidR="00C97F68" w:rsidRPr="00C97F68" w:rsidRDefault="00C97F68" w:rsidP="00C97F68">
      <w:pPr>
        <w:rPr>
          <w:b/>
          <w:bCs/>
        </w:rPr>
      </w:pPr>
      <w:r w:rsidRPr="00C97F68">
        <w:rPr>
          <w:b/>
          <w:bCs/>
        </w:rPr>
        <w:t>9. Genitourinary Examination</w:t>
      </w:r>
    </w:p>
    <w:p w:rsidR="00C97F68" w:rsidRPr="00C97F68" w:rsidRDefault="00C97F68" w:rsidP="00C97F68">
      <w:pPr>
        <w:numPr>
          <w:ilvl w:val="0"/>
          <w:numId w:val="30"/>
        </w:numPr>
      </w:pPr>
      <w:r w:rsidRPr="00C97F68">
        <w:rPr>
          <w:b/>
          <w:bCs/>
        </w:rPr>
        <w:t>Testicular atrophy</w:t>
      </w:r>
      <w:r w:rsidRPr="00C97F68">
        <w:t>: In men; bilateral; soft/small testes </w:t>
      </w:r>
      <w:r w:rsidRPr="00C97F68">
        <w:rPr>
          <w:b/>
          <w:bCs/>
        </w:rPr>
        <w:t>6</w:t>
      </w:r>
      <w:r w:rsidRPr="00C97F68">
        <w:t>.</w:t>
      </w:r>
    </w:p>
    <w:p w:rsidR="00C97F68" w:rsidRPr="00C97F68" w:rsidRDefault="00C97F68" w:rsidP="00C97F68">
      <w:r w:rsidRPr="00C97F68">
        <w:rPr>
          <w:b/>
          <w:bCs/>
        </w:rPr>
        <w:t>Pathobiology</w:t>
      </w:r>
      <w:r w:rsidRPr="00C97F68">
        <w:t>: Hyperestrogenism + direct alcohol toxicity to Leydig cells + hypothalamic-pituitary suppression → hypogonadism. Also seen in hemochromatosis (pituitary iron deposition).</w:t>
      </w:r>
    </w:p>
    <w:p w:rsidR="00C97F68" w:rsidRPr="00C97F68" w:rsidRDefault="00C97F68" w:rsidP="00C97F68">
      <w:pPr>
        <w:numPr>
          <w:ilvl w:val="0"/>
          <w:numId w:val="30"/>
        </w:numPr>
      </w:pPr>
      <w:r w:rsidRPr="00C97F68">
        <w:rPr>
          <w:b/>
          <w:bCs/>
        </w:rPr>
        <w:t>Loss of secondary sexual characteristics</w:t>
      </w:r>
      <w:r w:rsidRPr="00C97F68">
        <w:t>: Sparse pubic/axillary hair, reduced beard growth → hyperestrogenism/hypogonadism.</w:t>
      </w:r>
    </w:p>
    <w:p w:rsidR="00C97F68" w:rsidRPr="00C97F68" w:rsidRDefault="00C97F68" w:rsidP="00C97F68">
      <w:pPr>
        <w:numPr>
          <w:ilvl w:val="0"/>
          <w:numId w:val="30"/>
        </w:numPr>
      </w:pPr>
      <w:r w:rsidRPr="00C97F68">
        <w:rPr>
          <w:b/>
          <w:bCs/>
        </w:rPr>
        <w:t>Peripheral edema</w:t>
      </w:r>
      <w:r w:rsidRPr="00C97F68">
        <w:t>: Bilateral pitting edema of lower extremities.</w:t>
      </w:r>
    </w:p>
    <w:p w:rsidR="00C97F68" w:rsidRPr="00C97F68" w:rsidRDefault="00C97F68" w:rsidP="00C97F68">
      <w:r w:rsidRPr="00C97F68">
        <w:rPr>
          <w:b/>
          <w:bCs/>
        </w:rPr>
        <w:t>Pathobiology</w:t>
      </w:r>
      <w:r w:rsidRPr="00C97F68">
        <w:t>: Hypoalbuminemia → reduced oncotic pressure + sodium retention (RAAS) → interstitial fluid accumulation; also lymphatic obstruction in portal hypertension.</w:t>
      </w:r>
    </w:p>
    <w:p w:rsidR="00C97F68" w:rsidRPr="00C97F68" w:rsidRDefault="00652F96" w:rsidP="00C97F68">
      <w:r>
        <w:rPr>
          <w:noProof/>
        </w:rPr>
        <w:pict>
          <v:rect id="_x0000_i1028" alt="" style="width:451.3pt;height:.05pt;mso-width-percent:0;mso-height-percent:0;mso-width-percent:0;mso-height-percent:0" o:hrstd="t" o:hrnoshade="t" o:hr="t" fillcolor="#374151" stroked="f"/>
        </w:pict>
      </w:r>
    </w:p>
    <w:p w:rsidR="00C97F68" w:rsidRPr="00C97F68" w:rsidRDefault="00C97F68" w:rsidP="00C97F68">
      <w:pPr>
        <w:rPr>
          <w:b/>
          <w:bCs/>
        </w:rPr>
      </w:pPr>
      <w:r w:rsidRPr="00C97F68">
        <w:rPr>
          <w:b/>
          <w:bCs/>
        </w:rPr>
        <w:t>10. Musculoskeletal Examination</w:t>
      </w:r>
    </w:p>
    <w:p w:rsidR="00C97F68" w:rsidRPr="00C97F68" w:rsidRDefault="00C97F68" w:rsidP="00C97F68">
      <w:pPr>
        <w:numPr>
          <w:ilvl w:val="0"/>
          <w:numId w:val="31"/>
        </w:numPr>
      </w:pPr>
      <w:r w:rsidRPr="00C97F68">
        <w:rPr>
          <w:b/>
          <w:bCs/>
        </w:rPr>
        <w:t>Muscle bulk</w:t>
      </w:r>
      <w:r w:rsidRPr="00C97F68">
        <w:t>: Measure mid-arm circumference; assess temporal, thenar, interosseous, and quadriceps bulk.</w:t>
      </w:r>
    </w:p>
    <w:p w:rsidR="00C97F68" w:rsidRPr="00C97F68" w:rsidRDefault="00C97F68" w:rsidP="00C97F68">
      <w:pPr>
        <w:numPr>
          <w:ilvl w:val="0"/>
          <w:numId w:val="31"/>
        </w:numPr>
      </w:pPr>
      <w:r w:rsidRPr="00C97F68">
        <w:rPr>
          <w:b/>
          <w:bCs/>
        </w:rPr>
        <w:t>Handgrip strength</w:t>
      </w:r>
      <w:r w:rsidRPr="00C97F68">
        <w:t>: Reduced grip strength (measured by dynamometry or clinical squeeze) is an independent predictor of mortality in cirrhosis </w:t>
      </w:r>
      <w:r w:rsidRPr="00C97F68">
        <w:rPr>
          <w:b/>
          <w:bCs/>
        </w:rPr>
        <w:t>3</w:t>
      </w:r>
      <w:r w:rsidRPr="00C97F68">
        <w:t>.</w:t>
      </w:r>
    </w:p>
    <w:p w:rsidR="00C97F68" w:rsidRPr="00C97F68" w:rsidRDefault="00C97F68" w:rsidP="00C97F68">
      <w:r w:rsidRPr="00C97F68">
        <w:rPr>
          <w:b/>
          <w:bCs/>
        </w:rPr>
        <w:t>Pathobiology</w:t>
      </w:r>
      <w:r w:rsidRPr="00C97F68">
        <w:t>: Sarcopenia in CLD results from hyperammonemia-driven muscle protein catabolism (ammonia → glutamine synthesis in muscle → depletion of α-ketoglutarate → reduced ATP) + reduced hepatic IGF-1 production + physical inactivity.</w:t>
      </w:r>
    </w:p>
    <w:p w:rsidR="00C97F68" w:rsidRPr="00C97F68" w:rsidRDefault="00C97F68" w:rsidP="00C97F68">
      <w:pPr>
        <w:numPr>
          <w:ilvl w:val="0"/>
          <w:numId w:val="31"/>
        </w:numPr>
      </w:pPr>
      <w:r w:rsidRPr="00C97F68">
        <w:rPr>
          <w:b/>
          <w:bCs/>
        </w:rPr>
        <w:t>Dupuytren's contracture</w:t>
      </w:r>
      <w:r w:rsidRPr="00C97F68">
        <w:t>: Fixed flexion deformity of 4th/5th digits → ALD.</w:t>
      </w:r>
    </w:p>
    <w:p w:rsidR="00C97F68" w:rsidRPr="00C97F68" w:rsidRDefault="00C97F68" w:rsidP="00C97F68">
      <w:pPr>
        <w:numPr>
          <w:ilvl w:val="0"/>
          <w:numId w:val="31"/>
        </w:numPr>
      </w:pPr>
      <w:r w:rsidRPr="00C97F68">
        <w:rPr>
          <w:b/>
          <w:bCs/>
        </w:rPr>
        <w:t>Arthropathy</w:t>
      </w:r>
      <w:r w:rsidRPr="00C97F68">
        <w:t>: MCP joint swelling → hemochromatosis ("iron fist"); arthralgia with urticarial rash → HCV cryoglobulinemia.</w:t>
      </w:r>
    </w:p>
    <w:p w:rsidR="00C97F68" w:rsidRPr="00C97F68" w:rsidRDefault="00C97F68" w:rsidP="00C97F68">
      <w:pPr>
        <w:numPr>
          <w:ilvl w:val="0"/>
          <w:numId w:val="31"/>
        </w:numPr>
      </w:pPr>
      <w:r w:rsidRPr="00C97F68">
        <w:rPr>
          <w:b/>
          <w:bCs/>
        </w:rPr>
        <w:t>Bone tenderness</w:t>
      </w:r>
      <w:r w:rsidRPr="00C97F68">
        <w:t>: Vertebral tenderness → osteoporosis (malabsorption of vitamin D, calcium in cholestatic CLD; hypogonadism).</w:t>
      </w:r>
    </w:p>
    <w:p w:rsidR="00C97F68" w:rsidRPr="00C97F68" w:rsidRDefault="00652F96" w:rsidP="00C97F68">
      <w:r>
        <w:rPr>
          <w:noProof/>
        </w:rPr>
        <w:pict>
          <v:rect id="_x0000_i1027" alt="" style="width:451.3pt;height:.05pt;mso-width-percent:0;mso-height-percent:0;mso-width-percent:0;mso-height-percent:0" o:hrstd="t" o:hrnoshade="t" o:hr="t" fillcolor="#374151" stroked="f"/>
        </w:pict>
      </w:r>
    </w:p>
    <w:p w:rsidR="00C97F68" w:rsidRPr="00C97F68" w:rsidRDefault="00C97F68" w:rsidP="00C97F68">
      <w:pPr>
        <w:rPr>
          <w:b/>
          <w:bCs/>
        </w:rPr>
      </w:pPr>
      <w:r w:rsidRPr="00C97F68">
        <w:rPr>
          <w:b/>
          <w:bCs/>
        </w:rPr>
        <w:t>11. Lymphatic Examination</w:t>
      </w:r>
    </w:p>
    <w:p w:rsidR="00C97F68" w:rsidRPr="00C97F68" w:rsidRDefault="00C97F68" w:rsidP="00C97F68">
      <w:pPr>
        <w:numPr>
          <w:ilvl w:val="0"/>
          <w:numId w:val="32"/>
        </w:numPr>
      </w:pPr>
      <w:r w:rsidRPr="00C97F68">
        <w:rPr>
          <w:b/>
          <w:bCs/>
        </w:rPr>
        <w:t>Supraclavicular (Virchow's) node</w:t>
      </w:r>
      <w:r w:rsidRPr="00C97F68">
        <w:t>: Left-sided enlarged node → upper GI/hepatic malignancy.</w:t>
      </w:r>
    </w:p>
    <w:p w:rsidR="00C97F68" w:rsidRPr="00C97F68" w:rsidRDefault="00C97F68" w:rsidP="00C97F68">
      <w:pPr>
        <w:numPr>
          <w:ilvl w:val="0"/>
          <w:numId w:val="32"/>
        </w:numPr>
      </w:pPr>
      <w:r w:rsidRPr="00C97F68">
        <w:rPr>
          <w:b/>
          <w:bCs/>
        </w:rPr>
        <w:lastRenderedPageBreak/>
        <w:t>Generalized lymphadenopathy</w:t>
      </w:r>
      <w:r w:rsidRPr="00C97F68">
        <w:t>: Lymphoma with hepatic infiltration; HIV with liver involvement.</w:t>
      </w:r>
    </w:p>
    <w:p w:rsidR="00C97F68" w:rsidRPr="00C97F68" w:rsidRDefault="00652F96" w:rsidP="00C97F68">
      <w:r>
        <w:rPr>
          <w:noProof/>
        </w:rPr>
        <w:pict>
          <v:rect id="_x0000_i1026" alt="" style="width:451.3pt;height:.05pt;mso-width-percent:0;mso-height-percent:0;mso-width-percent:0;mso-height-percent:0" o:hrstd="t" o:hrnoshade="t" o:hr="t" fillcolor="#374151" stroked="f"/>
        </w:pict>
      </w:r>
    </w:p>
    <w:p w:rsidR="00C97F68" w:rsidRPr="00C97F68" w:rsidRDefault="00C97F68" w:rsidP="00C97F68">
      <w:pPr>
        <w:rPr>
          <w:b/>
          <w:bCs/>
        </w:rPr>
      </w:pPr>
      <w:r w:rsidRPr="00C97F68">
        <w:rPr>
          <w:b/>
          <w:bCs/>
        </w:rPr>
        <w:t>12. Focused Examination by Suspected Etiology</w:t>
      </w:r>
    </w:p>
    <w:tbl>
      <w:tblPr>
        <w:tblW w:w="100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9FAF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14349"/>
      </w:tblGrid>
      <w:tr w:rsidR="00C97F68" w:rsidRPr="00C97F68" w:rsidTr="00C97F68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pPr>
              <w:rPr>
                <w:b/>
                <w:bCs/>
              </w:rPr>
            </w:pPr>
            <w:r w:rsidRPr="00C97F68">
              <w:rPr>
                <w:b/>
                <w:bCs/>
              </w:rPr>
              <w:t>Etiology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pPr>
              <w:rPr>
                <w:b/>
                <w:bCs/>
              </w:rPr>
            </w:pPr>
            <w:r w:rsidRPr="00C97F68">
              <w:rPr>
                <w:b/>
                <w:bCs/>
              </w:rPr>
              <w:t>Specific Examination Targets</w:t>
            </w:r>
          </w:p>
        </w:tc>
      </w:tr>
      <w:tr w:rsidR="00C97F68" w:rsidRPr="00C97F68" w:rsidTr="00C97F6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rPr>
                <w:b/>
                <w:bCs/>
              </w:rPr>
              <w:t>ALD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Parotid enlargement, Dupuytren's, rhinophyma, peripheral neuropathy, Wernicke's triad (ophthalmoplegia/ataxia/confusion), tremor of withdrawal</w:t>
            </w:r>
          </w:p>
        </w:tc>
      </w:tr>
      <w:tr w:rsidR="00C97F68" w:rsidRPr="00C97F68" w:rsidTr="00C97F6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rPr>
                <w:b/>
                <w:bCs/>
              </w:rPr>
              <w:t>MASLD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Obesity, acanthosis nigricans (insulin resistance), BMI/waist circumference</w:t>
            </w:r>
          </w:p>
        </w:tc>
      </w:tr>
      <w:tr w:rsidR="00C97F68" w:rsidRPr="00C97F68" w:rsidTr="00C97F6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rPr>
                <w:b/>
                <w:bCs/>
              </w:rPr>
              <w:t>Hemochromatosis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Bronze/gray skin pigmentation, arthropathy (MCP joints), hepatomegaly, testicular atrophy, signs of diabetes, cardiomegaly</w:t>
            </w:r>
          </w:p>
        </w:tc>
      </w:tr>
      <w:tr w:rsidR="00C97F68" w:rsidRPr="00C97F68" w:rsidTr="00C97F6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rPr>
                <w:b/>
                <w:bCs/>
              </w:rPr>
              <w:t>Wilson's disease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KF rings (slit lamp), tremor, dysarthria, dystonia, psychiatric signs, Coombs-negative hemolytic anemia (scleral icterus without urobilinogen pattern) </w:t>
            </w:r>
            <w:r w:rsidRPr="00C97F68">
              <w:rPr>
                <w:b/>
                <w:bCs/>
              </w:rPr>
              <w:t>9</w:t>
            </w:r>
          </w:p>
        </w:tc>
      </w:tr>
      <w:tr w:rsidR="00C97F68" w:rsidRPr="00C97F68" w:rsidTr="00C97F6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rPr>
                <w:b/>
                <w:bCs/>
              </w:rPr>
              <w:t>PBC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Excoriation marks, xanthelasma, pigmentation, signs of Sjögren's (dry eyes/mouth), thyroid enlargement</w:t>
            </w:r>
          </w:p>
        </w:tc>
      </w:tr>
      <w:tr w:rsidR="00C97F68" w:rsidRPr="00C97F68" w:rsidTr="00C97F6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rPr>
                <w:b/>
                <w:bCs/>
              </w:rPr>
              <w:t>PSC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Features of IBD (perianal disease, stomas, surgical scars); cholestatic jaundice </w:t>
            </w:r>
            <w:r w:rsidRPr="00C97F68">
              <w:rPr>
                <w:b/>
                <w:bCs/>
              </w:rPr>
              <w:t>12</w:t>
            </w:r>
          </w:p>
        </w:tc>
      </w:tr>
      <w:tr w:rsidR="00C97F68" w:rsidRPr="00C97F68" w:rsidTr="00C97F6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rPr>
                <w:b/>
                <w:bCs/>
              </w:rPr>
              <w:t>Cardiac cirrhosis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JVD, pulsatile liver, peripheral edema, S3, pericardial rub, Kussmaul's sign</w:t>
            </w:r>
          </w:p>
        </w:tc>
      </w:tr>
      <w:tr w:rsidR="00C97F68" w:rsidRPr="00C97F68" w:rsidTr="00C97F6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rPr>
                <w:b/>
                <w:bCs/>
              </w:rPr>
              <w:t>HCC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Palpable liver mass, friction rub, arterial bruit, rapid change in known cirrhotic</w:t>
            </w:r>
          </w:p>
        </w:tc>
      </w:tr>
    </w:tbl>
    <w:p w:rsidR="00C97F68" w:rsidRPr="00C97F68" w:rsidRDefault="00652F96" w:rsidP="00C97F68">
      <w:r>
        <w:rPr>
          <w:noProof/>
        </w:rPr>
        <w:pict>
          <v:rect id="_x0000_i1025" alt="" style="width:451.3pt;height:.05pt;mso-width-percent:0;mso-height-percent:0;mso-width-percent:0;mso-height-percent:0" o:hrstd="t" o:hrnoshade="t" o:hr="t" fillcolor="#374151" stroked="f"/>
        </w:pict>
      </w:r>
    </w:p>
    <w:p w:rsidR="00C97F68" w:rsidRPr="00C97F68" w:rsidRDefault="00C97F68" w:rsidP="00C97F68">
      <w:pPr>
        <w:rPr>
          <w:b/>
          <w:bCs/>
        </w:rPr>
      </w:pPr>
      <w:r w:rsidRPr="00C97F68">
        <w:rPr>
          <w:b/>
          <w:bCs/>
        </w:rPr>
        <w:t>13. Integrating Findings: Compensated vs. Decompensated</w:t>
      </w:r>
    </w:p>
    <w:p w:rsidR="00C97F68" w:rsidRPr="00C97F68" w:rsidRDefault="00C97F68" w:rsidP="00C97F68">
      <w:r w:rsidRPr="00C97F68">
        <w:t>Clinical Guideline</w:t>
      </w:r>
    </w:p>
    <w:p w:rsidR="00C97F68" w:rsidRPr="00C97F68" w:rsidRDefault="00C97F68" w:rsidP="00C97F68">
      <w:r w:rsidRPr="00C97F68">
        <w:t>AASLD, ACG, and Baveno/EASL guidelines recommend that physical examination in CLD systematically assess for: stigmata of hepatocellular dysfunction (spider angiomata, palmar erythema, leukonychia, gynecomastia, jaundice, muscle wasting), signs of portal hypertension (splenomegaly, ascites, caput medusae, shifting dullness), and decompensation events (ascites, hepatic encephalopathy/asterixis, variceal bleeding signs, jaundice) — with these findings directly informing Child-Pugh and MELD-Na scoring and determining the need for further invasive evaluation. </w:t>
      </w:r>
      <w:r w:rsidRPr="00C97F68">
        <w:rPr>
          <w:b/>
          <w:bCs/>
        </w:rPr>
        <w:t>10</w:t>
      </w:r>
      <w:r w:rsidRPr="00C97F68">
        <w:t> </w:t>
      </w:r>
      <w:r w:rsidRPr="00C97F68">
        <w:rPr>
          <w:b/>
          <w:bCs/>
        </w:rPr>
        <w:t>8</w:t>
      </w:r>
      <w:r w:rsidRPr="00C97F68">
        <w:t> </w:t>
      </w:r>
      <w:r w:rsidRPr="00C97F68">
        <w:rPr>
          <w:b/>
          <w:bCs/>
        </w:rPr>
        <w:t>13</w:t>
      </w:r>
    </w:p>
    <w:tbl>
      <w:tblPr>
        <w:tblW w:w="100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9FAF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8"/>
        <w:gridCol w:w="7532"/>
        <w:gridCol w:w="1640"/>
      </w:tblGrid>
      <w:tr w:rsidR="00C97F68" w:rsidRPr="00C97F68" w:rsidTr="00C97F68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pPr>
              <w:rPr>
                <w:b/>
                <w:bCs/>
              </w:rPr>
            </w:pPr>
            <w:r w:rsidRPr="00C97F68">
              <w:rPr>
                <w:b/>
                <w:bCs/>
              </w:rPr>
              <w:t>Stage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pPr>
              <w:rPr>
                <w:b/>
                <w:bCs/>
              </w:rPr>
            </w:pPr>
            <w:r w:rsidRPr="00C97F68">
              <w:rPr>
                <w:b/>
                <w:bCs/>
              </w:rPr>
              <w:t>Defining Physical Findings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pPr>
              <w:rPr>
                <w:b/>
                <w:bCs/>
              </w:rPr>
            </w:pPr>
            <w:r w:rsidRPr="00C97F68">
              <w:rPr>
                <w:b/>
                <w:bCs/>
              </w:rPr>
              <w:t>Median Survival</w:t>
            </w:r>
          </w:p>
        </w:tc>
      </w:tr>
      <w:tr w:rsidR="00C97F68" w:rsidRPr="00C97F68" w:rsidTr="00C97F6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rPr>
                <w:b/>
                <w:bCs/>
              </w:rPr>
              <w:t>Compensated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Stigmata may be present; no ascites, no HE, no variceal bleeding, no jaundice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&gt;12 years </w:t>
            </w:r>
            <w:r w:rsidRPr="00C97F68">
              <w:rPr>
                <w:b/>
                <w:bCs/>
              </w:rPr>
              <w:t>5</w:t>
            </w:r>
          </w:p>
        </w:tc>
      </w:tr>
      <w:tr w:rsidR="00C97F68" w:rsidRPr="00C97F68" w:rsidTr="00C97F6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rPr>
                <w:b/>
                <w:bCs/>
              </w:rPr>
              <w:t>Decompensated (first event)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Ascites OR variceal bleeding OR hepatic encephalopathy OR jaundice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bottom"/>
            <w:hideMark/>
          </w:tcPr>
          <w:p w:rsidR="00C97F68" w:rsidRPr="00C97F68" w:rsidRDefault="00C97F68" w:rsidP="00C97F68">
            <w:r w:rsidRPr="00C97F68">
              <w:t>~2</w:t>
            </w:r>
          </w:p>
        </w:tc>
      </w:tr>
    </w:tbl>
    <w:p w:rsidR="00AD6A0B" w:rsidRDefault="00AD6A0B"/>
    <w:p w:rsidR="00AD6A0B" w:rsidRDefault="00AD6A0B">
      <w:r>
        <w:br w:type="page"/>
      </w:r>
    </w:p>
    <w:p w:rsidR="004157F8" w:rsidRDefault="007B7E97">
      <w:r w:rsidRPr="007B7E97">
        <w:rPr>
          <w:lang w:val="en-GB"/>
        </w:rPr>
        <w:lastRenderedPageBreak/>
        <w:t>Elshehabi,</w:t>
      </w:r>
    </w:p>
    <w:sectPr w:rsidR="004157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943FA"/>
    <w:multiLevelType w:val="multilevel"/>
    <w:tmpl w:val="2EA0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3C3324"/>
    <w:multiLevelType w:val="multilevel"/>
    <w:tmpl w:val="6F50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206532"/>
    <w:multiLevelType w:val="multilevel"/>
    <w:tmpl w:val="074C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5E4873"/>
    <w:multiLevelType w:val="multilevel"/>
    <w:tmpl w:val="55B6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3C56F8"/>
    <w:multiLevelType w:val="multilevel"/>
    <w:tmpl w:val="3C34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796C4A"/>
    <w:multiLevelType w:val="multilevel"/>
    <w:tmpl w:val="65AC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7D7566"/>
    <w:multiLevelType w:val="multilevel"/>
    <w:tmpl w:val="43B6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F170AB"/>
    <w:multiLevelType w:val="multilevel"/>
    <w:tmpl w:val="3E46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6B0F5B"/>
    <w:multiLevelType w:val="multilevel"/>
    <w:tmpl w:val="A3D2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038345E"/>
    <w:multiLevelType w:val="multilevel"/>
    <w:tmpl w:val="8A2E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CA76AB"/>
    <w:multiLevelType w:val="multilevel"/>
    <w:tmpl w:val="A476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553282A"/>
    <w:multiLevelType w:val="multilevel"/>
    <w:tmpl w:val="14F2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CEE71BC"/>
    <w:multiLevelType w:val="multilevel"/>
    <w:tmpl w:val="FA2A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E9E0C9E"/>
    <w:multiLevelType w:val="multilevel"/>
    <w:tmpl w:val="9892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0FF54EC"/>
    <w:multiLevelType w:val="multilevel"/>
    <w:tmpl w:val="2D2E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12D5605"/>
    <w:multiLevelType w:val="multilevel"/>
    <w:tmpl w:val="7CB0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30507FD"/>
    <w:multiLevelType w:val="multilevel"/>
    <w:tmpl w:val="3B1C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166515"/>
    <w:multiLevelType w:val="multilevel"/>
    <w:tmpl w:val="51C8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4E07906"/>
    <w:multiLevelType w:val="multilevel"/>
    <w:tmpl w:val="7F76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8FB1665"/>
    <w:multiLevelType w:val="multilevel"/>
    <w:tmpl w:val="BD84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2BC3AC9"/>
    <w:multiLevelType w:val="multilevel"/>
    <w:tmpl w:val="CBFC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3872D1D"/>
    <w:multiLevelType w:val="multilevel"/>
    <w:tmpl w:val="CB42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5573112"/>
    <w:multiLevelType w:val="multilevel"/>
    <w:tmpl w:val="919E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6A137C0"/>
    <w:multiLevelType w:val="multilevel"/>
    <w:tmpl w:val="1894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9247572"/>
    <w:multiLevelType w:val="multilevel"/>
    <w:tmpl w:val="D408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9414896"/>
    <w:multiLevelType w:val="multilevel"/>
    <w:tmpl w:val="C1EE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AC633C7"/>
    <w:multiLevelType w:val="multilevel"/>
    <w:tmpl w:val="38E8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C1D07C7"/>
    <w:multiLevelType w:val="multilevel"/>
    <w:tmpl w:val="0FA0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6051C49"/>
    <w:multiLevelType w:val="multilevel"/>
    <w:tmpl w:val="8CB6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EAD326F"/>
    <w:multiLevelType w:val="multilevel"/>
    <w:tmpl w:val="002A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17A1D81"/>
    <w:multiLevelType w:val="multilevel"/>
    <w:tmpl w:val="2096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99098685">
    <w:abstractNumId w:val="3"/>
  </w:num>
  <w:num w:numId="2" w16cid:durableId="1783379807">
    <w:abstractNumId w:val="0"/>
  </w:num>
  <w:num w:numId="3" w16cid:durableId="897131519">
    <w:abstractNumId w:val="8"/>
  </w:num>
  <w:num w:numId="4" w16cid:durableId="1413043356">
    <w:abstractNumId w:val="7"/>
  </w:num>
  <w:num w:numId="5" w16cid:durableId="848760924">
    <w:abstractNumId w:val="18"/>
  </w:num>
  <w:num w:numId="6" w16cid:durableId="444429869">
    <w:abstractNumId w:val="6"/>
  </w:num>
  <w:num w:numId="7" w16cid:durableId="2124374381">
    <w:abstractNumId w:val="30"/>
  </w:num>
  <w:num w:numId="8" w16cid:durableId="1440368374">
    <w:abstractNumId w:val="23"/>
  </w:num>
  <w:num w:numId="9" w16cid:durableId="357006544">
    <w:abstractNumId w:val="2"/>
  </w:num>
  <w:num w:numId="10" w16cid:durableId="1291781884">
    <w:abstractNumId w:val="4"/>
  </w:num>
  <w:num w:numId="11" w16cid:durableId="2039696600">
    <w:abstractNumId w:val="29"/>
  </w:num>
  <w:num w:numId="12" w16cid:durableId="462844488">
    <w:abstractNumId w:val="20"/>
  </w:num>
  <w:num w:numId="13" w16cid:durableId="216623526">
    <w:abstractNumId w:val="1"/>
  </w:num>
  <w:num w:numId="14" w16cid:durableId="1938781045">
    <w:abstractNumId w:val="27"/>
  </w:num>
  <w:num w:numId="15" w16cid:durableId="540098828">
    <w:abstractNumId w:val="21"/>
  </w:num>
  <w:num w:numId="16" w16cid:durableId="725029735">
    <w:abstractNumId w:val="5"/>
  </w:num>
  <w:num w:numId="17" w16cid:durableId="1403795408">
    <w:abstractNumId w:val="10"/>
  </w:num>
  <w:num w:numId="18" w16cid:durableId="724647120">
    <w:abstractNumId w:val="11"/>
  </w:num>
  <w:num w:numId="19" w16cid:durableId="1834905055">
    <w:abstractNumId w:val="15"/>
  </w:num>
  <w:num w:numId="20" w16cid:durableId="1509826150">
    <w:abstractNumId w:val="22"/>
  </w:num>
  <w:num w:numId="21" w16cid:durableId="572013516">
    <w:abstractNumId w:val="25"/>
  </w:num>
  <w:num w:numId="22" w16cid:durableId="997924270">
    <w:abstractNumId w:val="14"/>
  </w:num>
  <w:num w:numId="23" w16cid:durableId="1916667795">
    <w:abstractNumId w:val="19"/>
  </w:num>
  <w:num w:numId="24" w16cid:durableId="964312523">
    <w:abstractNumId w:val="16"/>
  </w:num>
  <w:num w:numId="25" w16cid:durableId="1014310522">
    <w:abstractNumId w:val="24"/>
  </w:num>
  <w:num w:numId="26" w16cid:durableId="1864977218">
    <w:abstractNumId w:val="12"/>
  </w:num>
  <w:num w:numId="27" w16cid:durableId="438186157">
    <w:abstractNumId w:val="17"/>
  </w:num>
  <w:num w:numId="28" w16cid:durableId="10760114">
    <w:abstractNumId w:val="17"/>
    <w:lvlOverride w:ilvl="0"/>
  </w:num>
  <w:num w:numId="29" w16cid:durableId="645474512">
    <w:abstractNumId w:val="13"/>
  </w:num>
  <w:num w:numId="30" w16cid:durableId="927496337">
    <w:abstractNumId w:val="28"/>
  </w:num>
  <w:num w:numId="31" w16cid:durableId="1105811345">
    <w:abstractNumId w:val="9"/>
  </w:num>
  <w:num w:numId="32" w16cid:durableId="154647941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F68"/>
    <w:rsid w:val="00002050"/>
    <w:rsid w:val="000046AD"/>
    <w:rsid w:val="000100B6"/>
    <w:rsid w:val="000274AD"/>
    <w:rsid w:val="00032492"/>
    <w:rsid w:val="00036466"/>
    <w:rsid w:val="00040584"/>
    <w:rsid w:val="00041B94"/>
    <w:rsid w:val="000471C7"/>
    <w:rsid w:val="000508A6"/>
    <w:rsid w:val="0005094B"/>
    <w:rsid w:val="0005258C"/>
    <w:rsid w:val="000561E0"/>
    <w:rsid w:val="00076A20"/>
    <w:rsid w:val="00084462"/>
    <w:rsid w:val="00086E44"/>
    <w:rsid w:val="000B49F6"/>
    <w:rsid w:val="000D5288"/>
    <w:rsid w:val="000E2DE4"/>
    <w:rsid w:val="000E3927"/>
    <w:rsid w:val="000F043A"/>
    <w:rsid w:val="000F5A2D"/>
    <w:rsid w:val="00102A30"/>
    <w:rsid w:val="0010403C"/>
    <w:rsid w:val="00106857"/>
    <w:rsid w:val="00107967"/>
    <w:rsid w:val="00112518"/>
    <w:rsid w:val="00112547"/>
    <w:rsid w:val="001204A7"/>
    <w:rsid w:val="00126803"/>
    <w:rsid w:val="001423CE"/>
    <w:rsid w:val="00153992"/>
    <w:rsid w:val="00166547"/>
    <w:rsid w:val="00184B43"/>
    <w:rsid w:val="001864D3"/>
    <w:rsid w:val="00190A2E"/>
    <w:rsid w:val="001A1CC7"/>
    <w:rsid w:val="001B108C"/>
    <w:rsid w:val="001B51BD"/>
    <w:rsid w:val="001B5266"/>
    <w:rsid w:val="001C041D"/>
    <w:rsid w:val="001C43D7"/>
    <w:rsid w:val="00207299"/>
    <w:rsid w:val="002104CB"/>
    <w:rsid w:val="002127B8"/>
    <w:rsid w:val="00234505"/>
    <w:rsid w:val="00236476"/>
    <w:rsid w:val="00237E18"/>
    <w:rsid w:val="002561C7"/>
    <w:rsid w:val="002723C1"/>
    <w:rsid w:val="0027481F"/>
    <w:rsid w:val="00275423"/>
    <w:rsid w:val="00276A5A"/>
    <w:rsid w:val="00296CE7"/>
    <w:rsid w:val="002A2277"/>
    <w:rsid w:val="002A40EF"/>
    <w:rsid w:val="002A4880"/>
    <w:rsid w:val="002B35B9"/>
    <w:rsid w:val="002B5E92"/>
    <w:rsid w:val="002C3C21"/>
    <w:rsid w:val="002C6A58"/>
    <w:rsid w:val="002D0071"/>
    <w:rsid w:val="002F26AC"/>
    <w:rsid w:val="002F66BB"/>
    <w:rsid w:val="00304BF7"/>
    <w:rsid w:val="00305233"/>
    <w:rsid w:val="0030641F"/>
    <w:rsid w:val="00311F6F"/>
    <w:rsid w:val="00312243"/>
    <w:rsid w:val="0031295A"/>
    <w:rsid w:val="00317F2B"/>
    <w:rsid w:val="00320212"/>
    <w:rsid w:val="00322637"/>
    <w:rsid w:val="00323D7F"/>
    <w:rsid w:val="003279DE"/>
    <w:rsid w:val="00335CEA"/>
    <w:rsid w:val="00342DA3"/>
    <w:rsid w:val="0034451C"/>
    <w:rsid w:val="00344CDB"/>
    <w:rsid w:val="003459AA"/>
    <w:rsid w:val="003466D8"/>
    <w:rsid w:val="00366CF8"/>
    <w:rsid w:val="003706B5"/>
    <w:rsid w:val="00371E93"/>
    <w:rsid w:val="00383325"/>
    <w:rsid w:val="003A6E27"/>
    <w:rsid w:val="003A6E37"/>
    <w:rsid w:val="003A7A57"/>
    <w:rsid w:val="003B12DA"/>
    <w:rsid w:val="003B579D"/>
    <w:rsid w:val="003C09BD"/>
    <w:rsid w:val="003C1D63"/>
    <w:rsid w:val="003C75FD"/>
    <w:rsid w:val="003D2306"/>
    <w:rsid w:val="003D76E9"/>
    <w:rsid w:val="003E5AB8"/>
    <w:rsid w:val="003E67CE"/>
    <w:rsid w:val="003F56E4"/>
    <w:rsid w:val="003F61B8"/>
    <w:rsid w:val="003F7C84"/>
    <w:rsid w:val="00406EA7"/>
    <w:rsid w:val="004157F8"/>
    <w:rsid w:val="00416DEB"/>
    <w:rsid w:val="004347CA"/>
    <w:rsid w:val="0043527D"/>
    <w:rsid w:val="004477CF"/>
    <w:rsid w:val="0045453C"/>
    <w:rsid w:val="00461651"/>
    <w:rsid w:val="004636ED"/>
    <w:rsid w:val="0047206E"/>
    <w:rsid w:val="004732B6"/>
    <w:rsid w:val="00486F66"/>
    <w:rsid w:val="0049607A"/>
    <w:rsid w:val="004A2144"/>
    <w:rsid w:val="004B566E"/>
    <w:rsid w:val="004C1471"/>
    <w:rsid w:val="004D5B3B"/>
    <w:rsid w:val="004E3CEB"/>
    <w:rsid w:val="004F129E"/>
    <w:rsid w:val="004F1D43"/>
    <w:rsid w:val="005226E9"/>
    <w:rsid w:val="00531FB2"/>
    <w:rsid w:val="00541329"/>
    <w:rsid w:val="00547881"/>
    <w:rsid w:val="00551D46"/>
    <w:rsid w:val="00551E16"/>
    <w:rsid w:val="00577A93"/>
    <w:rsid w:val="005816AA"/>
    <w:rsid w:val="00586129"/>
    <w:rsid w:val="00595882"/>
    <w:rsid w:val="005A5F32"/>
    <w:rsid w:val="005B26C3"/>
    <w:rsid w:val="005B4041"/>
    <w:rsid w:val="005B47D0"/>
    <w:rsid w:val="005B5A78"/>
    <w:rsid w:val="005C14AF"/>
    <w:rsid w:val="005C6512"/>
    <w:rsid w:val="005C74B4"/>
    <w:rsid w:val="005E05C6"/>
    <w:rsid w:val="005E465B"/>
    <w:rsid w:val="005F0F89"/>
    <w:rsid w:val="005F2A65"/>
    <w:rsid w:val="005F39EF"/>
    <w:rsid w:val="00636C01"/>
    <w:rsid w:val="00637F05"/>
    <w:rsid w:val="006404FC"/>
    <w:rsid w:val="006418F4"/>
    <w:rsid w:val="00652F96"/>
    <w:rsid w:val="00664E60"/>
    <w:rsid w:val="006712DE"/>
    <w:rsid w:val="00672082"/>
    <w:rsid w:val="006747FD"/>
    <w:rsid w:val="00680AC4"/>
    <w:rsid w:val="006A2E5D"/>
    <w:rsid w:val="006A509A"/>
    <w:rsid w:val="006A7B52"/>
    <w:rsid w:val="006B4DDB"/>
    <w:rsid w:val="006B7231"/>
    <w:rsid w:val="006C107C"/>
    <w:rsid w:val="006C3232"/>
    <w:rsid w:val="006C575D"/>
    <w:rsid w:val="006D5B18"/>
    <w:rsid w:val="006E22D1"/>
    <w:rsid w:val="006F0874"/>
    <w:rsid w:val="006F14DB"/>
    <w:rsid w:val="006F19FF"/>
    <w:rsid w:val="006F4FDD"/>
    <w:rsid w:val="007003B2"/>
    <w:rsid w:val="00712FB8"/>
    <w:rsid w:val="00714723"/>
    <w:rsid w:val="00717FD9"/>
    <w:rsid w:val="00726B2D"/>
    <w:rsid w:val="00731BB3"/>
    <w:rsid w:val="0073285D"/>
    <w:rsid w:val="00734EB0"/>
    <w:rsid w:val="007445E1"/>
    <w:rsid w:val="007449D3"/>
    <w:rsid w:val="00750B0E"/>
    <w:rsid w:val="0075704A"/>
    <w:rsid w:val="00763B94"/>
    <w:rsid w:val="00766D80"/>
    <w:rsid w:val="0076725F"/>
    <w:rsid w:val="00767C4C"/>
    <w:rsid w:val="00775240"/>
    <w:rsid w:val="00776715"/>
    <w:rsid w:val="00777272"/>
    <w:rsid w:val="007829F9"/>
    <w:rsid w:val="007953B1"/>
    <w:rsid w:val="007A0118"/>
    <w:rsid w:val="007B476C"/>
    <w:rsid w:val="007B7E97"/>
    <w:rsid w:val="007C77F5"/>
    <w:rsid w:val="007C7A7A"/>
    <w:rsid w:val="007D066E"/>
    <w:rsid w:val="007E51E7"/>
    <w:rsid w:val="007E642C"/>
    <w:rsid w:val="007F774B"/>
    <w:rsid w:val="00831447"/>
    <w:rsid w:val="00843A2E"/>
    <w:rsid w:val="00850E2A"/>
    <w:rsid w:val="008570E7"/>
    <w:rsid w:val="0086100D"/>
    <w:rsid w:val="00865E5C"/>
    <w:rsid w:val="00866685"/>
    <w:rsid w:val="00867160"/>
    <w:rsid w:val="00874DC1"/>
    <w:rsid w:val="0088593C"/>
    <w:rsid w:val="008B3F8E"/>
    <w:rsid w:val="008B5D94"/>
    <w:rsid w:val="008B6316"/>
    <w:rsid w:val="008B7D9D"/>
    <w:rsid w:val="008E328B"/>
    <w:rsid w:val="008E4F30"/>
    <w:rsid w:val="00901407"/>
    <w:rsid w:val="0091300B"/>
    <w:rsid w:val="00917D10"/>
    <w:rsid w:val="00920F5D"/>
    <w:rsid w:val="0092128B"/>
    <w:rsid w:val="009235D7"/>
    <w:rsid w:val="00930239"/>
    <w:rsid w:val="00932AF4"/>
    <w:rsid w:val="00934B73"/>
    <w:rsid w:val="00941A2A"/>
    <w:rsid w:val="00942A6B"/>
    <w:rsid w:val="00945EDD"/>
    <w:rsid w:val="00946B34"/>
    <w:rsid w:val="0095418A"/>
    <w:rsid w:val="00957824"/>
    <w:rsid w:val="00984EAE"/>
    <w:rsid w:val="009859F9"/>
    <w:rsid w:val="009C5050"/>
    <w:rsid w:val="009C66CF"/>
    <w:rsid w:val="009D03F8"/>
    <w:rsid w:val="009E03B0"/>
    <w:rsid w:val="009E3102"/>
    <w:rsid w:val="009E50C8"/>
    <w:rsid w:val="009E57A6"/>
    <w:rsid w:val="009E60C8"/>
    <w:rsid w:val="00A02F66"/>
    <w:rsid w:val="00A10D50"/>
    <w:rsid w:val="00A212F9"/>
    <w:rsid w:val="00A2310F"/>
    <w:rsid w:val="00A33F37"/>
    <w:rsid w:val="00A36FB4"/>
    <w:rsid w:val="00A434FC"/>
    <w:rsid w:val="00A5695F"/>
    <w:rsid w:val="00A646A3"/>
    <w:rsid w:val="00A646C9"/>
    <w:rsid w:val="00A71355"/>
    <w:rsid w:val="00A725C8"/>
    <w:rsid w:val="00A75857"/>
    <w:rsid w:val="00A81226"/>
    <w:rsid w:val="00A85DCC"/>
    <w:rsid w:val="00A90A96"/>
    <w:rsid w:val="00A91523"/>
    <w:rsid w:val="00A97429"/>
    <w:rsid w:val="00A97C45"/>
    <w:rsid w:val="00AC5177"/>
    <w:rsid w:val="00AD17F9"/>
    <w:rsid w:val="00AD5250"/>
    <w:rsid w:val="00AD6A0B"/>
    <w:rsid w:val="00AE2997"/>
    <w:rsid w:val="00AE5EAB"/>
    <w:rsid w:val="00AF0D1D"/>
    <w:rsid w:val="00AF5300"/>
    <w:rsid w:val="00AF7602"/>
    <w:rsid w:val="00B03091"/>
    <w:rsid w:val="00B10C06"/>
    <w:rsid w:val="00B112F6"/>
    <w:rsid w:val="00B131ED"/>
    <w:rsid w:val="00B157C2"/>
    <w:rsid w:val="00B260D2"/>
    <w:rsid w:val="00B264F4"/>
    <w:rsid w:val="00B53821"/>
    <w:rsid w:val="00B572B9"/>
    <w:rsid w:val="00B728BF"/>
    <w:rsid w:val="00B80352"/>
    <w:rsid w:val="00B84888"/>
    <w:rsid w:val="00B86F1C"/>
    <w:rsid w:val="00B915ED"/>
    <w:rsid w:val="00B91CD0"/>
    <w:rsid w:val="00BB6010"/>
    <w:rsid w:val="00BC1E96"/>
    <w:rsid w:val="00BC2C7B"/>
    <w:rsid w:val="00BD3913"/>
    <w:rsid w:val="00BF1B6E"/>
    <w:rsid w:val="00BF5A67"/>
    <w:rsid w:val="00C14105"/>
    <w:rsid w:val="00C44206"/>
    <w:rsid w:val="00C538E0"/>
    <w:rsid w:val="00C54CC7"/>
    <w:rsid w:val="00C5538F"/>
    <w:rsid w:val="00C61079"/>
    <w:rsid w:val="00C64D72"/>
    <w:rsid w:val="00C700C8"/>
    <w:rsid w:val="00C7206B"/>
    <w:rsid w:val="00C94191"/>
    <w:rsid w:val="00C97F68"/>
    <w:rsid w:val="00CC1FBE"/>
    <w:rsid w:val="00CC2231"/>
    <w:rsid w:val="00CC67F1"/>
    <w:rsid w:val="00CD1002"/>
    <w:rsid w:val="00CD5319"/>
    <w:rsid w:val="00CE33DC"/>
    <w:rsid w:val="00CE7FB1"/>
    <w:rsid w:val="00CF08C7"/>
    <w:rsid w:val="00D03236"/>
    <w:rsid w:val="00D1004C"/>
    <w:rsid w:val="00D3769B"/>
    <w:rsid w:val="00D648BF"/>
    <w:rsid w:val="00D652DB"/>
    <w:rsid w:val="00D6777E"/>
    <w:rsid w:val="00D75CCA"/>
    <w:rsid w:val="00D80906"/>
    <w:rsid w:val="00D8120A"/>
    <w:rsid w:val="00D81676"/>
    <w:rsid w:val="00D86B3B"/>
    <w:rsid w:val="00D86CC9"/>
    <w:rsid w:val="00DA2FC5"/>
    <w:rsid w:val="00DA5902"/>
    <w:rsid w:val="00DC09C3"/>
    <w:rsid w:val="00DC17FB"/>
    <w:rsid w:val="00DD1B5C"/>
    <w:rsid w:val="00DD4716"/>
    <w:rsid w:val="00DD631B"/>
    <w:rsid w:val="00DD70B4"/>
    <w:rsid w:val="00DF08D3"/>
    <w:rsid w:val="00DF6F14"/>
    <w:rsid w:val="00E15463"/>
    <w:rsid w:val="00E20CBF"/>
    <w:rsid w:val="00E2281A"/>
    <w:rsid w:val="00E230D7"/>
    <w:rsid w:val="00E30396"/>
    <w:rsid w:val="00E334F1"/>
    <w:rsid w:val="00E360CF"/>
    <w:rsid w:val="00E37CEB"/>
    <w:rsid w:val="00E41C38"/>
    <w:rsid w:val="00E41CF4"/>
    <w:rsid w:val="00E467CB"/>
    <w:rsid w:val="00E5082A"/>
    <w:rsid w:val="00E56D26"/>
    <w:rsid w:val="00E658D3"/>
    <w:rsid w:val="00E73C26"/>
    <w:rsid w:val="00E73FA3"/>
    <w:rsid w:val="00E84772"/>
    <w:rsid w:val="00E87190"/>
    <w:rsid w:val="00E90C5A"/>
    <w:rsid w:val="00E94EEC"/>
    <w:rsid w:val="00EA0A1C"/>
    <w:rsid w:val="00EB47A0"/>
    <w:rsid w:val="00EC3CC5"/>
    <w:rsid w:val="00EC5016"/>
    <w:rsid w:val="00ED4EBB"/>
    <w:rsid w:val="00ED7F6A"/>
    <w:rsid w:val="00EE14FB"/>
    <w:rsid w:val="00EE1E9A"/>
    <w:rsid w:val="00EF0F3B"/>
    <w:rsid w:val="00EF52C4"/>
    <w:rsid w:val="00F009B9"/>
    <w:rsid w:val="00F04B64"/>
    <w:rsid w:val="00F0642B"/>
    <w:rsid w:val="00F07369"/>
    <w:rsid w:val="00F10B08"/>
    <w:rsid w:val="00F12E04"/>
    <w:rsid w:val="00F130E0"/>
    <w:rsid w:val="00F1377A"/>
    <w:rsid w:val="00F14C34"/>
    <w:rsid w:val="00F31672"/>
    <w:rsid w:val="00F31B97"/>
    <w:rsid w:val="00F33104"/>
    <w:rsid w:val="00F33848"/>
    <w:rsid w:val="00F34EC7"/>
    <w:rsid w:val="00F3757D"/>
    <w:rsid w:val="00F41376"/>
    <w:rsid w:val="00F50698"/>
    <w:rsid w:val="00F557D7"/>
    <w:rsid w:val="00F57C61"/>
    <w:rsid w:val="00F61CC7"/>
    <w:rsid w:val="00F7455C"/>
    <w:rsid w:val="00F74EED"/>
    <w:rsid w:val="00F81763"/>
    <w:rsid w:val="00F85757"/>
    <w:rsid w:val="00F91F0B"/>
    <w:rsid w:val="00F950B1"/>
    <w:rsid w:val="00F96056"/>
    <w:rsid w:val="00F979B4"/>
    <w:rsid w:val="00F97C9D"/>
    <w:rsid w:val="00FA084A"/>
    <w:rsid w:val="00FB1B45"/>
    <w:rsid w:val="00FB7F18"/>
    <w:rsid w:val="00FD07BB"/>
    <w:rsid w:val="00FD13DC"/>
    <w:rsid w:val="00FE31EC"/>
    <w:rsid w:val="00FF1B7F"/>
    <w:rsid w:val="00FF2DB0"/>
    <w:rsid w:val="00FF7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CF0B8B-B042-6344-8AAC-9205A15B9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97F6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97F6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97F68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97F68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C97F6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mb-4">
    <w:name w:val="mb-4"/>
    <w:basedOn w:val="Normal"/>
    <w:rsid w:val="00C97F6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tream-word">
    <w:name w:val="stream-word"/>
    <w:basedOn w:val="DefaultParagraphFont"/>
    <w:rsid w:val="00C97F68"/>
  </w:style>
  <w:style w:type="character" w:styleId="Strong">
    <w:name w:val="Strong"/>
    <w:basedOn w:val="DefaultParagraphFont"/>
    <w:uiPriority w:val="22"/>
    <w:qFormat/>
    <w:rsid w:val="00C97F68"/>
    <w:rPr>
      <w:b/>
      <w:bCs/>
    </w:rPr>
  </w:style>
  <w:style w:type="character" w:customStyle="1" w:styleId="ml-1">
    <w:name w:val="ml-1"/>
    <w:basedOn w:val="DefaultParagraphFont"/>
    <w:rsid w:val="00C97F68"/>
  </w:style>
  <w:style w:type="paragraph" w:customStyle="1" w:styleId="mb-1">
    <w:name w:val="mb-1"/>
    <w:basedOn w:val="Normal"/>
    <w:rsid w:val="00C97F6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flex">
    <w:name w:val="flex"/>
    <w:basedOn w:val="DefaultParagraphFont"/>
    <w:rsid w:val="00C97F68"/>
  </w:style>
  <w:style w:type="table" w:styleId="TableGrid">
    <w:name w:val="Table Grid"/>
    <w:basedOn w:val="TableNormal"/>
    <w:uiPriority w:val="39"/>
    <w:rsid w:val="00F91F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1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5303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381022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28023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354571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5963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04467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85117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945724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611015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68897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425371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394400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ashed" w:sz="2" w:space="0" w:color="E4EAF2"/>
                                                        <w:left w:val="dashed" w:sz="2" w:space="0" w:color="E4EAF2"/>
                                                        <w:bottom w:val="dashed" w:sz="6" w:space="0" w:color="E4EAF2"/>
                                                        <w:right w:val="dashed" w:sz="2" w:space="0" w:color="E4EAF2"/>
                                                      </w:divBdr>
                                                      <w:divsChild>
                                                        <w:div w:id="1000080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65681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6" w:space="0" w:color="E5E7EB"/>
                                                        <w:bottom w:val="single" w:sz="6" w:space="0" w:color="E5E7EB"/>
                                                        <w:right w:val="single" w:sz="6" w:space="0" w:color="E5E7EB"/>
                                                      </w:divBdr>
                                                      <w:divsChild>
                                                        <w:div w:id="1942376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6319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89576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95075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325899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3914208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06819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275691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0773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74916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47933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814834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569799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058552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94738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817496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ashed" w:sz="2" w:space="0" w:color="E4EAF2"/>
                                                        <w:left w:val="dashed" w:sz="2" w:space="0" w:color="E4EAF2"/>
                                                        <w:bottom w:val="dashed" w:sz="6" w:space="0" w:color="E4EAF2"/>
                                                        <w:right w:val="dashed" w:sz="2" w:space="0" w:color="E4EAF2"/>
                                                      </w:divBdr>
                                                      <w:divsChild>
                                                        <w:div w:id="341475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74218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6" w:space="0" w:color="E5E7EB"/>
                                                        <w:bottom w:val="single" w:sz="6" w:space="0" w:color="E5E7EB"/>
                                                        <w:right w:val="single" w:sz="6" w:space="0" w:color="E5E7EB"/>
                                                      </w:divBdr>
                                                      <w:divsChild>
                                                        <w:div w:id="1999184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248939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D1D5DB"/>
                                                    <w:left w:val="single" w:sz="24" w:space="0" w:color="D1D5DB"/>
                                                    <w:bottom w:val="single" w:sz="2" w:space="0" w:color="D1D5DB"/>
                                                    <w:right w:val="single" w:sz="2" w:space="0" w:color="D1D5DB"/>
                                                  </w:divBdr>
                                                </w:div>
                                                <w:div w:id="1058745790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D1D5DB"/>
                                                    <w:left w:val="single" w:sz="24" w:space="0" w:color="D1D5DB"/>
                                                    <w:bottom w:val="single" w:sz="2" w:space="0" w:color="D1D5DB"/>
                                                    <w:right w:val="single" w:sz="2" w:space="0" w:color="D1D5DB"/>
                                                  </w:divBdr>
                                                </w:div>
                                                <w:div w:id="15869385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D1D5DB"/>
                                                    <w:left w:val="single" w:sz="24" w:space="0" w:color="D1D5DB"/>
                                                    <w:bottom w:val="single" w:sz="2" w:space="0" w:color="D1D5DB"/>
                                                    <w:right w:val="single" w:sz="2" w:space="0" w:color="D1D5DB"/>
                                                  </w:divBdr>
                                                </w:div>
                                                <w:div w:id="259920813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D1D5DB"/>
                                                    <w:left w:val="single" w:sz="24" w:space="0" w:color="D1D5DB"/>
                                                    <w:bottom w:val="single" w:sz="2" w:space="0" w:color="D1D5DB"/>
                                                    <w:right w:val="single" w:sz="2" w:space="0" w:color="D1D5DB"/>
                                                  </w:divBdr>
                                                </w:div>
                                                <w:div w:id="161948940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D1D5DB"/>
                                                    <w:left w:val="single" w:sz="24" w:space="0" w:color="D1D5DB"/>
                                                    <w:bottom w:val="single" w:sz="2" w:space="0" w:color="D1D5DB"/>
                                                    <w:right w:val="single" w:sz="2" w:space="0" w:color="D1D5DB"/>
                                                  </w:divBdr>
                                                </w:div>
                                                <w:div w:id="1399015267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D1D5DB"/>
                                                    <w:left w:val="single" w:sz="24" w:space="0" w:color="D1D5DB"/>
                                                    <w:bottom w:val="single" w:sz="2" w:space="0" w:color="D1D5DB"/>
                                                    <w:right w:val="single" w:sz="2" w:space="0" w:color="D1D5DB"/>
                                                  </w:divBdr>
                                                </w:div>
                                                <w:div w:id="1276517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163010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ashed" w:sz="2" w:space="0" w:color="E4EAF2"/>
                                                        <w:left w:val="dashed" w:sz="2" w:space="0" w:color="E4EAF2"/>
                                                        <w:bottom w:val="dashed" w:sz="6" w:space="0" w:color="E4EAF2"/>
                                                        <w:right w:val="dashed" w:sz="2" w:space="0" w:color="E4EAF2"/>
                                                      </w:divBdr>
                                                      <w:divsChild>
                                                        <w:div w:id="725762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00052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6" w:space="0" w:color="E5E7EB"/>
                                                        <w:bottom w:val="single" w:sz="6" w:space="0" w:color="E5E7EB"/>
                                                        <w:right w:val="single" w:sz="6" w:space="0" w:color="E5E7EB"/>
                                                      </w:divBdr>
                                                      <w:divsChild>
                                                        <w:div w:id="1678771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945586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D1D5DB"/>
                                                    <w:left w:val="single" w:sz="24" w:space="0" w:color="D1D5DB"/>
                                                    <w:bottom w:val="single" w:sz="2" w:space="0" w:color="D1D5DB"/>
                                                    <w:right w:val="single" w:sz="2" w:space="0" w:color="D1D5DB"/>
                                                  </w:divBdr>
                                                </w:div>
                                                <w:div w:id="117587563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D1D5DB"/>
                                                    <w:left w:val="single" w:sz="24" w:space="0" w:color="D1D5DB"/>
                                                    <w:bottom w:val="single" w:sz="2" w:space="0" w:color="D1D5DB"/>
                                                    <w:right w:val="single" w:sz="2" w:space="0" w:color="D1D5DB"/>
                                                  </w:divBdr>
                                                </w:div>
                                                <w:div w:id="1645087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80952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ashed" w:sz="2" w:space="0" w:color="EC9DAD"/>
                                                        <w:left w:val="dashed" w:sz="2" w:space="0" w:color="EC9DAD"/>
                                                        <w:bottom w:val="dashed" w:sz="6" w:space="0" w:color="EC9DAD"/>
                                                        <w:right w:val="dashed" w:sz="2" w:space="0" w:color="EC9DAD"/>
                                                      </w:divBdr>
                                                      <w:divsChild>
                                                        <w:div w:id="1968655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98698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6" w:space="0" w:color="E5E7EB"/>
                                                        <w:bottom w:val="single" w:sz="6" w:space="0" w:color="E5E7EB"/>
                                                        <w:right w:val="single" w:sz="6" w:space="0" w:color="E5E7EB"/>
                                                      </w:divBdr>
                                                      <w:divsChild>
                                                        <w:div w:id="1759322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523664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921531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089276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0054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  <w:div w:id="320618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74473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924991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315840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51883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  <w:div w:id="1106149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  <w:div w:id="506209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3965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D1D5DB"/>
                                                    <w:left w:val="single" w:sz="24" w:space="0" w:color="D1D5DB"/>
                                                    <w:bottom w:val="single" w:sz="2" w:space="0" w:color="D1D5DB"/>
                                                    <w:right w:val="single" w:sz="2" w:space="0" w:color="D1D5D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33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15883">
          <w:blockQuote w:val="1"/>
          <w:marLeft w:val="720"/>
          <w:marRight w:val="720"/>
          <w:marTop w:val="100"/>
          <w:marBottom w:val="100"/>
          <w:divBdr>
            <w:top w:val="single" w:sz="2" w:space="0" w:color="D1D5DB"/>
            <w:left w:val="single" w:sz="24" w:space="0" w:color="D1D5DB"/>
            <w:bottom w:val="single" w:sz="2" w:space="0" w:color="D1D5DB"/>
            <w:right w:val="single" w:sz="2" w:space="0" w:color="D1D5DB"/>
          </w:divBdr>
        </w:div>
        <w:div w:id="88427200">
          <w:blockQuote w:val="1"/>
          <w:marLeft w:val="720"/>
          <w:marRight w:val="720"/>
          <w:marTop w:val="100"/>
          <w:marBottom w:val="100"/>
          <w:divBdr>
            <w:top w:val="single" w:sz="2" w:space="0" w:color="D1D5DB"/>
            <w:left w:val="single" w:sz="24" w:space="0" w:color="D1D5DB"/>
            <w:bottom w:val="single" w:sz="2" w:space="0" w:color="D1D5DB"/>
            <w:right w:val="single" w:sz="2" w:space="0" w:color="D1D5DB"/>
          </w:divBdr>
        </w:div>
        <w:div w:id="1061444583">
          <w:blockQuote w:val="1"/>
          <w:marLeft w:val="720"/>
          <w:marRight w:val="720"/>
          <w:marTop w:val="100"/>
          <w:marBottom w:val="100"/>
          <w:divBdr>
            <w:top w:val="single" w:sz="2" w:space="0" w:color="D1D5DB"/>
            <w:left w:val="single" w:sz="24" w:space="0" w:color="D1D5DB"/>
            <w:bottom w:val="single" w:sz="2" w:space="0" w:color="D1D5DB"/>
            <w:right w:val="single" w:sz="2" w:space="0" w:color="D1D5DB"/>
          </w:divBdr>
        </w:div>
        <w:div w:id="958028212">
          <w:blockQuote w:val="1"/>
          <w:marLeft w:val="720"/>
          <w:marRight w:val="720"/>
          <w:marTop w:val="100"/>
          <w:marBottom w:val="100"/>
          <w:divBdr>
            <w:top w:val="single" w:sz="2" w:space="0" w:color="D1D5DB"/>
            <w:left w:val="single" w:sz="24" w:space="0" w:color="D1D5DB"/>
            <w:bottom w:val="single" w:sz="2" w:space="0" w:color="D1D5DB"/>
            <w:right w:val="single" w:sz="2" w:space="0" w:color="D1D5DB"/>
          </w:divBdr>
        </w:div>
        <w:div w:id="1714116958">
          <w:blockQuote w:val="1"/>
          <w:marLeft w:val="720"/>
          <w:marRight w:val="720"/>
          <w:marTop w:val="100"/>
          <w:marBottom w:val="100"/>
          <w:divBdr>
            <w:top w:val="single" w:sz="2" w:space="0" w:color="D1D5DB"/>
            <w:left w:val="single" w:sz="24" w:space="0" w:color="D1D5DB"/>
            <w:bottom w:val="single" w:sz="2" w:space="0" w:color="D1D5DB"/>
            <w:right w:val="single" w:sz="2" w:space="0" w:color="D1D5DB"/>
          </w:divBdr>
        </w:div>
        <w:div w:id="378284070">
          <w:blockQuote w:val="1"/>
          <w:marLeft w:val="720"/>
          <w:marRight w:val="720"/>
          <w:marTop w:val="100"/>
          <w:marBottom w:val="100"/>
          <w:divBdr>
            <w:top w:val="single" w:sz="2" w:space="0" w:color="D1D5DB"/>
            <w:left w:val="single" w:sz="24" w:space="0" w:color="D1D5DB"/>
            <w:bottom w:val="single" w:sz="2" w:space="0" w:color="D1D5DB"/>
            <w:right w:val="single" w:sz="2" w:space="0" w:color="D1D5DB"/>
          </w:divBdr>
        </w:div>
        <w:div w:id="1906061238">
          <w:blockQuote w:val="1"/>
          <w:marLeft w:val="720"/>
          <w:marRight w:val="720"/>
          <w:marTop w:val="100"/>
          <w:marBottom w:val="100"/>
          <w:divBdr>
            <w:top w:val="single" w:sz="2" w:space="0" w:color="D1D5DB"/>
            <w:left w:val="single" w:sz="24" w:space="0" w:color="D1D5DB"/>
            <w:bottom w:val="single" w:sz="2" w:space="0" w:color="D1D5DB"/>
            <w:right w:val="single" w:sz="2" w:space="0" w:color="D1D5DB"/>
          </w:divBdr>
        </w:div>
        <w:div w:id="322469776">
          <w:blockQuote w:val="1"/>
          <w:marLeft w:val="720"/>
          <w:marRight w:val="720"/>
          <w:marTop w:val="100"/>
          <w:marBottom w:val="100"/>
          <w:divBdr>
            <w:top w:val="single" w:sz="2" w:space="0" w:color="D1D5DB"/>
            <w:left w:val="single" w:sz="24" w:space="0" w:color="D1D5DB"/>
            <w:bottom w:val="single" w:sz="2" w:space="0" w:color="D1D5DB"/>
            <w:right w:val="single" w:sz="2" w:space="0" w:color="D1D5DB"/>
          </w:divBdr>
        </w:div>
        <w:div w:id="1003119884">
          <w:blockQuote w:val="1"/>
          <w:marLeft w:val="720"/>
          <w:marRight w:val="720"/>
          <w:marTop w:val="100"/>
          <w:marBottom w:val="100"/>
          <w:divBdr>
            <w:top w:val="single" w:sz="2" w:space="0" w:color="D1D5DB"/>
            <w:left w:val="single" w:sz="24" w:space="0" w:color="D1D5DB"/>
            <w:bottom w:val="single" w:sz="2" w:space="0" w:color="D1D5DB"/>
            <w:right w:val="single" w:sz="2" w:space="0" w:color="D1D5DB"/>
          </w:divBdr>
        </w:div>
        <w:div w:id="1276790822">
          <w:blockQuote w:val="1"/>
          <w:marLeft w:val="720"/>
          <w:marRight w:val="720"/>
          <w:marTop w:val="100"/>
          <w:marBottom w:val="100"/>
          <w:divBdr>
            <w:top w:val="single" w:sz="2" w:space="0" w:color="D1D5DB"/>
            <w:left w:val="single" w:sz="24" w:space="0" w:color="D1D5DB"/>
            <w:bottom w:val="single" w:sz="2" w:space="0" w:color="D1D5DB"/>
            <w:right w:val="single" w:sz="2" w:space="0" w:color="D1D5DB"/>
          </w:divBdr>
        </w:div>
        <w:div w:id="1563709847">
          <w:blockQuote w:val="1"/>
          <w:marLeft w:val="720"/>
          <w:marRight w:val="720"/>
          <w:marTop w:val="100"/>
          <w:marBottom w:val="100"/>
          <w:divBdr>
            <w:top w:val="single" w:sz="2" w:space="0" w:color="D1D5DB"/>
            <w:left w:val="single" w:sz="24" w:space="0" w:color="D1D5DB"/>
            <w:bottom w:val="single" w:sz="2" w:space="0" w:color="D1D5DB"/>
            <w:right w:val="single" w:sz="2" w:space="0" w:color="D1D5DB"/>
          </w:divBdr>
        </w:div>
        <w:div w:id="515118838">
          <w:blockQuote w:val="1"/>
          <w:marLeft w:val="720"/>
          <w:marRight w:val="720"/>
          <w:marTop w:val="100"/>
          <w:marBottom w:val="100"/>
          <w:divBdr>
            <w:top w:val="single" w:sz="2" w:space="0" w:color="D1D5DB"/>
            <w:left w:val="single" w:sz="24" w:space="0" w:color="D1D5DB"/>
            <w:bottom w:val="single" w:sz="2" w:space="0" w:color="D1D5DB"/>
            <w:right w:val="single" w:sz="2" w:space="0" w:color="D1D5DB"/>
          </w:divBdr>
        </w:div>
        <w:div w:id="170609492">
          <w:blockQuote w:val="1"/>
          <w:marLeft w:val="720"/>
          <w:marRight w:val="720"/>
          <w:marTop w:val="100"/>
          <w:marBottom w:val="100"/>
          <w:divBdr>
            <w:top w:val="single" w:sz="2" w:space="0" w:color="D1D5DB"/>
            <w:left w:val="single" w:sz="24" w:space="0" w:color="D1D5DB"/>
            <w:bottom w:val="single" w:sz="2" w:space="0" w:color="D1D5DB"/>
            <w:right w:val="single" w:sz="2" w:space="0" w:color="D1D5DB"/>
          </w:divBdr>
        </w:div>
        <w:div w:id="1340960819">
          <w:blockQuote w:val="1"/>
          <w:marLeft w:val="720"/>
          <w:marRight w:val="720"/>
          <w:marTop w:val="100"/>
          <w:marBottom w:val="100"/>
          <w:divBdr>
            <w:top w:val="single" w:sz="2" w:space="0" w:color="D1D5DB"/>
            <w:left w:val="single" w:sz="24" w:space="0" w:color="D1D5DB"/>
            <w:bottom w:val="single" w:sz="2" w:space="0" w:color="D1D5DB"/>
            <w:right w:val="single" w:sz="2" w:space="0" w:color="D1D5DB"/>
          </w:divBdr>
        </w:div>
        <w:div w:id="260381114">
          <w:blockQuote w:val="1"/>
          <w:marLeft w:val="720"/>
          <w:marRight w:val="720"/>
          <w:marTop w:val="100"/>
          <w:marBottom w:val="100"/>
          <w:divBdr>
            <w:top w:val="single" w:sz="2" w:space="0" w:color="D1D5DB"/>
            <w:left w:val="single" w:sz="24" w:space="0" w:color="D1D5DB"/>
            <w:bottom w:val="single" w:sz="2" w:space="0" w:color="D1D5DB"/>
            <w:right w:val="single" w:sz="2" w:space="0" w:color="D1D5DB"/>
          </w:divBdr>
        </w:div>
        <w:div w:id="1890653016">
          <w:blockQuote w:val="1"/>
          <w:marLeft w:val="720"/>
          <w:marRight w:val="720"/>
          <w:marTop w:val="100"/>
          <w:marBottom w:val="100"/>
          <w:divBdr>
            <w:top w:val="single" w:sz="2" w:space="0" w:color="D1D5DB"/>
            <w:left w:val="single" w:sz="24" w:space="0" w:color="D1D5DB"/>
            <w:bottom w:val="single" w:sz="2" w:space="0" w:color="D1D5DB"/>
            <w:right w:val="single" w:sz="2" w:space="0" w:color="D1D5DB"/>
          </w:divBdr>
        </w:div>
        <w:div w:id="873469689">
          <w:blockQuote w:val="1"/>
          <w:marLeft w:val="720"/>
          <w:marRight w:val="720"/>
          <w:marTop w:val="100"/>
          <w:marBottom w:val="100"/>
          <w:divBdr>
            <w:top w:val="single" w:sz="2" w:space="0" w:color="D1D5DB"/>
            <w:left w:val="single" w:sz="24" w:space="0" w:color="D1D5DB"/>
            <w:bottom w:val="single" w:sz="2" w:space="0" w:color="D1D5DB"/>
            <w:right w:val="single" w:sz="2" w:space="0" w:color="D1D5DB"/>
          </w:divBdr>
        </w:div>
        <w:div w:id="103891991">
          <w:blockQuote w:val="1"/>
          <w:marLeft w:val="720"/>
          <w:marRight w:val="720"/>
          <w:marTop w:val="100"/>
          <w:marBottom w:val="100"/>
          <w:divBdr>
            <w:top w:val="single" w:sz="2" w:space="0" w:color="D1D5DB"/>
            <w:left w:val="single" w:sz="24" w:space="0" w:color="D1D5DB"/>
            <w:bottom w:val="single" w:sz="2" w:space="0" w:color="D1D5DB"/>
            <w:right w:val="single" w:sz="2" w:space="0" w:color="D1D5DB"/>
          </w:divBdr>
        </w:div>
        <w:div w:id="7833787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74322427">
              <w:marLeft w:val="0"/>
              <w:marRight w:val="0"/>
              <w:marTop w:val="0"/>
              <w:marBottom w:val="0"/>
              <w:divBdr>
                <w:top w:val="dashed" w:sz="2" w:space="0" w:color="E4EAF2"/>
                <w:left w:val="dashed" w:sz="2" w:space="0" w:color="E4EAF2"/>
                <w:bottom w:val="dashed" w:sz="6" w:space="0" w:color="E4EAF2"/>
                <w:right w:val="dashed" w:sz="2" w:space="0" w:color="E4EAF2"/>
              </w:divBdr>
              <w:divsChild>
                <w:div w:id="7890537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2775161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6" w:space="0" w:color="E5E7EB"/>
                <w:bottom w:val="single" w:sz="6" w:space="0" w:color="E5E7EB"/>
                <w:right w:val="single" w:sz="6" w:space="0" w:color="E5E7EB"/>
              </w:divBdr>
              <w:divsChild>
                <w:div w:id="6622427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74063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326483">
          <w:blockQuote w:val="1"/>
          <w:marLeft w:val="720"/>
          <w:marRight w:val="720"/>
          <w:marTop w:val="100"/>
          <w:marBottom w:val="100"/>
          <w:divBdr>
            <w:top w:val="single" w:sz="2" w:space="0" w:color="D1D5DB"/>
            <w:left w:val="single" w:sz="24" w:space="0" w:color="D1D5DB"/>
            <w:bottom w:val="single" w:sz="2" w:space="0" w:color="D1D5DB"/>
            <w:right w:val="single" w:sz="2" w:space="0" w:color="D1D5DB"/>
          </w:divBdr>
        </w:div>
        <w:div w:id="880365126">
          <w:blockQuote w:val="1"/>
          <w:marLeft w:val="720"/>
          <w:marRight w:val="720"/>
          <w:marTop w:val="100"/>
          <w:marBottom w:val="100"/>
          <w:divBdr>
            <w:top w:val="single" w:sz="2" w:space="0" w:color="D1D5DB"/>
            <w:left w:val="single" w:sz="24" w:space="0" w:color="D1D5DB"/>
            <w:bottom w:val="single" w:sz="2" w:space="0" w:color="D1D5DB"/>
            <w:right w:val="single" w:sz="2" w:space="0" w:color="D1D5DB"/>
          </w:divBdr>
        </w:div>
        <w:div w:id="1764498394">
          <w:blockQuote w:val="1"/>
          <w:marLeft w:val="720"/>
          <w:marRight w:val="720"/>
          <w:marTop w:val="100"/>
          <w:marBottom w:val="100"/>
          <w:divBdr>
            <w:top w:val="single" w:sz="2" w:space="0" w:color="D1D5DB"/>
            <w:left w:val="single" w:sz="24" w:space="0" w:color="D1D5DB"/>
            <w:bottom w:val="single" w:sz="2" w:space="0" w:color="D1D5DB"/>
            <w:right w:val="single" w:sz="2" w:space="0" w:color="D1D5DB"/>
          </w:divBdr>
        </w:div>
        <w:div w:id="1798640240">
          <w:blockQuote w:val="1"/>
          <w:marLeft w:val="720"/>
          <w:marRight w:val="720"/>
          <w:marTop w:val="100"/>
          <w:marBottom w:val="100"/>
          <w:divBdr>
            <w:top w:val="single" w:sz="2" w:space="0" w:color="D1D5DB"/>
            <w:left w:val="single" w:sz="24" w:space="0" w:color="D1D5DB"/>
            <w:bottom w:val="single" w:sz="2" w:space="0" w:color="D1D5DB"/>
            <w:right w:val="single" w:sz="2" w:space="0" w:color="D1D5DB"/>
          </w:divBdr>
        </w:div>
        <w:div w:id="1891991261">
          <w:blockQuote w:val="1"/>
          <w:marLeft w:val="720"/>
          <w:marRight w:val="720"/>
          <w:marTop w:val="100"/>
          <w:marBottom w:val="100"/>
          <w:divBdr>
            <w:top w:val="single" w:sz="2" w:space="0" w:color="D1D5DB"/>
            <w:left w:val="single" w:sz="24" w:space="0" w:color="D1D5DB"/>
            <w:bottom w:val="single" w:sz="2" w:space="0" w:color="D1D5DB"/>
            <w:right w:val="single" w:sz="2" w:space="0" w:color="D1D5DB"/>
          </w:divBdr>
        </w:div>
        <w:div w:id="252592854">
          <w:blockQuote w:val="1"/>
          <w:marLeft w:val="720"/>
          <w:marRight w:val="720"/>
          <w:marTop w:val="100"/>
          <w:marBottom w:val="100"/>
          <w:divBdr>
            <w:top w:val="single" w:sz="2" w:space="0" w:color="D1D5DB"/>
            <w:left w:val="single" w:sz="24" w:space="0" w:color="D1D5DB"/>
            <w:bottom w:val="single" w:sz="2" w:space="0" w:color="D1D5DB"/>
            <w:right w:val="single" w:sz="2" w:space="0" w:color="D1D5DB"/>
          </w:divBdr>
        </w:div>
        <w:div w:id="699937436">
          <w:blockQuote w:val="1"/>
          <w:marLeft w:val="720"/>
          <w:marRight w:val="720"/>
          <w:marTop w:val="100"/>
          <w:marBottom w:val="100"/>
          <w:divBdr>
            <w:top w:val="single" w:sz="2" w:space="0" w:color="D1D5DB"/>
            <w:left w:val="single" w:sz="24" w:space="0" w:color="D1D5DB"/>
            <w:bottom w:val="single" w:sz="2" w:space="0" w:color="D1D5DB"/>
            <w:right w:val="single" w:sz="2" w:space="0" w:color="D1D5DB"/>
          </w:divBdr>
        </w:div>
        <w:div w:id="1575242176">
          <w:blockQuote w:val="1"/>
          <w:marLeft w:val="720"/>
          <w:marRight w:val="720"/>
          <w:marTop w:val="100"/>
          <w:marBottom w:val="100"/>
          <w:divBdr>
            <w:top w:val="single" w:sz="2" w:space="0" w:color="D1D5DB"/>
            <w:left w:val="single" w:sz="24" w:space="0" w:color="D1D5DB"/>
            <w:bottom w:val="single" w:sz="2" w:space="0" w:color="D1D5DB"/>
            <w:right w:val="single" w:sz="2" w:space="0" w:color="D1D5DB"/>
          </w:divBdr>
        </w:div>
        <w:div w:id="1097598296">
          <w:blockQuote w:val="1"/>
          <w:marLeft w:val="720"/>
          <w:marRight w:val="720"/>
          <w:marTop w:val="100"/>
          <w:marBottom w:val="100"/>
          <w:divBdr>
            <w:top w:val="single" w:sz="2" w:space="0" w:color="D1D5DB"/>
            <w:left w:val="single" w:sz="24" w:space="0" w:color="D1D5DB"/>
            <w:bottom w:val="single" w:sz="2" w:space="0" w:color="D1D5DB"/>
            <w:right w:val="single" w:sz="2" w:space="0" w:color="D1D5DB"/>
          </w:divBdr>
        </w:div>
        <w:div w:id="964625720">
          <w:blockQuote w:val="1"/>
          <w:marLeft w:val="720"/>
          <w:marRight w:val="720"/>
          <w:marTop w:val="100"/>
          <w:marBottom w:val="100"/>
          <w:divBdr>
            <w:top w:val="single" w:sz="2" w:space="0" w:color="D1D5DB"/>
            <w:left w:val="single" w:sz="24" w:space="0" w:color="D1D5DB"/>
            <w:bottom w:val="single" w:sz="2" w:space="0" w:color="D1D5DB"/>
            <w:right w:val="single" w:sz="2" w:space="0" w:color="D1D5DB"/>
          </w:divBdr>
        </w:div>
        <w:div w:id="1520200068">
          <w:blockQuote w:val="1"/>
          <w:marLeft w:val="720"/>
          <w:marRight w:val="720"/>
          <w:marTop w:val="100"/>
          <w:marBottom w:val="100"/>
          <w:divBdr>
            <w:top w:val="single" w:sz="2" w:space="0" w:color="D1D5DB"/>
            <w:left w:val="single" w:sz="24" w:space="0" w:color="D1D5DB"/>
            <w:bottom w:val="single" w:sz="2" w:space="0" w:color="D1D5DB"/>
            <w:right w:val="single" w:sz="2" w:space="0" w:color="D1D5DB"/>
          </w:divBdr>
        </w:div>
        <w:div w:id="144665329">
          <w:blockQuote w:val="1"/>
          <w:marLeft w:val="720"/>
          <w:marRight w:val="720"/>
          <w:marTop w:val="100"/>
          <w:marBottom w:val="100"/>
          <w:divBdr>
            <w:top w:val="single" w:sz="2" w:space="0" w:color="D1D5DB"/>
            <w:left w:val="single" w:sz="24" w:space="0" w:color="D1D5DB"/>
            <w:bottom w:val="single" w:sz="2" w:space="0" w:color="D1D5DB"/>
            <w:right w:val="single" w:sz="2" w:space="0" w:color="D1D5DB"/>
          </w:divBdr>
        </w:div>
        <w:div w:id="792286592">
          <w:blockQuote w:val="1"/>
          <w:marLeft w:val="720"/>
          <w:marRight w:val="720"/>
          <w:marTop w:val="100"/>
          <w:marBottom w:val="100"/>
          <w:divBdr>
            <w:top w:val="single" w:sz="2" w:space="0" w:color="D1D5DB"/>
            <w:left w:val="single" w:sz="24" w:space="0" w:color="D1D5DB"/>
            <w:bottom w:val="single" w:sz="2" w:space="0" w:color="D1D5DB"/>
            <w:right w:val="single" w:sz="2" w:space="0" w:color="D1D5DB"/>
          </w:divBdr>
        </w:div>
        <w:div w:id="1517577304">
          <w:blockQuote w:val="1"/>
          <w:marLeft w:val="720"/>
          <w:marRight w:val="720"/>
          <w:marTop w:val="100"/>
          <w:marBottom w:val="100"/>
          <w:divBdr>
            <w:top w:val="single" w:sz="2" w:space="0" w:color="D1D5DB"/>
            <w:left w:val="single" w:sz="24" w:space="0" w:color="D1D5DB"/>
            <w:bottom w:val="single" w:sz="2" w:space="0" w:color="D1D5DB"/>
            <w:right w:val="single" w:sz="2" w:space="0" w:color="D1D5DB"/>
          </w:divBdr>
        </w:div>
        <w:div w:id="1822113454">
          <w:blockQuote w:val="1"/>
          <w:marLeft w:val="720"/>
          <w:marRight w:val="720"/>
          <w:marTop w:val="100"/>
          <w:marBottom w:val="100"/>
          <w:divBdr>
            <w:top w:val="single" w:sz="2" w:space="0" w:color="D1D5DB"/>
            <w:left w:val="single" w:sz="24" w:space="0" w:color="D1D5DB"/>
            <w:bottom w:val="single" w:sz="2" w:space="0" w:color="D1D5DB"/>
            <w:right w:val="single" w:sz="2" w:space="0" w:color="D1D5DB"/>
          </w:divBdr>
        </w:div>
        <w:div w:id="519273785">
          <w:blockQuote w:val="1"/>
          <w:marLeft w:val="720"/>
          <w:marRight w:val="720"/>
          <w:marTop w:val="100"/>
          <w:marBottom w:val="100"/>
          <w:divBdr>
            <w:top w:val="single" w:sz="2" w:space="0" w:color="D1D5DB"/>
            <w:left w:val="single" w:sz="24" w:space="0" w:color="D1D5DB"/>
            <w:bottom w:val="single" w:sz="2" w:space="0" w:color="D1D5DB"/>
            <w:right w:val="single" w:sz="2" w:space="0" w:color="D1D5DB"/>
          </w:divBdr>
        </w:div>
        <w:div w:id="274023676">
          <w:blockQuote w:val="1"/>
          <w:marLeft w:val="720"/>
          <w:marRight w:val="720"/>
          <w:marTop w:val="100"/>
          <w:marBottom w:val="100"/>
          <w:divBdr>
            <w:top w:val="single" w:sz="2" w:space="0" w:color="D1D5DB"/>
            <w:left w:val="single" w:sz="24" w:space="0" w:color="D1D5DB"/>
            <w:bottom w:val="single" w:sz="2" w:space="0" w:color="D1D5DB"/>
            <w:right w:val="single" w:sz="2" w:space="0" w:color="D1D5DB"/>
          </w:divBdr>
        </w:div>
        <w:div w:id="206187445">
          <w:blockQuote w:val="1"/>
          <w:marLeft w:val="720"/>
          <w:marRight w:val="720"/>
          <w:marTop w:val="100"/>
          <w:marBottom w:val="100"/>
          <w:divBdr>
            <w:top w:val="single" w:sz="2" w:space="0" w:color="D1D5DB"/>
            <w:left w:val="single" w:sz="24" w:space="0" w:color="D1D5DB"/>
            <w:bottom w:val="single" w:sz="2" w:space="0" w:color="D1D5DB"/>
            <w:right w:val="single" w:sz="2" w:space="0" w:color="D1D5DB"/>
          </w:divBdr>
        </w:div>
        <w:div w:id="6378753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02334298">
              <w:marLeft w:val="0"/>
              <w:marRight w:val="0"/>
              <w:marTop w:val="0"/>
              <w:marBottom w:val="0"/>
              <w:divBdr>
                <w:top w:val="dashed" w:sz="2" w:space="0" w:color="E4EAF2"/>
                <w:left w:val="dashed" w:sz="2" w:space="0" w:color="E4EAF2"/>
                <w:bottom w:val="dashed" w:sz="6" w:space="0" w:color="E4EAF2"/>
                <w:right w:val="dashed" w:sz="2" w:space="0" w:color="E4EAF2"/>
              </w:divBdr>
              <w:divsChild>
                <w:div w:id="16810775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51564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6" w:space="0" w:color="E5E7EB"/>
                <w:bottom w:val="single" w:sz="6" w:space="0" w:color="E5E7EB"/>
                <w:right w:val="single" w:sz="6" w:space="0" w:color="E5E7EB"/>
              </w:divBdr>
              <w:divsChild>
                <w:div w:id="20590140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4073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03933">
          <w:blockQuote w:val="1"/>
          <w:marLeft w:val="720"/>
          <w:marRight w:val="720"/>
          <w:marTop w:val="100"/>
          <w:marBottom w:val="100"/>
          <w:divBdr>
            <w:top w:val="single" w:sz="2" w:space="0" w:color="D1D5DB"/>
            <w:left w:val="single" w:sz="24" w:space="0" w:color="D1D5DB"/>
            <w:bottom w:val="single" w:sz="2" w:space="0" w:color="D1D5DB"/>
            <w:right w:val="single" w:sz="2" w:space="0" w:color="D1D5DB"/>
          </w:divBdr>
        </w:div>
        <w:div w:id="13758851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96605129">
              <w:marLeft w:val="0"/>
              <w:marRight w:val="0"/>
              <w:marTop w:val="0"/>
              <w:marBottom w:val="0"/>
              <w:divBdr>
                <w:top w:val="dashed" w:sz="2" w:space="0" w:color="E4EAF2"/>
                <w:left w:val="dashed" w:sz="2" w:space="0" w:color="E4EAF2"/>
                <w:bottom w:val="dashed" w:sz="6" w:space="0" w:color="E4EAF2"/>
                <w:right w:val="dashed" w:sz="2" w:space="0" w:color="E4EAF2"/>
              </w:divBdr>
              <w:divsChild>
                <w:div w:id="18359924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6769550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6" w:space="0" w:color="E5E7EB"/>
                <w:bottom w:val="single" w:sz="6" w:space="0" w:color="E5E7EB"/>
                <w:right w:val="single" w:sz="6" w:space="0" w:color="E5E7EB"/>
              </w:divBdr>
              <w:divsChild>
                <w:div w:id="12142687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038844866">
          <w:blockQuote w:val="1"/>
          <w:marLeft w:val="720"/>
          <w:marRight w:val="720"/>
          <w:marTop w:val="100"/>
          <w:marBottom w:val="100"/>
          <w:divBdr>
            <w:top w:val="single" w:sz="2" w:space="0" w:color="D1D5DB"/>
            <w:left w:val="single" w:sz="24" w:space="0" w:color="D1D5DB"/>
            <w:bottom w:val="single" w:sz="2" w:space="0" w:color="D1D5DB"/>
            <w:right w:val="single" w:sz="2" w:space="0" w:color="D1D5DB"/>
          </w:divBdr>
        </w:div>
        <w:div w:id="453669361">
          <w:blockQuote w:val="1"/>
          <w:marLeft w:val="720"/>
          <w:marRight w:val="720"/>
          <w:marTop w:val="100"/>
          <w:marBottom w:val="100"/>
          <w:divBdr>
            <w:top w:val="single" w:sz="2" w:space="0" w:color="D1D5DB"/>
            <w:left w:val="single" w:sz="24" w:space="0" w:color="D1D5DB"/>
            <w:bottom w:val="single" w:sz="2" w:space="0" w:color="D1D5DB"/>
            <w:right w:val="single" w:sz="2" w:space="0" w:color="D1D5DB"/>
          </w:divBdr>
        </w:div>
        <w:div w:id="1129006466">
          <w:blockQuote w:val="1"/>
          <w:marLeft w:val="720"/>
          <w:marRight w:val="720"/>
          <w:marTop w:val="100"/>
          <w:marBottom w:val="100"/>
          <w:divBdr>
            <w:top w:val="single" w:sz="2" w:space="0" w:color="D1D5DB"/>
            <w:left w:val="single" w:sz="24" w:space="0" w:color="D1D5DB"/>
            <w:bottom w:val="single" w:sz="2" w:space="0" w:color="D1D5DB"/>
            <w:right w:val="single" w:sz="2" w:space="0" w:color="D1D5DB"/>
          </w:divBdr>
        </w:div>
        <w:div w:id="1390303367">
          <w:blockQuote w:val="1"/>
          <w:marLeft w:val="720"/>
          <w:marRight w:val="720"/>
          <w:marTop w:val="100"/>
          <w:marBottom w:val="100"/>
          <w:divBdr>
            <w:top w:val="single" w:sz="2" w:space="0" w:color="D1D5DB"/>
            <w:left w:val="single" w:sz="24" w:space="0" w:color="D1D5DB"/>
            <w:bottom w:val="single" w:sz="2" w:space="0" w:color="D1D5DB"/>
            <w:right w:val="single" w:sz="2" w:space="0" w:color="D1D5DB"/>
          </w:divBdr>
        </w:div>
        <w:div w:id="1125999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79533433">
              <w:marLeft w:val="0"/>
              <w:marRight w:val="0"/>
              <w:marTop w:val="0"/>
              <w:marBottom w:val="0"/>
              <w:divBdr>
                <w:top w:val="dashed" w:sz="2" w:space="0" w:color="E4EAF2"/>
                <w:left w:val="dashed" w:sz="2" w:space="0" w:color="E4EAF2"/>
                <w:bottom w:val="dashed" w:sz="6" w:space="0" w:color="E4EAF2"/>
                <w:right w:val="dashed" w:sz="2" w:space="0" w:color="E4EAF2"/>
              </w:divBdr>
              <w:divsChild>
                <w:div w:id="7783312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051220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6" w:space="0" w:color="E5E7EB"/>
                <w:bottom w:val="single" w:sz="6" w:space="0" w:color="E5E7EB"/>
                <w:right w:val="single" w:sz="6" w:space="0" w:color="E5E7EB"/>
              </w:divBdr>
              <w:divsChild>
                <w:div w:id="4145213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926158020">
          <w:blockQuote w:val="1"/>
          <w:marLeft w:val="720"/>
          <w:marRight w:val="720"/>
          <w:marTop w:val="100"/>
          <w:marBottom w:val="100"/>
          <w:divBdr>
            <w:top w:val="single" w:sz="2" w:space="0" w:color="D1D5DB"/>
            <w:left w:val="single" w:sz="24" w:space="0" w:color="D1D5DB"/>
            <w:bottom w:val="single" w:sz="2" w:space="0" w:color="D1D5DB"/>
            <w:right w:val="single" w:sz="2" w:space="0" w:color="D1D5DB"/>
          </w:divBdr>
        </w:div>
      </w:divsChild>
    </w:div>
    <w:div w:id="209107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79692">
          <w:blockQuote w:val="1"/>
          <w:marLeft w:val="720"/>
          <w:marRight w:val="720"/>
          <w:marTop w:val="100"/>
          <w:marBottom w:val="100"/>
          <w:divBdr>
            <w:top w:val="single" w:sz="2" w:space="0" w:color="D1D5DB"/>
            <w:left w:val="single" w:sz="24" w:space="0" w:color="D1D5DB"/>
            <w:bottom w:val="single" w:sz="2" w:space="0" w:color="D1D5DB"/>
            <w:right w:val="single" w:sz="2" w:space="0" w:color="D1D5DB"/>
          </w:divBdr>
        </w:div>
        <w:div w:id="13744998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40944016">
              <w:marLeft w:val="0"/>
              <w:marRight w:val="0"/>
              <w:marTop w:val="0"/>
              <w:marBottom w:val="0"/>
              <w:divBdr>
                <w:top w:val="dashed" w:sz="2" w:space="0" w:color="E4EAF2"/>
                <w:left w:val="dashed" w:sz="2" w:space="0" w:color="E4EAF2"/>
                <w:bottom w:val="dashed" w:sz="6" w:space="0" w:color="E4EAF2"/>
                <w:right w:val="dashed" w:sz="2" w:space="0" w:color="E4EAF2"/>
              </w:divBdr>
              <w:divsChild>
                <w:div w:id="1130647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400012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6" w:space="0" w:color="E5E7EB"/>
                <w:bottom w:val="single" w:sz="6" w:space="0" w:color="E5E7EB"/>
                <w:right w:val="single" w:sz="6" w:space="0" w:color="E5E7EB"/>
              </w:divBdr>
              <w:divsChild>
                <w:div w:id="18018757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645353669">
          <w:blockQuote w:val="1"/>
          <w:marLeft w:val="720"/>
          <w:marRight w:val="720"/>
          <w:marTop w:val="100"/>
          <w:marBottom w:val="100"/>
          <w:divBdr>
            <w:top w:val="single" w:sz="2" w:space="0" w:color="D1D5DB"/>
            <w:left w:val="single" w:sz="24" w:space="0" w:color="D1D5DB"/>
            <w:bottom w:val="single" w:sz="2" w:space="0" w:color="D1D5DB"/>
            <w:right w:val="single" w:sz="2" w:space="0" w:color="D1D5DB"/>
          </w:divBdr>
        </w:div>
        <w:div w:id="560093920">
          <w:blockQuote w:val="1"/>
          <w:marLeft w:val="720"/>
          <w:marRight w:val="720"/>
          <w:marTop w:val="100"/>
          <w:marBottom w:val="100"/>
          <w:divBdr>
            <w:top w:val="single" w:sz="2" w:space="0" w:color="D1D5DB"/>
            <w:left w:val="single" w:sz="24" w:space="0" w:color="D1D5DB"/>
            <w:bottom w:val="single" w:sz="2" w:space="0" w:color="D1D5DB"/>
            <w:right w:val="single" w:sz="2" w:space="0" w:color="D1D5DB"/>
          </w:divBdr>
        </w:div>
        <w:div w:id="1492984819">
          <w:blockQuote w:val="1"/>
          <w:marLeft w:val="720"/>
          <w:marRight w:val="720"/>
          <w:marTop w:val="100"/>
          <w:marBottom w:val="100"/>
          <w:divBdr>
            <w:top w:val="single" w:sz="2" w:space="0" w:color="D1D5DB"/>
            <w:left w:val="single" w:sz="24" w:space="0" w:color="D1D5DB"/>
            <w:bottom w:val="single" w:sz="2" w:space="0" w:color="D1D5DB"/>
            <w:right w:val="single" w:sz="2" w:space="0" w:color="D1D5DB"/>
          </w:divBdr>
        </w:div>
        <w:div w:id="2110465766">
          <w:blockQuote w:val="1"/>
          <w:marLeft w:val="720"/>
          <w:marRight w:val="720"/>
          <w:marTop w:val="100"/>
          <w:marBottom w:val="100"/>
          <w:divBdr>
            <w:top w:val="single" w:sz="2" w:space="0" w:color="D1D5DB"/>
            <w:left w:val="single" w:sz="24" w:space="0" w:color="D1D5DB"/>
            <w:bottom w:val="single" w:sz="2" w:space="0" w:color="D1D5DB"/>
            <w:right w:val="single" w:sz="2" w:space="0" w:color="D1D5DB"/>
          </w:divBdr>
        </w:div>
        <w:div w:id="13643580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96859837">
              <w:marLeft w:val="0"/>
              <w:marRight w:val="0"/>
              <w:marTop w:val="0"/>
              <w:marBottom w:val="0"/>
              <w:divBdr>
                <w:top w:val="dashed" w:sz="2" w:space="0" w:color="E4EAF2"/>
                <w:left w:val="dashed" w:sz="2" w:space="0" w:color="E4EAF2"/>
                <w:bottom w:val="dashed" w:sz="6" w:space="0" w:color="E4EAF2"/>
                <w:right w:val="dashed" w:sz="2" w:space="0" w:color="E4EAF2"/>
              </w:divBdr>
              <w:divsChild>
                <w:div w:id="8464079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0871189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6" w:space="0" w:color="E5E7EB"/>
                <w:bottom w:val="single" w:sz="6" w:space="0" w:color="E5E7EB"/>
                <w:right w:val="single" w:sz="6" w:space="0" w:color="E5E7EB"/>
              </w:divBdr>
              <w:divsChild>
                <w:div w:id="13265168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974296">
          <w:blockQuote w:val="1"/>
          <w:marLeft w:val="720"/>
          <w:marRight w:val="720"/>
          <w:marTop w:val="100"/>
          <w:marBottom w:val="100"/>
          <w:divBdr>
            <w:top w:val="single" w:sz="2" w:space="0" w:color="D1D5DB"/>
            <w:left w:val="single" w:sz="24" w:space="0" w:color="D1D5DB"/>
            <w:bottom w:val="single" w:sz="2" w:space="0" w:color="D1D5DB"/>
            <w:right w:val="single" w:sz="2" w:space="0" w:color="D1D5D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13</Pages>
  <Words>4504</Words>
  <Characters>25674</Characters>
  <Application>Microsoft Office Word</Application>
  <DocSecurity>0</DocSecurity>
  <Lines>213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clinicalrythm</dc:creator>
  <cp:keywords/>
  <dc:description/>
  <cp:lastModifiedBy>clinicalrythm</cp:lastModifiedBy>
  <cp:revision>2</cp:revision>
  <dcterms:created xsi:type="dcterms:W3CDTF">2026-06-17T12:35:00Z</dcterms:created>
  <dcterms:modified xsi:type="dcterms:W3CDTF">2026-06-27T05:03:00Z</dcterms:modified>
</cp:coreProperties>
</file>