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Pr="00513A83" w:rsidRDefault="00000000" w:rsidP="00513A83">
      <w:pPr>
        <w:pStyle w:val="Heading3"/>
        <w:jc w:val="center"/>
        <w:divId w:val="1452745915"/>
        <w:rPr>
          <w:rFonts w:ascii="Calibri" w:hAnsi="Calibri" w:cs="Calibri"/>
          <w:color w:val="0070C0"/>
          <w:sz w:val="22"/>
          <w:szCs w:val="22"/>
          <w:lang w:val="en-US"/>
        </w:rPr>
      </w:pPr>
      <w:r w:rsidRPr="00513A83">
        <w:rPr>
          <w:rFonts w:ascii="Calibri" w:hAnsi="Calibri" w:cs="Calibri"/>
          <w:color w:val="0070C0"/>
          <w:sz w:val="22"/>
          <w:szCs w:val="22"/>
          <w:lang w:val="en-US"/>
        </w:rPr>
        <w:t>History Taking</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A high-yield hepatitis history is a </w:t>
      </w:r>
      <w:r w:rsidRPr="00513A83">
        <w:rPr>
          <w:rStyle w:val="Strong"/>
          <w:rFonts w:ascii="Calibri" w:hAnsi="Calibri" w:cs="Calibri"/>
          <w:color w:val="111111"/>
          <w:sz w:val="22"/>
          <w:szCs w:val="22"/>
        </w:rPr>
        <w:t>timeline-based exposure inventory</w:t>
      </w:r>
      <w:r w:rsidRPr="00513A83">
        <w:rPr>
          <w:rFonts w:ascii="Calibri" w:hAnsi="Calibri" w:cs="Calibri"/>
          <w:color w:val="111111"/>
          <w:sz w:val="22"/>
          <w:szCs w:val="22"/>
        </w:rPr>
        <w:t xml:space="preserve"> that distinguishes </w:t>
      </w:r>
      <w:r w:rsidRPr="00513A83">
        <w:rPr>
          <w:rStyle w:val="Strong"/>
          <w:rFonts w:ascii="Calibri" w:hAnsi="Calibri" w:cs="Calibri"/>
          <w:color w:val="111111"/>
          <w:sz w:val="22"/>
          <w:szCs w:val="22"/>
        </w:rPr>
        <w:t>hepatocellular vs cholestatic vs mixed injury</w:t>
      </w:r>
      <w:r w:rsidRPr="00513A83">
        <w:rPr>
          <w:rFonts w:ascii="Calibri" w:hAnsi="Calibri" w:cs="Calibri"/>
          <w:color w:val="111111"/>
          <w:sz w:val="22"/>
          <w:szCs w:val="22"/>
        </w:rPr>
        <w:t xml:space="preserve"> and then targets the major mechanistic buckets—</w:t>
      </w:r>
      <w:r w:rsidRPr="00513A83">
        <w:rPr>
          <w:rStyle w:val="Strong"/>
          <w:rFonts w:ascii="Calibri" w:hAnsi="Calibri" w:cs="Calibri"/>
          <w:color w:val="111111"/>
          <w:sz w:val="22"/>
          <w:szCs w:val="22"/>
        </w:rPr>
        <w:t>viral cytopathic/immune-mediated injury, toxin/metabolite injury (alcohol/drugs), immune dysregulation (AIH), metabolic lipotoxicity (MASLD/MASH), vascular/ischemic hypoxia, and inherited metabolic toxicity (Wilson/iron/A1AT)</w:t>
      </w:r>
      <w:r w:rsidRPr="00513A83">
        <w:rPr>
          <w:rFonts w:ascii="Calibri" w:hAnsi="Calibri" w:cs="Calibri"/>
          <w:color w:val="111111"/>
          <w:sz w:val="22"/>
          <w:szCs w:val="22"/>
        </w:rPr>
        <w:t>—because each mechanism maps to specific exposures, latency, and symptom clusters. [2] [1] [10]</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Obtain a thorough clinical history in all patients with hepatitis/abnormal liver tests including symptoms (jaundice, abdominal pain, weight loss, pruritus), country of birth/ethnicity (HBV/HCV risk), comorbidities (metabolic syndrome/IBD/autoimmune disease), complete drug/supplement and illicit drug history, alcohol history (quantified; consider AUDIT</w:t>
      </w:r>
      <w:r w:rsidRPr="00513A83">
        <w:rPr>
          <w:rFonts w:ascii="Calibri" w:hAnsi="Calibri" w:cs="Calibri"/>
          <w:color w:val="111111"/>
          <w:sz w:val="22"/>
          <w:szCs w:val="22"/>
        </w:rPr>
        <w:noBreakHyphen/>
        <w:t>C), travel/food exposures, occupational exposures, and family history of liver/genetic disease. [2]</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1) First: severity screen (because it changes urgency)</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History items that imply acute liver failure/need urgent transfer:</w:t>
      </w:r>
    </w:p>
    <w:p w:rsidR="00000000" w:rsidRPr="00513A83" w:rsidRDefault="00000000">
      <w:pPr>
        <w:numPr>
          <w:ilvl w:val="0"/>
          <w:numId w:val="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Altered mental status, sleep–wake reversal, asterixis symptoms</w:t>
      </w:r>
      <w:r w:rsidRPr="00513A83">
        <w:rPr>
          <w:rFonts w:ascii="Calibri" w:eastAsia="Times New Roman" w:hAnsi="Calibri" w:cs="Calibri"/>
          <w:color w:val="111111"/>
          <w:sz w:val="22"/>
          <w:szCs w:val="22"/>
        </w:rPr>
        <w:t xml:space="preserve"> → encephalopathy risk from hepatic detox failure (ammonia/neurotoxins).</w:t>
      </w:r>
    </w:p>
    <w:p w:rsidR="00000000" w:rsidRPr="00513A83" w:rsidRDefault="00000000">
      <w:pPr>
        <w:numPr>
          <w:ilvl w:val="0"/>
          <w:numId w:val="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Bleeding/bruising, hematemesis/melena</w:t>
      </w:r>
      <w:r w:rsidRPr="00513A83">
        <w:rPr>
          <w:rFonts w:ascii="Calibri" w:eastAsia="Times New Roman" w:hAnsi="Calibri" w:cs="Calibri"/>
          <w:color w:val="111111"/>
          <w:sz w:val="22"/>
          <w:szCs w:val="22"/>
        </w:rPr>
        <w:t xml:space="preserve"> → impaired hepatic clotting factor synthesis/portal HTN complications.</w:t>
      </w:r>
    </w:p>
    <w:p w:rsidR="00000000" w:rsidRPr="00513A83" w:rsidRDefault="00000000">
      <w:pPr>
        <w:numPr>
          <w:ilvl w:val="0"/>
          <w:numId w:val="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Rapidly progressive jaundice</w:t>
      </w:r>
      <w:r w:rsidRPr="00513A83">
        <w:rPr>
          <w:rFonts w:ascii="Calibri" w:eastAsia="Times New Roman" w:hAnsi="Calibri" w:cs="Calibri"/>
          <w:color w:val="111111"/>
          <w:sz w:val="22"/>
          <w:szCs w:val="22"/>
        </w:rPr>
        <w:t>, profound anorexia/vomiting, inability to maintain PO.</w:t>
      </w:r>
    </w:p>
    <w:p w:rsidR="00000000" w:rsidRPr="00513A83" w:rsidRDefault="00000000">
      <w:pPr>
        <w:numPr>
          <w:ilvl w:val="0"/>
          <w:numId w:val="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Shock/hypotension</w:t>
      </w:r>
      <w:r w:rsidRPr="00513A83">
        <w:rPr>
          <w:rFonts w:ascii="Calibri" w:eastAsia="Times New Roman" w:hAnsi="Calibri" w:cs="Calibri"/>
          <w:color w:val="111111"/>
          <w:sz w:val="22"/>
          <w:szCs w:val="22"/>
        </w:rPr>
        <w:t xml:space="preserve"> preceding AST/ALT rise → ischemic hepatitis mechanism (centrilobular hypoxic necrosis) often with AST &gt;1,000 pattern noted in guidelines. [1] [2]</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 Characterize the syndrome: symptom pattern → injury pattern → likely mechanism</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 Time course (anchors the differential)</w:t>
      </w:r>
    </w:p>
    <w:p w:rsidR="00000000" w:rsidRPr="00513A83" w:rsidRDefault="00000000">
      <w:pPr>
        <w:numPr>
          <w:ilvl w:val="0"/>
          <w:numId w:val="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Hyperacute (hours–days):</w:t>
      </w:r>
      <w:r w:rsidRPr="00513A83">
        <w:rPr>
          <w:rFonts w:ascii="Calibri" w:eastAsia="Times New Roman" w:hAnsi="Calibri" w:cs="Calibri"/>
          <w:color w:val="111111"/>
          <w:sz w:val="22"/>
          <w:szCs w:val="22"/>
        </w:rPr>
        <w:t xml:space="preserve"> acetaminophen/toxins, ischemia, HSV (esp immunocompromised/pregnancy).</w:t>
      </w:r>
    </w:p>
    <w:p w:rsidR="00000000" w:rsidRPr="00513A83" w:rsidRDefault="00000000">
      <w:pPr>
        <w:numPr>
          <w:ilvl w:val="0"/>
          <w:numId w:val="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Acute (days–weeks):</w:t>
      </w:r>
      <w:r w:rsidRPr="00513A83">
        <w:rPr>
          <w:rFonts w:ascii="Calibri" w:eastAsia="Times New Roman" w:hAnsi="Calibri" w:cs="Calibri"/>
          <w:color w:val="111111"/>
          <w:sz w:val="22"/>
          <w:szCs w:val="22"/>
        </w:rPr>
        <w:t xml:space="preserve"> HAV/HEV, acute HBV, acute HCV (often mild), DILI.</w:t>
      </w:r>
    </w:p>
    <w:p w:rsidR="00000000" w:rsidRPr="00513A83" w:rsidRDefault="00000000">
      <w:pPr>
        <w:numPr>
          <w:ilvl w:val="0"/>
          <w:numId w:val="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Subacute–chronic (months–years):</w:t>
      </w:r>
      <w:r w:rsidRPr="00513A83">
        <w:rPr>
          <w:rFonts w:ascii="Calibri" w:eastAsia="Times New Roman" w:hAnsi="Calibri" w:cs="Calibri"/>
          <w:color w:val="111111"/>
          <w:sz w:val="22"/>
          <w:szCs w:val="22"/>
        </w:rPr>
        <w:t xml:space="preserve"> chronic HBV/HCV, MASLD/MASH, alcohol-related liver disease, AIH, hereditary disorders. (Use the timeline to match </w:t>
      </w:r>
      <w:r w:rsidRPr="00513A83">
        <w:rPr>
          <w:rStyle w:val="Emphasis"/>
          <w:rFonts w:ascii="Calibri" w:eastAsia="Times New Roman" w:hAnsi="Calibri" w:cs="Calibri"/>
          <w:color w:val="111111"/>
          <w:sz w:val="22"/>
          <w:szCs w:val="22"/>
        </w:rPr>
        <w:t>exposure latency</w:t>
      </w:r>
      <w:r w:rsidRPr="00513A83">
        <w:rPr>
          <w:rFonts w:ascii="Calibri" w:eastAsia="Times New Roman" w:hAnsi="Calibri" w:cs="Calibri"/>
          <w:color w:val="111111"/>
          <w:sz w:val="22"/>
          <w:szCs w:val="22"/>
        </w:rPr>
        <w:t>—critical for DILI/HILI and alcohol.) [10] [11]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B. “Hepatocellular” symptom cluster (often ALT-predominant)</w:t>
      </w:r>
    </w:p>
    <w:p w:rsidR="00000000" w:rsidRPr="00513A83" w:rsidRDefault="00000000">
      <w:pPr>
        <w:numPr>
          <w:ilvl w:val="0"/>
          <w:numId w:val="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Viral prodrome (malaise, low-grade fever), RUQ discomfort, dark urine, jaundice.</w:t>
      </w:r>
    </w:p>
    <w:p w:rsidR="00000000" w:rsidRPr="00513A83" w:rsidRDefault="00000000">
      <w:pPr>
        <w:numPr>
          <w:ilvl w:val="0"/>
          <w:numId w:val="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Myalgias/arthralgias</w:t>
      </w:r>
      <w:r w:rsidRPr="00513A83">
        <w:rPr>
          <w:rFonts w:ascii="Calibri" w:eastAsia="Times New Roman" w:hAnsi="Calibri" w:cs="Calibri"/>
          <w:color w:val="111111"/>
          <w:sz w:val="22"/>
          <w:szCs w:val="22"/>
        </w:rPr>
        <w:t xml:space="preserve"> can accompany HBV immune-complex phenomena.</w:t>
      </w:r>
    </w:p>
    <w:p w:rsidR="00000000" w:rsidRPr="00513A83" w:rsidRDefault="00000000">
      <w:pPr>
        <w:numPr>
          <w:ilvl w:val="0"/>
          <w:numId w:val="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Very high aminotransferases</w:t>
      </w:r>
      <w:r w:rsidRPr="00513A83">
        <w:rPr>
          <w:rFonts w:ascii="Calibri" w:eastAsia="Times New Roman" w:hAnsi="Calibri" w:cs="Calibri"/>
          <w:color w:val="111111"/>
          <w:sz w:val="22"/>
          <w:szCs w:val="22"/>
        </w:rPr>
        <w:t>: ask specifically about hypotension (ischemia) and acetaminophen (toxin). [1] [10]</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 “Cholestatic” symptom cluster (often ALP/bilirubin-predominant)</w:t>
      </w:r>
    </w:p>
    <w:p w:rsidR="00000000" w:rsidRPr="00513A83" w:rsidRDefault="00000000">
      <w:pPr>
        <w:numPr>
          <w:ilvl w:val="0"/>
          <w:numId w:val="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Pruritus, pale stools, dark urine</w:t>
      </w:r>
      <w:r w:rsidRPr="00513A83">
        <w:rPr>
          <w:rFonts w:ascii="Calibri" w:eastAsia="Times New Roman" w:hAnsi="Calibri" w:cs="Calibri"/>
          <w:color w:val="111111"/>
          <w:sz w:val="22"/>
          <w:szCs w:val="22"/>
        </w:rPr>
        <w:t xml:space="preserve"> (conjugated bilirubin), RUQ pain/colic, rigors (cholangitis).</w:t>
      </w:r>
    </w:p>
    <w:p w:rsidR="00000000" w:rsidRPr="00513A83" w:rsidRDefault="00000000">
      <w:pPr>
        <w:numPr>
          <w:ilvl w:val="0"/>
          <w:numId w:val="4"/>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If cholestasis + autoimmune background/IBD → consider PSC (no serologic marker; history is key). [2]</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3) Exposure history (core of hepatitis work-up): do it as a </w:t>
      </w:r>
      <w:r w:rsidRPr="00513A83">
        <w:rPr>
          <w:rStyle w:val="Strong"/>
          <w:rFonts w:ascii="Calibri" w:eastAsia="Times New Roman" w:hAnsi="Calibri" w:cs="Calibri"/>
          <w:b/>
          <w:bCs/>
          <w:color w:val="111111"/>
          <w:sz w:val="22"/>
          <w:szCs w:val="22"/>
        </w:rPr>
        <w:t>chronologic ledger</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lastRenderedPageBreak/>
        <w:t xml:space="preserve">Build a dated list for the </w:t>
      </w:r>
      <w:r w:rsidRPr="00513A83">
        <w:rPr>
          <w:rStyle w:val="Strong"/>
          <w:rFonts w:ascii="Calibri" w:hAnsi="Calibri" w:cs="Calibri"/>
          <w:color w:val="111111"/>
          <w:sz w:val="22"/>
          <w:szCs w:val="22"/>
        </w:rPr>
        <w:t>past 6 months</w:t>
      </w:r>
      <w:r w:rsidRPr="00513A83">
        <w:rPr>
          <w:rFonts w:ascii="Calibri" w:hAnsi="Calibri" w:cs="Calibri"/>
          <w:color w:val="111111"/>
          <w:sz w:val="22"/>
          <w:szCs w:val="22"/>
        </w:rPr>
        <w:t xml:space="preserve"> (minimum), and longer if chronic disease suspected:</w:t>
      </w:r>
    </w:p>
    <w:p w:rsidR="00000000" w:rsidRPr="00513A83" w:rsidRDefault="00000000">
      <w:pPr>
        <w:numPr>
          <w:ilvl w:val="0"/>
          <w:numId w:val="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New symptoms date; first abnormal LFT date.</w:t>
      </w:r>
    </w:p>
    <w:p w:rsidR="00000000" w:rsidRPr="00513A83" w:rsidRDefault="00000000">
      <w:pPr>
        <w:numPr>
          <w:ilvl w:val="0"/>
          <w:numId w:val="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All meds/supplements start/stop/dose changes.</w:t>
      </w:r>
    </w:p>
    <w:p w:rsidR="00000000" w:rsidRPr="00513A83" w:rsidRDefault="00000000">
      <w:pPr>
        <w:numPr>
          <w:ilvl w:val="0"/>
          <w:numId w:val="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Alcohol quantity changes/binges.</w:t>
      </w:r>
    </w:p>
    <w:p w:rsidR="00000000" w:rsidRPr="00513A83" w:rsidRDefault="00000000">
      <w:pPr>
        <w:numPr>
          <w:ilvl w:val="0"/>
          <w:numId w:val="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Travel/food events.</w:t>
      </w:r>
    </w:p>
    <w:p w:rsidR="00000000" w:rsidRPr="00513A83" w:rsidRDefault="00000000">
      <w:pPr>
        <w:numPr>
          <w:ilvl w:val="0"/>
          <w:numId w:val="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Sexual/needle/healthcare exposures.</w:t>
      </w:r>
    </w:p>
    <w:p w:rsidR="00000000" w:rsidRPr="00513A83" w:rsidRDefault="00000000">
      <w:pPr>
        <w:numPr>
          <w:ilvl w:val="0"/>
          <w:numId w:val="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Occupational/chemical exposures. This structure is specifically emphasized for abnormal LFT pathways and DILI guidance. [2] [10] [11]</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4) Etiology-focused history with </w:t>
      </w:r>
      <w:r w:rsidRPr="00513A83">
        <w:rPr>
          <w:rStyle w:val="Emphasis"/>
          <w:rFonts w:ascii="Calibri" w:eastAsia="Times New Roman" w:hAnsi="Calibri" w:cs="Calibri"/>
          <w:color w:val="111111"/>
          <w:sz w:val="22"/>
          <w:szCs w:val="22"/>
        </w:rPr>
        <w:t>pathobiology links</w:t>
      </w:r>
      <w:r w:rsidRPr="00513A83">
        <w:rPr>
          <w:rFonts w:ascii="Calibri" w:eastAsia="Times New Roman" w:hAnsi="Calibri" w:cs="Calibri"/>
          <w:color w:val="111111"/>
          <w:sz w:val="22"/>
          <w:szCs w:val="22"/>
        </w:rPr>
        <w:t xml:space="preserve"> (what to ask and why)</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4.1 Viral hepatitis (hepatotropic) — mechanism: hepatocyte infection + </w:t>
      </w:r>
      <w:r w:rsidRPr="00513A83">
        <w:rPr>
          <w:rStyle w:val="Strong"/>
          <w:rFonts w:ascii="Calibri" w:eastAsia="Times New Roman" w:hAnsi="Calibri" w:cs="Calibri"/>
          <w:b/>
          <w:bCs/>
          <w:color w:val="111111"/>
          <w:sz w:val="22"/>
          <w:szCs w:val="22"/>
        </w:rPr>
        <w:t>immune-mediated cytotoxicity</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HAV / HEV (fecal–oral)</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Recent </w:t>
      </w:r>
      <w:r w:rsidRPr="00513A83">
        <w:rPr>
          <w:rStyle w:val="Strong"/>
          <w:rFonts w:ascii="Calibri" w:eastAsia="Times New Roman" w:hAnsi="Calibri" w:cs="Calibri"/>
          <w:color w:val="111111"/>
          <w:sz w:val="22"/>
          <w:szCs w:val="22"/>
        </w:rPr>
        <w:t>travel</w:t>
      </w:r>
      <w:r w:rsidRPr="00513A83">
        <w:rPr>
          <w:rFonts w:ascii="Calibri" w:eastAsia="Times New Roman" w:hAnsi="Calibri" w:cs="Calibri"/>
          <w:color w:val="111111"/>
          <w:sz w:val="22"/>
          <w:szCs w:val="22"/>
        </w:rPr>
        <w:t xml:space="preserve">, outbreaks, daycare/institutional contacts, </w:t>
      </w:r>
      <w:r w:rsidRPr="00513A83">
        <w:rPr>
          <w:rStyle w:val="Strong"/>
          <w:rFonts w:ascii="Calibri" w:eastAsia="Times New Roman" w:hAnsi="Calibri" w:cs="Calibri"/>
          <w:color w:val="111111"/>
          <w:sz w:val="22"/>
          <w:szCs w:val="22"/>
        </w:rPr>
        <w:t>shellfish/undercooked meats</w:t>
      </w:r>
      <w:r w:rsidRPr="00513A83">
        <w:rPr>
          <w:rFonts w:ascii="Calibri" w:eastAsia="Times New Roman" w:hAnsi="Calibri" w:cs="Calibri"/>
          <w:color w:val="111111"/>
          <w:sz w:val="22"/>
          <w:szCs w:val="22"/>
        </w:rPr>
        <w:t xml:space="preserve"> (esp pork/game for HEV), contaminated water, new restaurants. [2] [11]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Enteric transmission → abrupt immune response with symptomatic acute hepatitis; HEV can be severe in pregnancy/immunosuppression (history changes risk stratification). (General mechanism supported in viral overview source.) [7]</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HBV / HDV — mechanism: persistent hepatocyte infection (cccDNA) + immune injury; HDV requires HBV and increases severity</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Country of birth/childhood</w:t>
      </w:r>
      <w:r w:rsidRPr="00513A83">
        <w:rPr>
          <w:rFonts w:ascii="Calibri" w:eastAsia="Times New Roman" w:hAnsi="Calibri" w:cs="Calibri"/>
          <w:color w:val="111111"/>
          <w:sz w:val="22"/>
          <w:szCs w:val="22"/>
        </w:rPr>
        <w:t xml:space="preserve"> in intermediate/high prevalence regions; household contact; perinatal exposure.</w:t>
      </w:r>
    </w:p>
    <w:p w:rsidR="00000000" w:rsidRPr="00513A83" w:rsidRDefault="00000000">
      <w:pPr>
        <w:numPr>
          <w:ilvl w:val="0"/>
          <w:numId w:val="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Sexual risk: multiple partners, MSM, STIs.</w:t>
      </w:r>
    </w:p>
    <w:p w:rsidR="00000000" w:rsidRPr="00513A83" w:rsidRDefault="00000000">
      <w:pPr>
        <w:numPr>
          <w:ilvl w:val="0"/>
          <w:numId w:val="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Parenteral: injection drug use, tattoos/piercings, dialysis, transfusions/medical/dental procedures in high-risk settings.</w:t>
      </w:r>
    </w:p>
    <w:p w:rsidR="00000000" w:rsidRPr="00513A83" w:rsidRDefault="00000000">
      <w:pPr>
        <w:numPr>
          <w:ilvl w:val="0"/>
          <w:numId w:val="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Immunosuppression/chemo</w:t>
      </w:r>
      <w:r w:rsidRPr="00513A83">
        <w:rPr>
          <w:rFonts w:ascii="Calibri" w:eastAsia="Times New Roman" w:hAnsi="Calibri" w:cs="Calibri"/>
          <w:color w:val="111111"/>
          <w:sz w:val="22"/>
          <w:szCs w:val="22"/>
        </w:rPr>
        <w:t xml:space="preserve"> (reactivation risk). [6] [7]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HBV persistence via </w:t>
      </w:r>
      <w:r w:rsidRPr="00513A83">
        <w:rPr>
          <w:rStyle w:val="Strong"/>
          <w:rFonts w:ascii="Calibri" w:eastAsia="Times New Roman" w:hAnsi="Calibri" w:cs="Calibri"/>
          <w:color w:val="111111"/>
          <w:sz w:val="22"/>
          <w:szCs w:val="22"/>
        </w:rPr>
        <w:t>cccDNA</w:t>
      </w:r>
      <w:r w:rsidRPr="00513A83">
        <w:rPr>
          <w:rFonts w:ascii="Calibri" w:eastAsia="Times New Roman" w:hAnsi="Calibri" w:cs="Calibri"/>
          <w:color w:val="111111"/>
          <w:sz w:val="22"/>
          <w:szCs w:val="22"/>
        </w:rPr>
        <w:t xml:space="preserve"> explains chronicity and reactivation under immunosuppression; HDV coinfection/superinfection accelerates inflammatory injury and fibrosis. [7] </w:t>
      </w:r>
      <w:r w:rsidRPr="00513A83">
        <w:rPr>
          <w:rStyle w:val="Strong"/>
          <w:rFonts w:ascii="Calibri" w:eastAsia="Times New Roman" w:hAnsi="Calibri" w:cs="Calibri"/>
          <w:color w:val="111111"/>
          <w:sz w:val="22"/>
          <w:szCs w:val="22"/>
        </w:rPr>
        <w:t>Also ask (prognosis-oriented)</w:t>
      </w:r>
    </w:p>
    <w:p w:rsidR="00000000" w:rsidRPr="00513A83" w:rsidRDefault="00000000">
      <w:pPr>
        <w:numPr>
          <w:ilvl w:val="0"/>
          <w:numId w:val="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Family history of HBV and </w:t>
      </w:r>
      <w:r w:rsidRPr="00513A83">
        <w:rPr>
          <w:rStyle w:val="Strong"/>
          <w:rFonts w:ascii="Calibri" w:eastAsia="Times New Roman" w:hAnsi="Calibri" w:cs="Calibri"/>
          <w:color w:val="111111"/>
          <w:sz w:val="22"/>
          <w:szCs w:val="22"/>
        </w:rPr>
        <w:t>HCC</w:t>
      </w:r>
      <w:r w:rsidRPr="00513A83">
        <w:rPr>
          <w:rFonts w:ascii="Calibri" w:eastAsia="Times New Roman" w:hAnsi="Calibri" w:cs="Calibri"/>
          <w:color w:val="111111"/>
          <w:sz w:val="22"/>
          <w:szCs w:val="22"/>
        </w:rPr>
        <w:t>; comorbid metabolic risk and alcohol (synergize fibrosis/HCC risk). [7] [12]</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HCV — mechanism: chronic infection via immune evasion; fibrosis progression driven by persistent inflammation</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Any </w:t>
      </w:r>
      <w:r w:rsidRPr="00513A83">
        <w:rPr>
          <w:rStyle w:val="Strong"/>
          <w:rFonts w:ascii="Calibri" w:eastAsia="Times New Roman" w:hAnsi="Calibri" w:cs="Calibri"/>
          <w:color w:val="111111"/>
          <w:sz w:val="22"/>
          <w:szCs w:val="22"/>
        </w:rPr>
        <w:t>injection drug use</w:t>
      </w:r>
      <w:r w:rsidRPr="00513A83">
        <w:rPr>
          <w:rFonts w:ascii="Calibri" w:eastAsia="Times New Roman" w:hAnsi="Calibri" w:cs="Calibri"/>
          <w:color w:val="111111"/>
          <w:sz w:val="22"/>
          <w:szCs w:val="22"/>
        </w:rPr>
        <w:t xml:space="preserve"> (ever), intranasal drug use, prisons, tattoos, needlestick.</w:t>
      </w:r>
    </w:p>
    <w:p w:rsidR="00000000" w:rsidRPr="00513A83" w:rsidRDefault="00000000">
      <w:pPr>
        <w:numPr>
          <w:ilvl w:val="0"/>
          <w:numId w:val="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Transfusion/organ transplant before blood screening era (guideline lists). [5]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High chronicity relates to immune evasion; thus remote exposures remain relevant even if decades prior. [7]</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Non-hepatotropic viral hepatitis mimics (CMV/EBV/HSV/VZV/SARS</w:t>
      </w:r>
      <w:r w:rsidRPr="00513A83">
        <w:rPr>
          <w:rFonts w:ascii="Calibri" w:eastAsia="Times New Roman" w:hAnsi="Calibri" w:cs="Calibri"/>
          <w:color w:val="111111"/>
          <w:sz w:val="22"/>
          <w:szCs w:val="22"/>
        </w:rPr>
        <w:noBreakHyphen/>
        <w:t>CoV</w:t>
      </w:r>
      <w:r w:rsidRPr="00513A83">
        <w:rPr>
          <w:rFonts w:ascii="Calibri" w:eastAsia="Times New Roman" w:hAnsi="Calibri" w:cs="Calibri"/>
          <w:color w:val="111111"/>
          <w:sz w:val="22"/>
          <w:szCs w:val="22"/>
        </w:rPr>
        <w:noBreakHyphen/>
        <w:t>2)</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9"/>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URI symptoms, pharyngitis, lymphadenopathy, rash, atypical systemic illness; pregnancy/immunocompromise (HSV). [1] [10] [10]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9"/>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Systemic viral syndromes can cause secondary hepatocellular injury; extrahepatic features are key discriminators. [1]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4.2 Alcohol-related liver disease (ALD) — mechanism: toxic metabolites (acetaldehyde), oxidative stress, gut-derived endotoxin → inflammation/fibrosis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 (quantify precisely)</w:t>
      </w:r>
    </w:p>
    <w:p w:rsidR="00000000" w:rsidRPr="00513A83" w:rsidRDefault="00000000">
      <w:pPr>
        <w:numPr>
          <w:ilvl w:val="0"/>
          <w:numId w:val="1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Average </w:t>
      </w:r>
      <w:r w:rsidRPr="00513A83">
        <w:rPr>
          <w:rStyle w:val="Strong"/>
          <w:rFonts w:ascii="Calibri" w:eastAsia="Times New Roman" w:hAnsi="Calibri" w:cs="Calibri"/>
          <w:color w:val="111111"/>
          <w:sz w:val="22"/>
          <w:szCs w:val="22"/>
        </w:rPr>
        <w:t>grams/day</w:t>
      </w:r>
      <w:r w:rsidRPr="00513A83">
        <w:rPr>
          <w:rFonts w:ascii="Calibri" w:eastAsia="Times New Roman" w:hAnsi="Calibri" w:cs="Calibri"/>
          <w:color w:val="111111"/>
          <w:sz w:val="22"/>
          <w:szCs w:val="22"/>
        </w:rPr>
        <w:t xml:space="preserve"> or standard drinks/day and per week; </w:t>
      </w:r>
      <w:r w:rsidRPr="00513A83">
        <w:rPr>
          <w:rStyle w:val="Strong"/>
          <w:rFonts w:ascii="Calibri" w:eastAsia="Times New Roman" w:hAnsi="Calibri" w:cs="Calibri"/>
          <w:color w:val="111111"/>
          <w:sz w:val="22"/>
          <w:szCs w:val="22"/>
        </w:rPr>
        <w:t>duration</w:t>
      </w:r>
      <w:r w:rsidRPr="00513A83">
        <w:rPr>
          <w:rFonts w:ascii="Calibri" w:eastAsia="Times New Roman" w:hAnsi="Calibri" w:cs="Calibri"/>
          <w:color w:val="111111"/>
          <w:sz w:val="22"/>
          <w:szCs w:val="22"/>
        </w:rPr>
        <w:t xml:space="preserve"> (≥6 months heavy intake is emphasized); binges; last drink; prior abstinence/withdrawal; supports for cessation. [1] [11] </w:t>
      </w:r>
      <w:r w:rsidRPr="00513A83">
        <w:rPr>
          <w:rStyle w:val="Strong"/>
          <w:rFonts w:ascii="Calibri" w:eastAsia="Times New Roman" w:hAnsi="Calibri" w:cs="Calibri"/>
          <w:color w:val="111111"/>
          <w:sz w:val="22"/>
          <w:szCs w:val="22"/>
        </w:rPr>
        <w:t>Clues to seek</w:t>
      </w:r>
    </w:p>
    <w:p w:rsidR="00000000" w:rsidRPr="00513A83" w:rsidRDefault="00000000">
      <w:pPr>
        <w:numPr>
          <w:ilvl w:val="0"/>
          <w:numId w:val="1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Prior pancreatitis, withdrawal seizures/DTs, social harms.</w:t>
      </w:r>
    </w:p>
    <w:p w:rsidR="00000000" w:rsidRPr="00513A83" w:rsidRDefault="00000000">
      <w:pPr>
        <w:numPr>
          <w:ilvl w:val="0"/>
          <w:numId w:val="1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Concomitant metabolic syndrome (MetALD/MASLD overlap). [4]</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4.3 Drug-induced liver injury / herbal-induced liver injury (DILI/HILI) — mechanism: idiosyncratic immune/toxic reactions; can mimic AIH</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 (non-negotiable)</w:t>
      </w:r>
    </w:p>
    <w:p w:rsidR="00000000" w:rsidRPr="00513A83" w:rsidRDefault="00000000">
      <w:pPr>
        <w:numPr>
          <w:ilvl w:val="0"/>
          <w:numId w:val="1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Every</w:t>
      </w:r>
      <w:r w:rsidRPr="00513A83">
        <w:rPr>
          <w:rFonts w:ascii="Calibri" w:eastAsia="Times New Roman" w:hAnsi="Calibri" w:cs="Calibri"/>
          <w:color w:val="111111"/>
          <w:sz w:val="22"/>
          <w:szCs w:val="22"/>
        </w:rPr>
        <w:t xml:space="preserve"> prescribed/OTC medication, herbals, supplements, anabolic steroids; start/stop dates; dose changes; prior exposures; re-challenge. Cover at least </w:t>
      </w:r>
      <w:r w:rsidRPr="00513A83">
        <w:rPr>
          <w:rStyle w:val="Strong"/>
          <w:rFonts w:ascii="Calibri" w:eastAsia="Times New Roman" w:hAnsi="Calibri" w:cs="Calibri"/>
          <w:color w:val="111111"/>
          <w:sz w:val="22"/>
          <w:szCs w:val="22"/>
        </w:rPr>
        <w:t>6 months</w:t>
      </w:r>
      <w:r w:rsidRPr="00513A83">
        <w:rPr>
          <w:rFonts w:ascii="Calibri" w:eastAsia="Times New Roman" w:hAnsi="Calibri" w:cs="Calibri"/>
          <w:color w:val="111111"/>
          <w:sz w:val="22"/>
          <w:szCs w:val="22"/>
        </w:rPr>
        <w:t xml:space="preserve"> back. [10] [11]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11"/>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Many DILI phenotypes are immune-mediated and overlap clinically/histologically with AIH (“autoimmune-like hepatitis”), so temporal linkage is often the best discriminator. [10] [1] </w:t>
      </w:r>
      <w:r w:rsidRPr="00513A83">
        <w:rPr>
          <w:rStyle w:val="Strong"/>
          <w:rFonts w:ascii="Calibri" w:eastAsia="Times New Roman" w:hAnsi="Calibri" w:cs="Calibri"/>
          <w:color w:val="111111"/>
          <w:sz w:val="22"/>
          <w:szCs w:val="22"/>
        </w:rPr>
        <w:t>Targeted prompts</w:t>
      </w:r>
    </w:p>
    <w:p w:rsidR="00000000" w:rsidRPr="00513A83" w:rsidRDefault="00000000">
      <w:pPr>
        <w:numPr>
          <w:ilvl w:val="0"/>
          <w:numId w:val="11"/>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Recent antibiotics/antiepileptics; acetaminophen-containing combination products; weight loss/bodybuilding supplements. [11]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4.4 Autoimmune hepatitis (AIH) — mechanism: loss of tolerance → T-cell mediated hepatocyte injury; can present “viral-like”</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Personal/family autoimmune disease (thyroid, SLE, RA), fluctuating hepatitis episodes, postpartum context.</w:t>
      </w:r>
    </w:p>
    <w:p w:rsidR="00000000" w:rsidRPr="00513A83" w:rsidRDefault="00000000">
      <w:pPr>
        <w:numPr>
          <w:ilvl w:val="0"/>
          <w:numId w:val="1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Symptoms of systemic autoimmunity; </w:t>
      </w:r>
      <w:r w:rsidRPr="00513A83">
        <w:rPr>
          <w:rStyle w:val="Strong"/>
          <w:rFonts w:ascii="Calibri" w:eastAsia="Times New Roman" w:hAnsi="Calibri" w:cs="Calibri"/>
          <w:color w:val="111111"/>
          <w:sz w:val="22"/>
          <w:szCs w:val="22"/>
        </w:rPr>
        <w:t>coeliac disease</w:t>
      </w:r>
      <w:r w:rsidRPr="00513A83">
        <w:rPr>
          <w:rFonts w:ascii="Calibri" w:eastAsia="Times New Roman" w:hAnsi="Calibri" w:cs="Calibri"/>
          <w:color w:val="111111"/>
          <w:sz w:val="22"/>
          <w:szCs w:val="22"/>
        </w:rPr>
        <w:t xml:space="preserve"> symptoms (diarrhea, iron deficiency) given association with hepatitis and inclusion in differential. [1]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1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AIH can present as acute hepatitis indistinguishable from viral illness; guidelines stress excluding viruses and DILI first in acute presentations. [1] [10]</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4.5 MASLD/MASH (metabolic dysfunction-associated steatotic liver disease) — mechanism: insulin resistance + lipotoxicity → steatosis, inflammation, fibrosis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Components of metabolic syndrome: central obesity, T2DM/insulin resistance, HTN, dyslipidemia.</w:t>
      </w:r>
    </w:p>
    <w:p w:rsidR="00000000" w:rsidRPr="00513A83" w:rsidRDefault="00000000">
      <w:pPr>
        <w:numPr>
          <w:ilvl w:val="0"/>
          <w:numId w:val="1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Weight trajectory, diet patterns, physical inactivity.</w:t>
      </w:r>
    </w:p>
    <w:p w:rsidR="00000000" w:rsidRPr="00513A83" w:rsidRDefault="00000000">
      <w:pPr>
        <w:numPr>
          <w:ilvl w:val="0"/>
          <w:numId w:val="1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 xml:space="preserve">Alcohol intake even if “moderate” (can increase fibrosis risk with metabolic dysfunction; affects classification into MASLD vs MetALD). [4] [12] </w:t>
      </w:r>
      <w:r w:rsidRPr="00513A83">
        <w:rPr>
          <w:rStyle w:val="Strong"/>
          <w:rFonts w:ascii="Calibri" w:eastAsia="Times New Roman" w:hAnsi="Calibri" w:cs="Calibri"/>
          <w:color w:val="111111"/>
          <w:sz w:val="22"/>
          <w:szCs w:val="22"/>
        </w:rPr>
        <w:t>Why (pathobiology)</w:t>
      </w:r>
    </w:p>
    <w:p w:rsidR="00000000" w:rsidRPr="00513A83" w:rsidRDefault="00000000">
      <w:pPr>
        <w:numPr>
          <w:ilvl w:val="0"/>
          <w:numId w:val="1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MASLD is a multisystem metabolic disorder; liver injury is driven by metabolic milieu rather than a primary hepatotropic infection—so metabolic comorbidity history is part of etiologic diagnosis. [7]</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4.6 Hereditary/metabolic liver disease (especially in young or severe presentations)</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Wilson disease — mechanism: impaired copper excretion → copper toxicity (hepatic + neuropsychiatric + hemolysis)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4"/>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Age &lt;40, neuropsychiatric symptoms, movement disorder, personality change, hemolysis history, family history/consanguinity. [4] [10]</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Hemochromatosis — mechanism: iron overload → oxidative injury; cirrhosis/HCC risk</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Family history, arthropathy (2nd/3rd MCP), diabetes, cardiomyopathy, skin hyperpigmentation, libido changes. (Referral triggers include transferrin saturation &gt;45% noted in abnormal LFT guideline—history should look for compatible phenotype.) [2]</w:t>
      </w:r>
    </w:p>
    <w:p w:rsidR="00000000" w:rsidRPr="00513A83" w:rsidRDefault="00000000">
      <w:pPr>
        <w:pStyle w:val="Heading4"/>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Alpha-1 antitrypsin deficiency — mechanism: misfolded A1AT accumulation in hepatocytes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Early emphysema (esp non-smoker), family history of lung/liver disease.</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4.7 Vascular/ischemic and congestive causes — mechanism: hepatocyte hypoxia or venous outflow obstruction</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Hypotension, cardiac arrest, sepsis, major hemorrhage (ischemic hepatitis pattern highlighted).</w:t>
      </w:r>
    </w:p>
    <w:p w:rsidR="00000000" w:rsidRPr="00513A83" w:rsidRDefault="00000000">
      <w:pPr>
        <w:numPr>
          <w:ilvl w:val="0"/>
          <w:numId w:val="1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Right heart failure symptoms, known cardiomyopathy/valvular disease.</w:t>
      </w:r>
    </w:p>
    <w:p w:rsidR="00000000" w:rsidRPr="00513A83" w:rsidRDefault="00000000">
      <w:pPr>
        <w:numPr>
          <w:ilvl w:val="0"/>
          <w:numId w:val="1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Hypercoagulable states, OCP use, myeloproliferative disease, pregnancy/postpartum (Budd–Chiari suspicion). [1] [10]</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4.8 Cholestatic immune/biliary disorders (PSC/PBC) — mechanism: immune-mediated bile duct injury → cholestasis/fibrosis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Ask</w:t>
      </w:r>
    </w:p>
    <w:p w:rsidR="00000000" w:rsidRPr="00513A83" w:rsidRDefault="00000000">
      <w:pPr>
        <w:numPr>
          <w:ilvl w:val="0"/>
          <w:numId w:val="18"/>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IBD history</w:t>
      </w:r>
      <w:r w:rsidRPr="00513A83">
        <w:rPr>
          <w:rFonts w:ascii="Calibri" w:eastAsia="Times New Roman" w:hAnsi="Calibri" w:cs="Calibri"/>
          <w:color w:val="111111"/>
          <w:sz w:val="22"/>
          <w:szCs w:val="22"/>
        </w:rPr>
        <w:t xml:space="preserve"> (bloody diarrhea, urgency), family/personal autoimmune disease, recurrent cholangitis episodes, pruritus. [2]</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5) Occupational/environmental history (when to suspect and how to take it)</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If exposures are plausible (industry, solvents, pesticides, vinyl chloride, etc.), take an </w:t>
      </w:r>
      <w:r w:rsidRPr="00513A83">
        <w:rPr>
          <w:rStyle w:val="Strong"/>
          <w:rFonts w:ascii="Calibri" w:hAnsi="Calibri" w:cs="Calibri"/>
          <w:color w:val="111111"/>
          <w:sz w:val="22"/>
          <w:szCs w:val="22"/>
        </w:rPr>
        <w:t>occupational liver history</w:t>
      </w:r>
      <w:r w:rsidRPr="00513A83">
        <w:rPr>
          <w:rFonts w:ascii="Calibri" w:hAnsi="Calibri" w:cs="Calibri"/>
          <w:color w:val="111111"/>
          <w:sz w:val="22"/>
          <w:szCs w:val="22"/>
        </w:rPr>
        <w:t>:</w:t>
      </w:r>
    </w:p>
    <w:p w:rsidR="00000000" w:rsidRPr="00563070" w:rsidRDefault="00000000" w:rsidP="00563070">
      <w:pPr>
        <w:numPr>
          <w:ilvl w:val="0"/>
          <w:numId w:val="19"/>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Chronological job list + durations.</w:t>
      </w:r>
      <w:r w:rsidR="00563070">
        <w:rPr>
          <w:rFonts w:ascii="Calibri" w:eastAsia="Times New Roman" w:hAnsi="Calibri" w:cs="Calibri"/>
          <w:color w:val="111111"/>
          <w:sz w:val="22"/>
          <w:szCs w:val="22"/>
          <w:lang w:val="en-US"/>
        </w:rPr>
        <w:t xml:space="preserve"> </w:t>
      </w:r>
      <w:r w:rsidRPr="00563070">
        <w:rPr>
          <w:rFonts w:ascii="Calibri" w:eastAsia="Times New Roman" w:hAnsi="Calibri" w:cs="Calibri"/>
          <w:color w:val="111111"/>
          <w:sz w:val="22"/>
          <w:szCs w:val="22"/>
        </w:rPr>
        <w:t>Detailed description of workplace chemicals and use, PPE/ventilation, monitoring programs, coworker symptoms, hobbies/secondary exposures.</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6) Host factors that change course (must be in history because they change thresholds for testing/admission)</w:t>
      </w:r>
    </w:p>
    <w:p w:rsidR="00000000" w:rsidRPr="00513A83" w:rsidRDefault="00000000">
      <w:pPr>
        <w:numPr>
          <w:ilvl w:val="0"/>
          <w:numId w:val="2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Pregnancy</w:t>
      </w:r>
      <w:r w:rsidRPr="00513A83">
        <w:rPr>
          <w:rFonts w:ascii="Calibri" w:eastAsia="Times New Roman" w:hAnsi="Calibri" w:cs="Calibri"/>
          <w:color w:val="111111"/>
          <w:sz w:val="22"/>
          <w:szCs w:val="22"/>
        </w:rPr>
        <w:t xml:space="preserve"> (HEV risk; pregnancy-specific liver diseases—HELLP/AFLP—must be considered based on history). [11] [4]</w:t>
      </w:r>
    </w:p>
    <w:p w:rsidR="00000000" w:rsidRPr="00513A83" w:rsidRDefault="00000000">
      <w:pPr>
        <w:numPr>
          <w:ilvl w:val="0"/>
          <w:numId w:val="2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Immunosuppression/chemo/biologics</w:t>
      </w:r>
      <w:r w:rsidRPr="00513A83">
        <w:rPr>
          <w:rFonts w:ascii="Calibri" w:eastAsia="Times New Roman" w:hAnsi="Calibri" w:cs="Calibri"/>
          <w:color w:val="111111"/>
          <w:sz w:val="22"/>
          <w:szCs w:val="22"/>
        </w:rPr>
        <w:t xml:space="preserve"> (HBV reactivation risk; HSV/CMV hepatitis). [6] [10]</w:t>
      </w:r>
    </w:p>
    <w:p w:rsidR="00000000" w:rsidRPr="00513A83" w:rsidRDefault="00000000">
      <w:pPr>
        <w:numPr>
          <w:ilvl w:val="0"/>
          <w:numId w:val="2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Country of origin</w:t>
      </w:r>
      <w:r w:rsidRPr="00513A83">
        <w:rPr>
          <w:rFonts w:ascii="Calibri" w:eastAsia="Times New Roman" w:hAnsi="Calibri" w:cs="Calibri"/>
          <w:color w:val="111111"/>
          <w:sz w:val="22"/>
          <w:szCs w:val="22"/>
        </w:rPr>
        <w:t xml:space="preserve"> (strong predictor of viral hepatitis in abnormal LFT pathways). [2]</w:t>
      </w:r>
    </w:p>
    <w:p w:rsidR="00000000" w:rsidRPr="00513A83" w:rsidRDefault="00000000">
      <w:pPr>
        <w:numPr>
          <w:ilvl w:val="0"/>
          <w:numId w:val="2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Metabolic syndrome + alcohol</w:t>
      </w:r>
      <w:r w:rsidRPr="00513A83">
        <w:rPr>
          <w:rFonts w:ascii="Calibri" w:eastAsia="Times New Roman" w:hAnsi="Calibri" w:cs="Calibri"/>
          <w:color w:val="111111"/>
          <w:sz w:val="22"/>
          <w:szCs w:val="22"/>
        </w:rPr>
        <w:t xml:space="preserve"> (fibrosis progression synergy; classification implications). [4] [12]</w:t>
      </w:r>
    </w:p>
    <w:p w:rsidR="00000000" w:rsidRPr="00513A83" w:rsidRDefault="00DF7AE7">
      <w:pPr>
        <w:jc w:val="center"/>
        <w:divId w:val="1452745915"/>
        <w:rPr>
          <w:rFonts w:ascii="Calibri" w:eastAsia="Times New Roman" w:hAnsi="Calibri" w:cs="Calibri"/>
          <w:noProof/>
          <w:color w:val="111111"/>
          <w:sz w:val="22"/>
          <w:szCs w:val="22"/>
        </w:rPr>
      </w:pPr>
      <w:r>
        <w:rPr>
          <w:rFonts w:ascii="Calibri" w:eastAsia="Times New Roman" w:hAnsi="Calibri" w:cs="Calibri"/>
          <w:noProof/>
          <w:color w:val="111111"/>
          <w:sz w:val="22"/>
          <w:szCs w:val="22"/>
        </w:rPr>
        <w:pict>
          <v:rect id="_x0000_i1028" alt="" style="width:451.3pt;height:1pt;mso-width-percent:0;mso-height-percent:0;mso-width-percent:0;mso-height-percent:0" o:hralign="center" o:hrstd="t" o:hr="t" fillcolor="#a0a0a0" stroked="f"/>
        </w:pic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References:</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 </w:t>
      </w:r>
      <w:hyperlink r:id="rId5" w:history="1">
        <w:r w:rsidRPr="00513A83">
          <w:rPr>
            <w:rStyle w:val="Hyperlink"/>
            <w:rFonts w:ascii="Calibri" w:hAnsi="Calibri" w:cs="Calibri"/>
            <w:sz w:val="22"/>
            <w:szCs w:val="22"/>
          </w:rPr>
          <w:t>Guidelines on the management of abnormal liver blood tests</w:t>
        </w:r>
      </w:hyperlink>
      <w:r w:rsidRPr="00513A83">
        <w:rPr>
          <w:rFonts w:ascii="Calibri" w:hAnsi="Calibri" w:cs="Calibri"/>
          <w:color w:val="111111"/>
          <w:sz w:val="22"/>
          <w:szCs w:val="22"/>
        </w:rPr>
        <w:t xml:space="preserve"> Gut. 2017. DOI: 10.1136/gutjnl-2017-314924</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2. </w:t>
      </w:r>
      <w:hyperlink r:id="rId6" w:history="1">
        <w:r w:rsidRPr="00513A83">
          <w:rPr>
            <w:rStyle w:val="Hyperlink"/>
            <w:rFonts w:ascii="Calibri" w:hAnsi="Calibri" w:cs="Calibri"/>
            <w:sz w:val="22"/>
            <w:szCs w:val="22"/>
          </w:rPr>
          <w:t>EASL Clinical Practice Guidelines on the management of autoimmune hepatitis</w:t>
        </w:r>
      </w:hyperlink>
      <w:r w:rsidRPr="00513A83">
        <w:rPr>
          <w:rFonts w:ascii="Calibri" w:hAnsi="Calibri" w:cs="Calibri"/>
          <w:color w:val="111111"/>
          <w:sz w:val="22"/>
          <w:szCs w:val="22"/>
        </w:rPr>
        <w:t xml:space="preserve"> Journal of Hepatology. 2025. DOI: 10.1016/j.jhep.2025.03.017</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3. </w:t>
      </w:r>
      <w:hyperlink r:id="rId7" w:history="1">
        <w:r w:rsidRPr="00513A83">
          <w:rPr>
            <w:rStyle w:val="Hyperlink"/>
            <w:rFonts w:ascii="Calibri" w:hAnsi="Calibri" w:cs="Calibri"/>
            <w:sz w:val="22"/>
            <w:szCs w:val="22"/>
          </w:rPr>
          <w:t>ACG Clinical Guideline: Diagnosis and Management of Idiosyncratic Drug-Induced Liver Injury</w:t>
        </w:r>
      </w:hyperlink>
      <w:r w:rsidRPr="00513A83">
        <w:rPr>
          <w:rFonts w:ascii="Calibri" w:hAnsi="Calibri" w:cs="Calibri"/>
          <w:color w:val="111111"/>
          <w:sz w:val="22"/>
          <w:szCs w:val="22"/>
        </w:rPr>
        <w:t xml:space="preserve"> The American Journal of Gastroenterology. 2021. DOI: 10.14309/ajg.0000000000001259</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4. </w:t>
      </w:r>
      <w:hyperlink r:id="rId8" w:history="1">
        <w:r w:rsidRPr="00513A83">
          <w:rPr>
            <w:rStyle w:val="Hyperlink"/>
            <w:rFonts w:ascii="Calibri" w:hAnsi="Calibri" w:cs="Calibri"/>
            <w:sz w:val="22"/>
            <w:szCs w:val="22"/>
          </w:rPr>
          <w:t>Liver intensive care for the general intensivist</w:t>
        </w:r>
      </w:hyperlink>
      <w:r w:rsidRPr="00513A83">
        <w:rPr>
          <w:rFonts w:ascii="Calibri" w:hAnsi="Calibri" w:cs="Calibri"/>
          <w:color w:val="111111"/>
          <w:sz w:val="22"/>
          <w:szCs w:val="22"/>
        </w:rPr>
        <w:t xml:space="preserve"> Anaesthesia. 2023. DOI: 10.1111/anae.15956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5. </w:t>
      </w:r>
      <w:hyperlink r:id="rId9" w:history="1">
        <w:r w:rsidRPr="00513A83">
          <w:rPr>
            <w:rStyle w:val="Hyperlink"/>
            <w:rFonts w:ascii="Calibri" w:hAnsi="Calibri" w:cs="Calibri"/>
            <w:sz w:val="22"/>
            <w:szCs w:val="22"/>
          </w:rPr>
          <w:t>Liver diseases: epidemiology, causes, trends and predictions</w:t>
        </w:r>
      </w:hyperlink>
      <w:r w:rsidRPr="00513A83">
        <w:rPr>
          <w:rFonts w:ascii="Calibri" w:hAnsi="Calibri" w:cs="Calibri"/>
          <w:color w:val="111111"/>
          <w:sz w:val="22"/>
          <w:szCs w:val="22"/>
        </w:rPr>
        <w:t xml:space="preserve"> Signal Transduction and Targeted Therapy. 2025. DOI: 10.1038/s41392-024-02072-z</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6. </w:t>
      </w:r>
      <w:hyperlink r:id="rId10" w:history="1">
        <w:r w:rsidRPr="00513A83">
          <w:rPr>
            <w:rStyle w:val="Hyperlink"/>
            <w:rFonts w:ascii="Calibri" w:hAnsi="Calibri" w:cs="Calibri"/>
            <w:sz w:val="22"/>
            <w:szCs w:val="22"/>
          </w:rPr>
          <w:t>EASL Clinical Practice Guidelines on the management of hepatitis B virus infection</w:t>
        </w:r>
      </w:hyperlink>
      <w:r w:rsidRPr="00513A83">
        <w:rPr>
          <w:rFonts w:ascii="Calibri" w:hAnsi="Calibri" w:cs="Calibri"/>
          <w:color w:val="111111"/>
          <w:sz w:val="22"/>
          <w:szCs w:val="22"/>
        </w:rPr>
        <w:t xml:space="preserve"> Journal of Hepatology. 2025. DOI: 10.1016/j.jhep.2025.03.018</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7. </w:t>
      </w:r>
      <w:hyperlink r:id="rId11" w:history="1">
        <w:r w:rsidRPr="00513A83">
          <w:rPr>
            <w:rStyle w:val="Hyperlink"/>
            <w:rFonts w:ascii="Calibri" w:hAnsi="Calibri" w:cs="Calibri"/>
            <w:sz w:val="22"/>
            <w:szCs w:val="22"/>
          </w:rPr>
          <w:t>Asian-Pacific clinical practice guidelines on the management of hepatitis B: a 2015 update</w:t>
        </w:r>
      </w:hyperlink>
      <w:r w:rsidRPr="00513A83">
        <w:rPr>
          <w:rFonts w:ascii="Calibri" w:hAnsi="Calibri" w:cs="Calibri"/>
          <w:color w:val="111111"/>
          <w:sz w:val="22"/>
          <w:szCs w:val="22"/>
        </w:rPr>
        <w:t xml:space="preserve"> Hepatology International. 2015. DOI: 10.1007/s12072-015-9675-4</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8. </w:t>
      </w:r>
      <w:hyperlink r:id="rId12" w:history="1">
        <w:r w:rsidRPr="00513A83">
          <w:rPr>
            <w:rStyle w:val="Hyperlink"/>
            <w:rFonts w:ascii="Calibri" w:hAnsi="Calibri" w:cs="Calibri"/>
            <w:sz w:val="22"/>
            <w:szCs w:val="22"/>
          </w:rPr>
          <w:t>AGA Clinical Practice Update on Risk Stratification and Emerging Surveillance Strategies for Hepatocellular Carcinoma: Expert Review.</w:t>
        </w:r>
      </w:hyperlink>
      <w:r w:rsidRPr="00513A83">
        <w:rPr>
          <w:rFonts w:ascii="Calibri" w:hAnsi="Calibri" w:cs="Calibri"/>
          <w:color w:val="111111"/>
          <w:sz w:val="22"/>
          <w:szCs w:val="22"/>
        </w:rPr>
        <w:t xml:space="preserve"> Gastroenterology. 2026. DOI: 10.1053/j.gastro.2026.03.006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9. </w:t>
      </w:r>
      <w:hyperlink r:id="rId13" w:history="1">
        <w:r w:rsidRPr="00513A83">
          <w:rPr>
            <w:rStyle w:val="Hyperlink"/>
            <w:rFonts w:ascii="Calibri" w:hAnsi="Calibri" w:cs="Calibri"/>
            <w:sz w:val="22"/>
            <w:szCs w:val="22"/>
          </w:rPr>
          <w:t>Hepatitis C Guidance 2019 Update: American Association for the Study of Liver Diseases–Infectious Diseases Society of America Recommendations for Testing, Managing, and Treating Hepatitis C Virus Infection</w:t>
        </w:r>
      </w:hyperlink>
      <w:r w:rsidRPr="00513A83">
        <w:rPr>
          <w:rFonts w:ascii="Calibri" w:hAnsi="Calibri" w:cs="Calibri"/>
          <w:color w:val="111111"/>
          <w:sz w:val="22"/>
          <w:szCs w:val="22"/>
        </w:rPr>
        <w:t xml:space="preserve"> Hepatology. 2019. DOI: 10.1002/hep.31060</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10. </w:t>
      </w:r>
      <w:hyperlink r:id="rId14" w:history="1">
        <w:r w:rsidRPr="00513A83">
          <w:rPr>
            <w:rStyle w:val="Hyperlink"/>
            <w:rFonts w:ascii="Calibri" w:hAnsi="Calibri" w:cs="Calibri"/>
            <w:sz w:val="22"/>
            <w:szCs w:val="22"/>
          </w:rPr>
          <w:t>British Society of Gastroenterology guidelines for diagnosis and management of autoimmune hepatitis</w:t>
        </w:r>
      </w:hyperlink>
      <w:r w:rsidRPr="00513A83">
        <w:rPr>
          <w:rFonts w:ascii="Calibri" w:hAnsi="Calibri" w:cs="Calibri"/>
          <w:color w:val="111111"/>
          <w:sz w:val="22"/>
          <w:szCs w:val="22"/>
        </w:rPr>
        <w:t xml:space="preserve"> Gut. 2025. DOI: 10.1136/gutjnl-2024-333171</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11. </w:t>
      </w:r>
      <w:hyperlink r:id="rId15" w:history="1">
        <w:r w:rsidRPr="00513A83">
          <w:rPr>
            <w:rStyle w:val="Hyperlink"/>
            <w:rFonts w:ascii="Calibri" w:hAnsi="Calibri" w:cs="Calibri"/>
            <w:sz w:val="22"/>
            <w:szCs w:val="22"/>
          </w:rPr>
          <w:t>EASL-EASD-EASO Clinical Practice Guidelines on the management of metabolic dysfunction-associated steatotic liver disease (MASLD).</w:t>
        </w:r>
      </w:hyperlink>
      <w:r w:rsidRPr="00513A83">
        <w:rPr>
          <w:rFonts w:ascii="Calibri" w:hAnsi="Calibri" w:cs="Calibri"/>
          <w:color w:val="111111"/>
          <w:sz w:val="22"/>
          <w:szCs w:val="22"/>
        </w:rPr>
        <w:t xml:space="preserve"> Journal of hepatology. 2024. DOI: 10.1016/j.jhep.2024.04.031</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12. </w:t>
      </w:r>
      <w:hyperlink r:id="rId16" w:history="1">
        <w:r w:rsidRPr="00513A83">
          <w:rPr>
            <w:rStyle w:val="Hyperlink"/>
            <w:rFonts w:ascii="Calibri" w:hAnsi="Calibri" w:cs="Calibri"/>
            <w:sz w:val="22"/>
            <w:szCs w:val="22"/>
          </w:rPr>
          <w:t>Assessment of metabolic dysfunction-associated fatty liver disease in primary care: a consensus statement summary.</w:t>
        </w:r>
      </w:hyperlink>
      <w:r w:rsidRPr="00513A83">
        <w:rPr>
          <w:rFonts w:ascii="Calibri" w:hAnsi="Calibri" w:cs="Calibri"/>
          <w:color w:val="111111"/>
          <w:sz w:val="22"/>
          <w:szCs w:val="22"/>
        </w:rPr>
        <w:t xml:space="preserve"> The Medical journal of Australia. 2025. DOI: 10.5694/mja2.70008</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13. </w:t>
      </w:r>
      <w:hyperlink r:id="rId17" w:history="1">
        <w:r w:rsidRPr="00513A83">
          <w:rPr>
            <w:rStyle w:val="Hyperlink"/>
            <w:rFonts w:ascii="Calibri" w:hAnsi="Calibri" w:cs="Calibri"/>
            <w:sz w:val="22"/>
            <w:szCs w:val="22"/>
          </w:rPr>
          <w:t>EASL Clinical Practice Guideline: Occupational liver diseases</w:t>
        </w:r>
      </w:hyperlink>
      <w:r w:rsidRPr="00513A83">
        <w:rPr>
          <w:rFonts w:ascii="Calibri" w:hAnsi="Calibri" w:cs="Calibri"/>
          <w:color w:val="111111"/>
          <w:sz w:val="22"/>
          <w:szCs w:val="22"/>
        </w:rPr>
        <w:t xml:space="preserve"> Journal of Hepatology. 2019. DOI: 10.1016/j.jhep.2019.08.008</w:t>
      </w:r>
    </w:p>
    <w:p w:rsidR="00000000" w:rsidRPr="00513A83" w:rsidRDefault="00000000">
      <w:pPr>
        <w:pStyle w:val="NormalWeb"/>
        <w:divId w:val="1452745915"/>
        <w:rPr>
          <w:rFonts w:ascii="Calibri" w:hAnsi="Calibri" w:cs="Calibri"/>
          <w:color w:val="111111"/>
          <w:sz w:val="22"/>
          <w:szCs w:val="22"/>
        </w:rPr>
      </w:pPr>
    </w:p>
    <w:p w:rsidR="00000000" w:rsidRPr="00513A83" w:rsidRDefault="00000000" w:rsidP="00513A83">
      <w:pPr>
        <w:pStyle w:val="Heading3"/>
        <w:jc w:val="center"/>
        <w:divId w:val="1452745915"/>
        <w:rPr>
          <w:rFonts w:ascii="Calibri" w:hAnsi="Calibri" w:cs="Calibri"/>
          <w:color w:val="0070C0"/>
          <w:sz w:val="22"/>
          <w:szCs w:val="22"/>
          <w:lang w:val="en-US"/>
        </w:rPr>
      </w:pPr>
      <w:r w:rsidRPr="00513A83">
        <w:rPr>
          <w:rFonts w:ascii="Calibri" w:hAnsi="Calibri" w:cs="Calibri"/>
          <w:color w:val="0070C0"/>
          <w:sz w:val="22"/>
          <w:szCs w:val="22"/>
          <w:lang w:val="en-US"/>
        </w:rPr>
        <w:lastRenderedPageBreak/>
        <w:t>Physical Examination</w:t>
      </w:r>
    </w:p>
    <w:p w:rsidR="00000000" w:rsidRPr="00513A83" w:rsidRDefault="00000000">
      <w:pPr>
        <w:pStyle w:val="NormalWeb"/>
        <w:divId w:val="1452745915"/>
        <w:rPr>
          <w:rFonts w:ascii="Calibri" w:hAnsi="Calibri" w:cs="Calibri"/>
          <w:color w:val="111111"/>
          <w:sz w:val="22"/>
          <w:szCs w:val="22"/>
        </w:rPr>
      </w:pP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A comprehensive hepatitis-focused physical exam should first </w:t>
      </w:r>
      <w:r w:rsidRPr="00513A83">
        <w:rPr>
          <w:rStyle w:val="Strong"/>
          <w:rFonts w:ascii="Calibri" w:hAnsi="Calibri" w:cs="Calibri"/>
          <w:color w:val="111111"/>
          <w:sz w:val="22"/>
          <w:szCs w:val="22"/>
        </w:rPr>
        <w:t>triage severity (acute liver failure/sepsis/UGIB), then phenotype the injury (hepatocellular vs cholestatic vs chronic liver disease/portal hypertension), and finally search for etiology-specific systemic clues (ALD, cholestatic autoimmune disease, Wilson’s, malignancy/vascular disease)</w:t>
      </w:r>
      <w:r w:rsidRPr="00513A83">
        <w:rPr>
          <w:rFonts w:ascii="Calibri" w:hAnsi="Calibri" w:cs="Calibri"/>
          <w:color w:val="111111"/>
          <w:sz w:val="22"/>
          <w:szCs w:val="22"/>
        </w:rPr>
        <w:t xml:space="preserve"> because most findings are </w:t>
      </w:r>
      <w:r w:rsidRPr="00513A83">
        <w:rPr>
          <w:rStyle w:val="Strong"/>
          <w:rFonts w:ascii="Calibri" w:hAnsi="Calibri" w:cs="Calibri"/>
          <w:color w:val="111111"/>
          <w:sz w:val="22"/>
          <w:szCs w:val="22"/>
        </w:rPr>
        <w:t>insensitive</w:t>
      </w:r>
      <w:r w:rsidRPr="00513A83">
        <w:rPr>
          <w:rFonts w:ascii="Calibri" w:hAnsi="Calibri" w:cs="Calibri"/>
          <w:color w:val="111111"/>
          <w:sz w:val="22"/>
          <w:szCs w:val="22"/>
        </w:rPr>
        <w:t xml:space="preserve"> but several are </w:t>
      </w:r>
      <w:r w:rsidRPr="00513A83">
        <w:rPr>
          <w:rStyle w:val="Strong"/>
          <w:rFonts w:ascii="Calibri" w:hAnsi="Calibri" w:cs="Calibri"/>
          <w:color w:val="111111"/>
          <w:sz w:val="22"/>
          <w:szCs w:val="22"/>
        </w:rPr>
        <w:t>highly specific</w:t>
      </w:r>
      <w:r w:rsidRPr="00513A83">
        <w:rPr>
          <w:rFonts w:ascii="Calibri" w:hAnsi="Calibri" w:cs="Calibri"/>
          <w:color w:val="111111"/>
          <w:sz w:val="22"/>
          <w:szCs w:val="22"/>
        </w:rPr>
        <w:t xml:space="preserve"> for cirrhosis/portal hypertension and directly reflect underlying pathobiology. [4] [10] [8]</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Examination of patients with hepatitis/abnormal liver tests should include BMI and a focused abdominal exam for hepatosplenomegaly, ascites, and other stigmata of chronic liver disease; when portal hypertension is suspected, look specifically for jaundice, ascites, hepatic encephalopathy, splenomegaly, firm hepatomegaly, and abdominal wall collaterals. [8] [9]</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1) Immediate bedside triage (most clinically important first)</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 Vitals + “toxic/bleeding” screen</w:t>
      </w:r>
    </w:p>
    <w:p w:rsidR="00000000" w:rsidRPr="00513A83" w:rsidRDefault="00000000">
      <w:pPr>
        <w:numPr>
          <w:ilvl w:val="0"/>
          <w:numId w:val="2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HR/BP/orthostatics, temp, RR, SpO₂</w:t>
      </w:r>
      <w:r w:rsidRPr="00513A83">
        <w:rPr>
          <w:rFonts w:ascii="Calibri" w:eastAsia="Times New Roman" w:hAnsi="Calibri" w:cs="Calibri"/>
          <w:color w:val="111111"/>
          <w:sz w:val="22"/>
          <w:szCs w:val="22"/>
        </w:rPr>
        <w:t>: shock/sepsis and active bleeding physiology (esp if variceal bleed suspected). [9]</w:t>
      </w:r>
    </w:p>
    <w:p w:rsidR="00000000" w:rsidRPr="00513A83" w:rsidRDefault="00000000">
      <w:pPr>
        <w:numPr>
          <w:ilvl w:val="0"/>
          <w:numId w:val="2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General appearance</w:t>
      </w:r>
      <w:r w:rsidRPr="00513A83">
        <w:rPr>
          <w:rFonts w:ascii="Calibri" w:eastAsia="Times New Roman" w:hAnsi="Calibri" w:cs="Calibri"/>
          <w:color w:val="111111"/>
          <w:sz w:val="22"/>
          <w:szCs w:val="22"/>
        </w:rPr>
        <w:t>: agitation/diaphoresis (withdrawal), somnolence (encephalopathy), cachexia (malignancy), severe distress/pain (biliary obstruction/cholangitis). [5] [11]</w:t>
      </w:r>
    </w:p>
    <w:p w:rsidR="00000000" w:rsidRPr="00513A83" w:rsidRDefault="00000000">
      <w:pPr>
        <w:numPr>
          <w:ilvl w:val="0"/>
          <w:numId w:val="2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Focused infection search</w:t>
      </w:r>
      <w:r w:rsidRPr="00513A83">
        <w:rPr>
          <w:rFonts w:ascii="Calibri" w:eastAsia="Times New Roman" w:hAnsi="Calibri" w:cs="Calibri"/>
          <w:color w:val="111111"/>
          <w:sz w:val="22"/>
          <w:szCs w:val="22"/>
        </w:rPr>
        <w:t xml:space="preserve"> (skin/line sites, lungs, urine source signs) is essential in severe alcoholic hepatitis where SIRS can be present even without infection, but occult infection is common and changes management. [7]</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B. Rapid neurologic assessment for hepatic encephalopathy (HE)</w:t>
      </w:r>
    </w:p>
    <w:p w:rsidR="00000000" w:rsidRPr="00513A83" w:rsidRDefault="00000000">
      <w:pPr>
        <w:numPr>
          <w:ilvl w:val="0"/>
          <w:numId w:val="2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Mental status</w:t>
      </w:r>
      <w:r w:rsidRPr="00513A83">
        <w:rPr>
          <w:rFonts w:ascii="Calibri" w:eastAsia="Times New Roman" w:hAnsi="Calibri" w:cs="Calibri"/>
          <w:color w:val="111111"/>
          <w:sz w:val="22"/>
          <w:szCs w:val="22"/>
        </w:rPr>
        <w:t xml:space="preserve"> (orientation, attention, psychomotor speed), </w:t>
      </w:r>
      <w:r w:rsidRPr="00513A83">
        <w:rPr>
          <w:rStyle w:val="Strong"/>
          <w:rFonts w:ascii="Calibri" w:eastAsia="Times New Roman" w:hAnsi="Calibri" w:cs="Calibri"/>
          <w:color w:val="111111"/>
          <w:sz w:val="22"/>
          <w:szCs w:val="22"/>
        </w:rPr>
        <w:t>asterixis</w:t>
      </w:r>
      <w:r w:rsidRPr="00513A83">
        <w:rPr>
          <w:rFonts w:ascii="Calibri" w:eastAsia="Times New Roman" w:hAnsi="Calibri" w:cs="Calibri"/>
          <w:color w:val="111111"/>
          <w:sz w:val="22"/>
          <w:szCs w:val="22"/>
        </w:rPr>
        <w:t xml:space="preserve">. </w:t>
      </w:r>
    </w:p>
    <w:p w:rsidR="00000000" w:rsidRPr="00513A83" w:rsidRDefault="00000000">
      <w:pPr>
        <w:numPr>
          <w:ilvl w:val="1"/>
          <w:numId w:val="2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HE reflects impaired hepatic clearance and portosystemic shunting → neurotoxin accumulation and neuroinflammation; asterixis represents impaired motor control due to cortical/subcortical dysfunction. Portal hypertension/cirrhosis stigmata often coexist. [2] [9]</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 Bedside “does this look like decompensated cirrhosis/portal HTN?”</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These findings are prioritized because they change disposition (admit/ICU), bleeding prophylaxis/management, and need for urgent paracentesis.</w:t>
      </w:r>
    </w:p>
    <w:p w:rsidR="00000000" w:rsidRPr="00513A83" w:rsidRDefault="00000000">
      <w:pPr>
        <w:numPr>
          <w:ilvl w:val="0"/>
          <w:numId w:val="2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Ascites</w:t>
      </w:r>
      <w:r w:rsidRPr="00513A83">
        <w:rPr>
          <w:rFonts w:ascii="Calibri" w:eastAsia="Times New Roman" w:hAnsi="Calibri" w:cs="Calibri"/>
          <w:color w:val="111111"/>
          <w:sz w:val="22"/>
          <w:szCs w:val="22"/>
        </w:rPr>
        <w:t xml:space="preserve"> (see section 4) and </w:t>
      </w:r>
      <w:r w:rsidRPr="00513A83">
        <w:rPr>
          <w:rStyle w:val="Strong"/>
          <w:rFonts w:ascii="Calibri" w:eastAsia="Times New Roman" w:hAnsi="Calibri" w:cs="Calibri"/>
          <w:color w:val="111111"/>
          <w:sz w:val="22"/>
          <w:szCs w:val="22"/>
        </w:rPr>
        <w:t>splenomegaly</w:t>
      </w:r>
      <w:r w:rsidRPr="00513A83">
        <w:rPr>
          <w:rFonts w:ascii="Calibri" w:eastAsia="Times New Roman" w:hAnsi="Calibri" w:cs="Calibri"/>
          <w:color w:val="111111"/>
          <w:sz w:val="22"/>
          <w:szCs w:val="22"/>
        </w:rPr>
        <w:t xml:space="preserve"> (see section 5)</w:t>
      </w:r>
    </w:p>
    <w:p w:rsidR="00000000" w:rsidRPr="00513A83" w:rsidRDefault="00000000">
      <w:pPr>
        <w:numPr>
          <w:ilvl w:val="0"/>
          <w:numId w:val="2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Abdominal wall collaterals/caput medusae</w:t>
      </w:r>
      <w:r w:rsidRPr="00513A83">
        <w:rPr>
          <w:rFonts w:ascii="Calibri" w:eastAsia="Times New Roman" w:hAnsi="Calibri" w:cs="Calibri"/>
          <w:color w:val="111111"/>
          <w:sz w:val="22"/>
          <w:szCs w:val="22"/>
        </w:rPr>
        <w:t xml:space="preserve"> </w:t>
      </w:r>
    </w:p>
    <w:p w:rsidR="00000000" w:rsidRPr="00513A83" w:rsidRDefault="00000000">
      <w:pPr>
        <w:numPr>
          <w:ilvl w:val="1"/>
          <w:numId w:val="2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elevated portal pressure opens/recanalizes portosystemic pathways (e.g., paraumbilical veins) → visible collaterals; direction of flow can help distinguish portal HTN (away from umbilicus) vs IVC obstruction (toward umbilicus). [2]</w:t>
      </w:r>
    </w:p>
    <w:p w:rsidR="00000000" w:rsidRPr="00513A83" w:rsidRDefault="00000000">
      <w:pPr>
        <w:numPr>
          <w:ilvl w:val="0"/>
          <w:numId w:val="2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Jaundice</w:t>
      </w:r>
      <w:r w:rsidRPr="00513A83">
        <w:rPr>
          <w:rFonts w:ascii="Calibri" w:eastAsia="Times New Roman" w:hAnsi="Calibri" w:cs="Calibri"/>
          <w:color w:val="111111"/>
          <w:sz w:val="22"/>
          <w:szCs w:val="22"/>
        </w:rPr>
        <w:t xml:space="preserve"> (severity marker; late in some chronic cholestatic diseases). [9]</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 General inspection: systemic consequences of liver dysfunction</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 Nutritional state and sarcopenia (severity/prognosis, esp ALD)</w:t>
      </w:r>
    </w:p>
    <w:p w:rsidR="00000000" w:rsidRPr="00513A83" w:rsidRDefault="00000000">
      <w:pPr>
        <w:numPr>
          <w:ilvl w:val="0"/>
          <w:numId w:val="2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Temporal wasting, proximal muscle loss, generalized frailty</w:t>
      </w:r>
      <w:r w:rsidRPr="00513A83">
        <w:rPr>
          <w:rFonts w:ascii="Calibri" w:eastAsia="Times New Roman" w:hAnsi="Calibri" w:cs="Calibri"/>
          <w:color w:val="111111"/>
          <w:sz w:val="22"/>
          <w:szCs w:val="22"/>
        </w:rPr>
        <w:t xml:space="preserve"> </w:t>
      </w:r>
    </w:p>
    <w:p w:rsidR="00000000" w:rsidRPr="00513A83" w:rsidRDefault="00000000">
      <w:pPr>
        <w:numPr>
          <w:ilvl w:val="1"/>
          <w:numId w:val="2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lastRenderedPageBreak/>
        <w:t>Pathobiology</w:t>
      </w:r>
      <w:r w:rsidRPr="00513A83">
        <w:rPr>
          <w:rFonts w:ascii="Calibri" w:eastAsia="Times New Roman" w:hAnsi="Calibri" w:cs="Calibri"/>
          <w:color w:val="111111"/>
          <w:sz w:val="22"/>
          <w:szCs w:val="22"/>
        </w:rPr>
        <w:t>: chronic liver disease promotes catabolism and impaired protein synthesis; alcoholic hepatitis is frequently accompanied by malnutrition/sarcopenia which worsens outcomes and affects treatment tolerance. [7] [5]</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B. Skin and soft tissues: three major mechanistic categories</w:t>
      </w:r>
    </w:p>
    <w:p w:rsidR="00000000" w:rsidRPr="00513A83" w:rsidRDefault="00000000" w:rsidP="00513A83">
      <w:p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Hyperbilirubinemia/Cholestasis</w:t>
      </w:r>
    </w:p>
    <w:p w:rsidR="00000000" w:rsidRPr="00513A83" w:rsidRDefault="00000000">
      <w:pPr>
        <w:numPr>
          <w:ilvl w:val="0"/>
          <w:numId w:val="2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Scleral icterus/jaundice</w:t>
      </w:r>
      <w:r w:rsidRPr="00513A83">
        <w:rPr>
          <w:rFonts w:ascii="Calibri" w:eastAsia="Times New Roman" w:hAnsi="Calibri" w:cs="Calibri"/>
          <w:color w:val="111111"/>
          <w:sz w:val="22"/>
          <w:szCs w:val="22"/>
        </w:rPr>
        <w:t xml:space="preserve"> (inspect conjunctivae and mucosa) </w:t>
      </w:r>
    </w:p>
    <w:p w:rsidR="00000000" w:rsidRPr="00513A83" w:rsidRDefault="00000000">
      <w:pPr>
        <w:numPr>
          <w:ilvl w:val="1"/>
          <w:numId w:val="2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bilirubin deposition in elastin-rich tissues; often appears before skin jaundice. [11]</w:t>
      </w:r>
    </w:p>
    <w:p w:rsidR="00000000" w:rsidRPr="00513A83" w:rsidRDefault="00000000">
      <w:pPr>
        <w:numPr>
          <w:ilvl w:val="0"/>
          <w:numId w:val="2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Excoriations</w:t>
      </w:r>
      <w:r w:rsidRPr="00513A83">
        <w:rPr>
          <w:rFonts w:ascii="Calibri" w:eastAsia="Times New Roman" w:hAnsi="Calibri" w:cs="Calibri"/>
          <w:color w:val="111111"/>
          <w:sz w:val="22"/>
          <w:szCs w:val="22"/>
        </w:rPr>
        <w:t xml:space="preserve"> (scratch marks) ± pruritus-related lichenification </w:t>
      </w:r>
    </w:p>
    <w:p w:rsidR="00000000" w:rsidRPr="00513A83" w:rsidRDefault="00000000">
      <w:pPr>
        <w:numPr>
          <w:ilvl w:val="1"/>
          <w:numId w:val="2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cholestatic pruritus is mediated by neural/skin pathways and circulating pruritogens; severity does </w:t>
      </w:r>
      <w:r w:rsidRPr="00513A83">
        <w:rPr>
          <w:rStyle w:val="Strong"/>
          <w:rFonts w:ascii="Calibri" w:eastAsia="Times New Roman" w:hAnsi="Calibri" w:cs="Calibri"/>
          <w:color w:val="111111"/>
          <w:sz w:val="22"/>
          <w:szCs w:val="22"/>
        </w:rPr>
        <w:t>not</w:t>
      </w:r>
      <w:r w:rsidRPr="00513A83">
        <w:rPr>
          <w:rFonts w:ascii="Calibri" w:eastAsia="Times New Roman" w:hAnsi="Calibri" w:cs="Calibri"/>
          <w:color w:val="111111"/>
          <w:sz w:val="22"/>
          <w:szCs w:val="22"/>
        </w:rPr>
        <w:t xml:space="preserve"> correlate well with bile acid levels, so exam looks for consequences (excoriations) rather than inferring bile acid burden. [9]</w:t>
      </w:r>
    </w:p>
    <w:p w:rsidR="00000000" w:rsidRPr="00513A83" w:rsidRDefault="00000000">
      <w:pPr>
        <w:numPr>
          <w:ilvl w:val="0"/>
          <w:numId w:val="2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Xanthelasma/xanthomas</w:t>
      </w:r>
      <w:r w:rsidRPr="00513A83">
        <w:rPr>
          <w:rFonts w:ascii="Calibri" w:eastAsia="Times New Roman" w:hAnsi="Calibri" w:cs="Calibri"/>
          <w:color w:val="111111"/>
          <w:sz w:val="22"/>
          <w:szCs w:val="22"/>
        </w:rPr>
        <w:t xml:space="preserve"> (cholestatic lipid abnormalities), </w:t>
      </w:r>
      <w:r w:rsidRPr="00513A83">
        <w:rPr>
          <w:rStyle w:val="Strong"/>
          <w:rFonts w:ascii="Calibri" w:eastAsia="Times New Roman" w:hAnsi="Calibri" w:cs="Calibri"/>
          <w:color w:val="111111"/>
          <w:sz w:val="22"/>
          <w:szCs w:val="22"/>
        </w:rPr>
        <w:t>hyperpigmentation</w:t>
      </w:r>
      <w:r w:rsidRPr="00513A83">
        <w:rPr>
          <w:rFonts w:ascii="Calibri" w:eastAsia="Times New Roman" w:hAnsi="Calibri" w:cs="Calibri"/>
          <w:color w:val="111111"/>
          <w:sz w:val="22"/>
          <w:szCs w:val="22"/>
        </w:rPr>
        <w:t xml:space="preserve"> (later-stage cholestatic disease) </w:t>
      </w:r>
    </w:p>
    <w:p w:rsidR="00000000" w:rsidRPr="00513A83" w:rsidRDefault="00000000">
      <w:pPr>
        <w:numPr>
          <w:ilvl w:val="1"/>
          <w:numId w:val="2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Seen in PBC; early exam can be normal. [9]</w:t>
      </w:r>
    </w:p>
    <w:p w:rsidR="00000000" w:rsidRPr="00513A83" w:rsidRDefault="00000000" w:rsidP="00513A83">
      <w:p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Portal hypertension / chronic liver disease (stigmata often high specificity, low sensitivity)</w:t>
      </w:r>
    </w:p>
    <w:p w:rsidR="00000000" w:rsidRPr="00513A83" w:rsidRDefault="00000000">
      <w:pPr>
        <w:numPr>
          <w:ilvl w:val="0"/>
          <w:numId w:val="2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Spider angiomata, palmar erythema, caput medusae, gynecomastia, testicular atrophy, decreased body hair, Terry nails</w:t>
      </w:r>
      <w:r w:rsidRPr="00513A83">
        <w:rPr>
          <w:rFonts w:ascii="Calibri" w:eastAsia="Times New Roman" w:hAnsi="Calibri" w:cs="Calibri"/>
          <w:color w:val="111111"/>
          <w:sz w:val="22"/>
          <w:szCs w:val="22"/>
        </w:rPr>
        <w:t xml:space="preserve"> </w:t>
      </w:r>
    </w:p>
    <w:p w:rsidR="00000000" w:rsidRPr="00513A83" w:rsidRDefault="00000000">
      <w:pPr>
        <w:numPr>
          <w:ilvl w:val="1"/>
          <w:numId w:val="2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reflects chronic hepatic dysfunction with altered sex hormone metabolism/vasodilatory milieu and systemic circulatory changes. Several of these have </w:t>
      </w:r>
      <w:r w:rsidRPr="00513A83">
        <w:rPr>
          <w:rStyle w:val="Strong"/>
          <w:rFonts w:ascii="Calibri" w:eastAsia="Times New Roman" w:hAnsi="Calibri" w:cs="Calibri"/>
          <w:color w:val="111111"/>
          <w:sz w:val="22"/>
          <w:szCs w:val="22"/>
        </w:rPr>
        <w:t>&gt;90% specificity</w:t>
      </w:r>
      <w:r w:rsidRPr="00513A83">
        <w:rPr>
          <w:rFonts w:ascii="Calibri" w:eastAsia="Times New Roman" w:hAnsi="Calibri" w:cs="Calibri"/>
          <w:color w:val="111111"/>
          <w:sz w:val="22"/>
          <w:szCs w:val="22"/>
        </w:rPr>
        <w:t xml:space="preserve"> for cirrhosis though they are not sensitive. [10]</w:t>
      </w:r>
    </w:p>
    <w:p w:rsidR="00000000" w:rsidRPr="00513A83" w:rsidRDefault="00000000">
      <w:pPr>
        <w:numPr>
          <w:ilvl w:val="0"/>
          <w:numId w:val="2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Easy bruising/ecchymoses</w:t>
      </w:r>
      <w:r w:rsidRPr="00513A83">
        <w:rPr>
          <w:rFonts w:ascii="Calibri" w:eastAsia="Times New Roman" w:hAnsi="Calibri" w:cs="Calibri"/>
          <w:color w:val="111111"/>
          <w:sz w:val="22"/>
          <w:szCs w:val="22"/>
        </w:rPr>
        <w:t xml:space="preserve"> </w:t>
      </w:r>
    </w:p>
    <w:p w:rsidR="00000000" w:rsidRPr="00513A83" w:rsidRDefault="00000000">
      <w:pPr>
        <w:numPr>
          <w:ilvl w:val="1"/>
          <w:numId w:val="2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reduced hepatic synthesis of clotting factors plus thrombocytopenia from hypersplenism; look for spontaneous bruising or bleeding at venipuncture sites. [5]</w:t>
      </w:r>
    </w:p>
    <w:p w:rsidR="00000000" w:rsidRPr="00513A83" w:rsidRDefault="00000000" w:rsidP="00513A83">
      <w:p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Alcohol-specific external clues (support etiology, not severity alone)</w:t>
      </w:r>
    </w:p>
    <w:p w:rsidR="00000000" w:rsidRPr="00513A83" w:rsidRDefault="00000000">
      <w:pPr>
        <w:numPr>
          <w:ilvl w:val="0"/>
          <w:numId w:val="3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Dupuytren’s contracture</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parotid enlargement</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rhinophyma</w:t>
      </w:r>
      <w:r w:rsidRPr="00513A83">
        <w:rPr>
          <w:rFonts w:ascii="Calibri" w:eastAsia="Times New Roman" w:hAnsi="Calibri" w:cs="Calibri"/>
          <w:color w:val="111111"/>
          <w:sz w:val="22"/>
          <w:szCs w:val="22"/>
        </w:rPr>
        <w:t xml:space="preserve"> (when present) support chronic alcohol exposure. [5] [7]</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 Eye, mouth, and endocrine/reproductive exam (etiology clues)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 Wilson disease screen (especially in young or unexplained hepatitis)</w:t>
      </w:r>
    </w:p>
    <w:p w:rsidR="00000000" w:rsidRPr="00513A83" w:rsidRDefault="00000000">
      <w:pPr>
        <w:numPr>
          <w:ilvl w:val="0"/>
          <w:numId w:val="3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Slit-lamp/close corneal inspection for Kayser–Fleischer rings</w:t>
      </w:r>
      <w:r w:rsidRPr="00513A83">
        <w:rPr>
          <w:rFonts w:ascii="Calibri" w:eastAsia="Times New Roman" w:hAnsi="Calibri" w:cs="Calibri"/>
          <w:color w:val="111111"/>
          <w:sz w:val="22"/>
          <w:szCs w:val="22"/>
        </w:rPr>
        <w:t xml:space="preserve"> (often requires slit lamp to confirm) </w:t>
      </w:r>
    </w:p>
    <w:p w:rsidR="00000000" w:rsidRPr="00513A83" w:rsidRDefault="00000000">
      <w:pPr>
        <w:numPr>
          <w:ilvl w:val="1"/>
          <w:numId w:val="3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copper deposition in Descemet membrane; presence strongly supports systemic copper overload in the right clinical context. [1]</w:t>
      </w:r>
    </w:p>
    <w:p w:rsidR="00000000" w:rsidRPr="00513A83" w:rsidRDefault="00000000">
      <w:pPr>
        <w:numPr>
          <w:ilvl w:val="0"/>
          <w:numId w:val="3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Consider </w:t>
      </w:r>
      <w:r w:rsidRPr="00513A83">
        <w:rPr>
          <w:rStyle w:val="Strong"/>
          <w:rFonts w:ascii="Calibri" w:eastAsia="Times New Roman" w:hAnsi="Calibri" w:cs="Calibri"/>
          <w:color w:val="111111"/>
          <w:sz w:val="22"/>
          <w:szCs w:val="22"/>
        </w:rPr>
        <w:t>sunflower cataracts</w:t>
      </w:r>
      <w:r w:rsidRPr="00513A83">
        <w:rPr>
          <w:rFonts w:ascii="Calibri" w:eastAsia="Times New Roman" w:hAnsi="Calibri" w:cs="Calibri"/>
          <w:color w:val="111111"/>
          <w:sz w:val="22"/>
          <w:szCs w:val="22"/>
        </w:rPr>
        <w:t xml:space="preserve"> (less common). [1]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B. Chronic liver disease endocrine effects</w:t>
      </w:r>
    </w:p>
    <w:p w:rsidR="00000000" w:rsidRPr="00513A83" w:rsidRDefault="00000000">
      <w:pPr>
        <w:numPr>
          <w:ilvl w:val="0"/>
          <w:numId w:val="3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Gynecomastia, testicular atrophy, decreased body hair, amenorrhea</w:t>
      </w:r>
      <w:r w:rsidRPr="00513A83">
        <w:rPr>
          <w:rFonts w:ascii="Calibri" w:eastAsia="Times New Roman" w:hAnsi="Calibri" w:cs="Calibri"/>
          <w:color w:val="111111"/>
          <w:sz w:val="22"/>
          <w:szCs w:val="22"/>
        </w:rPr>
        <w:t xml:space="preserve"> </w:t>
      </w:r>
    </w:p>
    <w:p w:rsidR="00000000" w:rsidRPr="00513A83" w:rsidRDefault="00000000">
      <w:pPr>
        <w:numPr>
          <w:ilvl w:val="1"/>
          <w:numId w:val="3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impaired hepatic metabolism of sex hormones and altered binding proteins; common in advanced chronic disease and alcohol-associated disease. [10] [</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4) Abdominal exam: structure it to answer 5 questions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Question 1: Is there hepatomegaly? If yes, what does it feel like?</w:t>
      </w:r>
    </w:p>
    <w:p w:rsidR="00000000" w:rsidRPr="00513A83" w:rsidRDefault="00000000">
      <w:pPr>
        <w:numPr>
          <w:ilvl w:val="0"/>
          <w:numId w:val="3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Size</w:t>
      </w:r>
      <w:r w:rsidRPr="00513A83">
        <w:rPr>
          <w:rFonts w:ascii="Calibri" w:eastAsia="Times New Roman" w:hAnsi="Calibri" w:cs="Calibri"/>
          <w:color w:val="111111"/>
          <w:sz w:val="22"/>
          <w:szCs w:val="22"/>
        </w:rPr>
        <w:t>: liver span/percussion + palpation.</w:t>
      </w:r>
    </w:p>
    <w:p w:rsidR="00000000" w:rsidRPr="00513A83" w:rsidRDefault="00000000">
      <w:pPr>
        <w:numPr>
          <w:ilvl w:val="0"/>
          <w:numId w:val="3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Texture</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firm/nodular</w:t>
      </w:r>
      <w:r w:rsidRPr="00513A83">
        <w:rPr>
          <w:rFonts w:ascii="Calibri" w:eastAsia="Times New Roman" w:hAnsi="Calibri" w:cs="Calibri"/>
          <w:color w:val="111111"/>
          <w:sz w:val="22"/>
          <w:szCs w:val="22"/>
        </w:rPr>
        <w:t xml:space="preserve"> suggests cirrhosis; </w:t>
      </w:r>
      <w:r w:rsidRPr="00513A83">
        <w:rPr>
          <w:rStyle w:val="Strong"/>
          <w:rFonts w:ascii="Calibri" w:eastAsia="Times New Roman" w:hAnsi="Calibri" w:cs="Calibri"/>
          <w:color w:val="111111"/>
          <w:sz w:val="22"/>
          <w:szCs w:val="22"/>
        </w:rPr>
        <w:t>tender hepatomegaly</w:t>
      </w:r>
      <w:r w:rsidRPr="00513A83">
        <w:rPr>
          <w:rFonts w:ascii="Calibri" w:eastAsia="Times New Roman" w:hAnsi="Calibri" w:cs="Calibri"/>
          <w:color w:val="111111"/>
          <w:sz w:val="22"/>
          <w:szCs w:val="22"/>
        </w:rPr>
        <w:t xml:space="preserve"> supports alcoholic hepatitis or hepatic congestion; </w:t>
      </w:r>
      <w:r w:rsidRPr="00513A83">
        <w:rPr>
          <w:rStyle w:val="Strong"/>
          <w:rFonts w:ascii="Calibri" w:eastAsia="Times New Roman" w:hAnsi="Calibri" w:cs="Calibri"/>
          <w:color w:val="111111"/>
          <w:sz w:val="22"/>
          <w:szCs w:val="22"/>
        </w:rPr>
        <w:t>hepatic bruit</w:t>
      </w:r>
      <w:r w:rsidRPr="00513A83">
        <w:rPr>
          <w:rFonts w:ascii="Calibri" w:eastAsia="Times New Roman" w:hAnsi="Calibri" w:cs="Calibri"/>
          <w:color w:val="111111"/>
          <w:sz w:val="22"/>
          <w:szCs w:val="22"/>
        </w:rPr>
        <w:t xml:space="preserve"> can occur in alcoholic hepatitis or HCC. [2] [7] [5] </w:t>
      </w:r>
    </w:p>
    <w:p w:rsidR="00000000" w:rsidRPr="00513A83" w:rsidRDefault="00000000">
      <w:pPr>
        <w:numPr>
          <w:ilvl w:val="1"/>
          <w:numId w:val="3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w:t>
      </w:r>
    </w:p>
    <w:p w:rsidR="00000000" w:rsidRPr="00513A83" w:rsidRDefault="00000000">
      <w:pPr>
        <w:numPr>
          <w:ilvl w:val="2"/>
          <w:numId w:val="3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Tender hepatomegaly</w:t>
      </w:r>
      <w:r w:rsidRPr="00513A83">
        <w:rPr>
          <w:rFonts w:ascii="Calibri" w:eastAsia="Times New Roman" w:hAnsi="Calibri" w:cs="Calibri"/>
          <w:color w:val="111111"/>
          <w:sz w:val="22"/>
          <w:szCs w:val="22"/>
        </w:rPr>
        <w:t>: acute hepatocellular inflammation and capsular stretch (e.g., alcoholic hepatitis). [7]</w:t>
      </w:r>
    </w:p>
    <w:p w:rsidR="00000000" w:rsidRPr="00513A83" w:rsidRDefault="00000000">
      <w:pPr>
        <w:numPr>
          <w:ilvl w:val="2"/>
          <w:numId w:val="3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Firm/nodular liver</w:t>
      </w:r>
      <w:r w:rsidRPr="00513A83">
        <w:rPr>
          <w:rFonts w:ascii="Calibri" w:eastAsia="Times New Roman" w:hAnsi="Calibri" w:cs="Calibri"/>
          <w:color w:val="111111"/>
          <w:sz w:val="22"/>
          <w:szCs w:val="22"/>
        </w:rPr>
        <w:t>: fibrosis and regenerative nodules distort architecture.</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Question 2: Is there ascites (and is it tense/complicated)?</w:t>
      </w:r>
    </w:p>
    <w:p w:rsidR="00000000" w:rsidRPr="00513A83" w:rsidRDefault="00000000">
      <w:pPr>
        <w:numPr>
          <w:ilvl w:val="0"/>
          <w:numId w:val="3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Inspect</w:t>
      </w:r>
      <w:r w:rsidRPr="00513A83">
        <w:rPr>
          <w:rFonts w:ascii="Calibri" w:eastAsia="Times New Roman" w:hAnsi="Calibri" w:cs="Calibri"/>
          <w:color w:val="111111"/>
          <w:sz w:val="22"/>
          <w:szCs w:val="22"/>
        </w:rPr>
        <w:t xml:space="preserve"> abdominal distension, bulging flanks, umbilical hernia.</w:t>
      </w:r>
    </w:p>
    <w:p w:rsidR="00000000" w:rsidRPr="00513A83" w:rsidRDefault="00000000">
      <w:pPr>
        <w:numPr>
          <w:ilvl w:val="0"/>
          <w:numId w:val="3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Percussion</w:t>
      </w:r>
      <w:r w:rsidRPr="00513A83">
        <w:rPr>
          <w:rFonts w:ascii="Calibri" w:eastAsia="Times New Roman" w:hAnsi="Calibri" w:cs="Calibri"/>
          <w:color w:val="111111"/>
          <w:sz w:val="22"/>
          <w:szCs w:val="22"/>
        </w:rPr>
        <w:t xml:space="preserve"> for </w:t>
      </w:r>
      <w:r w:rsidRPr="00513A83">
        <w:rPr>
          <w:rStyle w:val="Strong"/>
          <w:rFonts w:ascii="Calibri" w:eastAsia="Times New Roman" w:hAnsi="Calibri" w:cs="Calibri"/>
          <w:color w:val="111111"/>
          <w:sz w:val="22"/>
          <w:szCs w:val="22"/>
        </w:rPr>
        <w:t>shifting dullness</w:t>
      </w:r>
      <w:r w:rsidRPr="00513A83">
        <w:rPr>
          <w:rFonts w:ascii="Calibri" w:eastAsia="Times New Roman" w:hAnsi="Calibri" w:cs="Calibri"/>
          <w:color w:val="111111"/>
          <w:sz w:val="22"/>
          <w:szCs w:val="22"/>
        </w:rPr>
        <w:t xml:space="preserve"> (screen) and assess for tenderness/guarding or masses. [11] </w:t>
      </w:r>
    </w:p>
    <w:p w:rsidR="00000000" w:rsidRPr="00513A83" w:rsidRDefault="00000000">
      <w:pPr>
        <w:numPr>
          <w:ilvl w:val="1"/>
          <w:numId w:val="3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portal HTN increases sinusoidal hydrostatic pressure plus splanchnic vasodilation and neurohormonal sodium retention → peritoneal fluid accumulation; tense ascites also increases hernia risk and can impair ventilation. [11]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Question 3: Is there splenomegaly (proxy for portal hypertension)?</w:t>
      </w:r>
    </w:p>
    <w:p w:rsidR="00000000" w:rsidRPr="00513A83" w:rsidRDefault="00000000">
      <w:pPr>
        <w:numPr>
          <w:ilvl w:val="0"/>
          <w:numId w:val="3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Palpation (start RLQ) and percussion; assess size and tenderness. </w:t>
      </w:r>
    </w:p>
    <w:p w:rsidR="00000000" w:rsidRPr="00513A83" w:rsidRDefault="00000000">
      <w:pPr>
        <w:numPr>
          <w:ilvl w:val="1"/>
          <w:numId w:val="36"/>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portal HTN causes congestive splenomegaly; associated hypersplenism contributes to cytopenias. Presence is a </w:t>
      </w:r>
      <w:r w:rsidRPr="00513A83">
        <w:rPr>
          <w:rStyle w:val="Strong"/>
          <w:rFonts w:ascii="Calibri" w:eastAsia="Times New Roman" w:hAnsi="Calibri" w:cs="Calibri"/>
          <w:color w:val="111111"/>
          <w:sz w:val="22"/>
          <w:szCs w:val="22"/>
        </w:rPr>
        <w:t>reliable sign</w:t>
      </w:r>
      <w:r w:rsidRPr="00513A83">
        <w:rPr>
          <w:rFonts w:ascii="Calibri" w:eastAsia="Times New Roman" w:hAnsi="Calibri" w:cs="Calibri"/>
          <w:color w:val="111111"/>
          <w:sz w:val="22"/>
          <w:szCs w:val="22"/>
        </w:rPr>
        <w:t xml:space="preserve"> of portal HTN; absence should prompt reconsideration. [2]</w:t>
      </w:r>
    </w:p>
    <w:p w:rsidR="00000000" w:rsidRPr="00513A83" w:rsidRDefault="00000000">
      <w:pPr>
        <w:numPr>
          <w:ilvl w:val="0"/>
          <w:numId w:val="3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Diagnostic performance: </w:t>
      </w:r>
      <w:r w:rsidRPr="00513A83">
        <w:rPr>
          <w:rStyle w:val="Strong"/>
          <w:rFonts w:ascii="Calibri" w:eastAsia="Times New Roman" w:hAnsi="Calibri" w:cs="Calibri"/>
          <w:color w:val="111111"/>
          <w:sz w:val="22"/>
          <w:szCs w:val="22"/>
        </w:rPr>
        <w:t>ascites</w:t>
      </w:r>
      <w:r w:rsidRPr="00513A83">
        <w:rPr>
          <w:rFonts w:ascii="Calibri" w:eastAsia="Times New Roman" w:hAnsi="Calibri" w:cs="Calibri"/>
          <w:color w:val="111111"/>
          <w:sz w:val="22"/>
          <w:szCs w:val="22"/>
        </w:rPr>
        <w:t xml:space="preserve"> markedly increases likelihood of cirrhosis (LR ~7.2). [4]</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Question 4: Are there abdominal wall collaterals (portosystemic shunting)?</w:t>
      </w:r>
    </w:p>
    <w:p w:rsidR="00000000" w:rsidRPr="00513A83" w:rsidRDefault="00000000">
      <w:pPr>
        <w:numPr>
          <w:ilvl w:val="0"/>
          <w:numId w:val="3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Look for </w:t>
      </w:r>
      <w:r w:rsidRPr="00513A83">
        <w:rPr>
          <w:rStyle w:val="Strong"/>
          <w:rFonts w:ascii="Calibri" w:eastAsia="Times New Roman" w:hAnsi="Calibri" w:cs="Calibri"/>
          <w:color w:val="111111"/>
          <w:sz w:val="22"/>
          <w:szCs w:val="22"/>
        </w:rPr>
        <w:t>dilated veins</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caput medusae</w:t>
      </w:r>
      <w:r w:rsidRPr="00513A83">
        <w:rPr>
          <w:rFonts w:ascii="Calibri" w:eastAsia="Times New Roman" w:hAnsi="Calibri" w:cs="Calibri"/>
          <w:color w:val="111111"/>
          <w:sz w:val="22"/>
          <w:szCs w:val="22"/>
        </w:rPr>
        <w:t xml:space="preserve">, and (if skilled/appropriate) assess direction of venous flow; consider listening for </w:t>
      </w:r>
      <w:r w:rsidRPr="00513A83">
        <w:rPr>
          <w:rStyle w:val="Strong"/>
          <w:rFonts w:ascii="Calibri" w:eastAsia="Times New Roman" w:hAnsi="Calibri" w:cs="Calibri"/>
          <w:color w:val="111111"/>
          <w:sz w:val="22"/>
          <w:szCs w:val="22"/>
        </w:rPr>
        <w:t>venous hum</w:t>
      </w:r>
      <w:r w:rsidRPr="00513A83">
        <w:rPr>
          <w:rFonts w:ascii="Calibri" w:eastAsia="Times New Roman" w:hAnsi="Calibri" w:cs="Calibri"/>
          <w:color w:val="111111"/>
          <w:sz w:val="22"/>
          <w:szCs w:val="22"/>
        </w:rPr>
        <w:t xml:space="preserve"> near umbilicus/xiphoid (Cruveilhier–Baumgarten). [2] </w:t>
      </w:r>
    </w:p>
    <w:p w:rsidR="00000000" w:rsidRPr="00513A83" w:rsidRDefault="00000000">
      <w:pPr>
        <w:numPr>
          <w:ilvl w:val="1"/>
          <w:numId w:val="3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diversion of portal blood through paraumbilical veins into systemic circulation as portal pressure rises.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Question 5: Is there focal RUQ mass or gallbladder enlargement suggesting obstruction/malignancy?</w:t>
      </w:r>
    </w:p>
    <w:p w:rsidR="00000000" w:rsidRPr="00513A83" w:rsidRDefault="00000000">
      <w:pPr>
        <w:numPr>
          <w:ilvl w:val="0"/>
          <w:numId w:val="3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Palpate for mass, gallbladder enlargement, marked RUQ tenderness; correlate with progressive painless jaundice (raises malignancy suspicion). [11]</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5) Peripheral edema and cardiopulmonary exam (distinguish hepatic vs cardiac causes of “hepatitis picture”)</w:t>
      </w:r>
    </w:p>
    <w:p w:rsidR="00000000" w:rsidRPr="00513A83" w:rsidRDefault="00000000">
      <w:pPr>
        <w:numPr>
          <w:ilvl w:val="0"/>
          <w:numId w:val="3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Bilateral pedal edema</w:t>
      </w:r>
      <w:r w:rsidRPr="00513A83">
        <w:rPr>
          <w:rFonts w:ascii="Calibri" w:eastAsia="Times New Roman" w:hAnsi="Calibri" w:cs="Calibri"/>
          <w:color w:val="111111"/>
          <w:sz w:val="22"/>
          <w:szCs w:val="22"/>
        </w:rPr>
        <w:t>: low albumin/portal HTN vs heart failure vs renal causes. [2]</w:t>
      </w:r>
    </w:p>
    <w:p w:rsidR="00000000" w:rsidRPr="00513A83" w:rsidRDefault="00000000">
      <w:pPr>
        <w:numPr>
          <w:ilvl w:val="0"/>
          <w:numId w:val="3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JVP elevation, pulmonary crackles, pericardial rub</w:t>
      </w:r>
      <w:r w:rsidRPr="00513A83">
        <w:rPr>
          <w:rFonts w:ascii="Calibri" w:eastAsia="Times New Roman" w:hAnsi="Calibri" w:cs="Calibri"/>
          <w:color w:val="111111"/>
          <w:sz w:val="22"/>
          <w:szCs w:val="22"/>
        </w:rPr>
        <w:t xml:space="preserve"> to assess for heart failure/constrictive pericarditis in new ascites evaluation. [11] </w:t>
      </w:r>
    </w:p>
    <w:p w:rsidR="00000000" w:rsidRPr="00513A83" w:rsidRDefault="00000000">
      <w:pPr>
        <w:numPr>
          <w:ilvl w:val="1"/>
          <w:numId w:val="3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congestive hepatopathy arises from elevated right-sided pressures → hepatic sinusoidal congestion and hepatocyte injury; exam evidence of systemic venous congestion helps reframe “hepatitis” as cardiac liver disease.</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6) Neuromuscular exam beyond asterixis (etiology and complications)</w:t>
      </w:r>
    </w:p>
    <w:p w:rsidR="00000000" w:rsidRPr="00563070" w:rsidRDefault="00000000" w:rsidP="00563070">
      <w:pPr>
        <w:numPr>
          <w:ilvl w:val="0"/>
          <w:numId w:val="4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Fine tremor, agitation, tachycardia</w:t>
      </w:r>
      <w:r w:rsidRPr="00513A83">
        <w:rPr>
          <w:rFonts w:ascii="Calibri" w:eastAsia="Times New Roman" w:hAnsi="Calibri" w:cs="Calibri"/>
          <w:color w:val="111111"/>
          <w:sz w:val="22"/>
          <w:szCs w:val="22"/>
        </w:rPr>
        <w:t xml:space="preserve"> → alcohol withdrawal physiology (sympathetic overactivity). [5] [7]</w:t>
      </w:r>
      <w:r w:rsidR="00563070">
        <w:rPr>
          <w:rFonts w:ascii="Calibri" w:eastAsia="Times New Roman" w:hAnsi="Calibri" w:cs="Calibri"/>
          <w:color w:val="111111"/>
          <w:sz w:val="22"/>
          <w:szCs w:val="22"/>
          <w:lang w:val="en-US"/>
        </w:rPr>
        <w:t xml:space="preserve"> </w:t>
      </w:r>
      <w:r w:rsidRPr="00563070">
        <w:rPr>
          <w:rFonts w:ascii="Calibri" w:eastAsia="Times New Roman" w:hAnsi="Calibri" w:cs="Calibri"/>
          <w:color w:val="111111"/>
          <w:sz w:val="22"/>
          <w:szCs w:val="22"/>
        </w:rPr>
        <w:t xml:space="preserve">If Wilson suspected: look for </w:t>
      </w:r>
      <w:r w:rsidRPr="00563070">
        <w:rPr>
          <w:rStyle w:val="Strong"/>
          <w:rFonts w:ascii="Calibri" w:eastAsia="Times New Roman" w:hAnsi="Calibri" w:cs="Calibri"/>
          <w:color w:val="111111"/>
          <w:sz w:val="22"/>
          <w:szCs w:val="22"/>
        </w:rPr>
        <w:t>tremor, dystonia, dysarthria, gait disturbance</w:t>
      </w:r>
      <w:r w:rsidRPr="00563070">
        <w:rPr>
          <w:rFonts w:ascii="Calibri" w:eastAsia="Times New Roman" w:hAnsi="Calibri" w:cs="Calibri"/>
          <w:color w:val="111111"/>
          <w:sz w:val="22"/>
          <w:szCs w:val="22"/>
        </w:rPr>
        <w:t xml:space="preserve"> </w:t>
      </w:r>
    </w:p>
    <w:p w:rsidR="00000000" w:rsidRPr="00513A83" w:rsidRDefault="00000000">
      <w:pPr>
        <w:numPr>
          <w:ilvl w:val="1"/>
          <w:numId w:val="4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copper deposition in basal ganglia/cerebellar circuits causes movement disorders; hepatic disease can precede neurologic disease by years. [1]</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7) What exam findings are most diagnostically “worth something” for cirrhosis?</w:t>
      </w:r>
    </w:p>
    <w:p w:rsidR="00000000" w:rsidRPr="00563070" w:rsidRDefault="00000000" w:rsidP="00563070">
      <w:pPr>
        <w:numPr>
          <w:ilvl w:val="0"/>
          <w:numId w:val="4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Ascites</w:t>
      </w:r>
      <w:r w:rsidRPr="00513A83">
        <w:rPr>
          <w:rFonts w:ascii="Calibri" w:eastAsia="Times New Roman" w:hAnsi="Calibri" w:cs="Calibri"/>
          <w:color w:val="111111"/>
          <w:sz w:val="22"/>
          <w:szCs w:val="22"/>
        </w:rPr>
        <w:t xml:space="preserve">: LR </w:t>
      </w:r>
      <w:r w:rsidRPr="00513A83">
        <w:rPr>
          <w:rStyle w:val="Strong"/>
          <w:rFonts w:ascii="Calibri" w:eastAsia="Times New Roman" w:hAnsi="Calibri" w:cs="Calibri"/>
          <w:color w:val="111111"/>
          <w:sz w:val="22"/>
          <w:szCs w:val="22"/>
        </w:rPr>
        <w:t>7.2</w:t>
      </w:r>
      <w:r w:rsidRPr="00513A83">
        <w:rPr>
          <w:rFonts w:ascii="Calibri" w:eastAsia="Times New Roman" w:hAnsi="Calibri" w:cs="Calibri"/>
          <w:color w:val="111111"/>
          <w:sz w:val="22"/>
          <w:szCs w:val="22"/>
        </w:rPr>
        <w:t xml:space="preserve"> for biopsy-proven cirrhosis (meta-analysis, 19,533 patients; cirrhosis prevalence 24%). </w:t>
      </w:r>
      <w:r w:rsidRPr="00563070">
        <w:rPr>
          <w:rStyle w:val="Strong"/>
          <w:rFonts w:ascii="Calibri" w:eastAsia="Times New Roman" w:hAnsi="Calibri" w:cs="Calibri"/>
          <w:color w:val="111111"/>
          <w:sz w:val="22"/>
          <w:szCs w:val="22"/>
        </w:rPr>
        <w:t>Spider nevi</w:t>
      </w:r>
      <w:r w:rsidRPr="00563070">
        <w:rPr>
          <w:rFonts w:ascii="Calibri" w:eastAsia="Times New Roman" w:hAnsi="Calibri" w:cs="Calibri"/>
          <w:color w:val="111111"/>
          <w:sz w:val="22"/>
          <w:szCs w:val="22"/>
        </w:rPr>
        <w:t xml:space="preserve">: LR </w:t>
      </w:r>
      <w:r w:rsidRPr="00563070">
        <w:rPr>
          <w:rStyle w:val="Strong"/>
          <w:rFonts w:ascii="Calibri" w:eastAsia="Times New Roman" w:hAnsi="Calibri" w:cs="Calibri"/>
          <w:color w:val="111111"/>
          <w:sz w:val="22"/>
          <w:szCs w:val="22"/>
        </w:rPr>
        <w:t>4.3</w:t>
      </w:r>
      <w:r w:rsidRPr="00563070">
        <w:rPr>
          <w:rFonts w:ascii="Calibri" w:eastAsia="Times New Roman" w:hAnsi="Calibri" w:cs="Calibri"/>
          <w:color w:val="111111"/>
          <w:sz w:val="22"/>
          <w:szCs w:val="22"/>
        </w:rPr>
        <w:t xml:space="preserve"> for cirrhosis in the same meta-analysis. [4]</w:t>
      </w:r>
      <w:r w:rsidR="00563070">
        <w:rPr>
          <w:rFonts w:ascii="Calibri" w:eastAsia="Times New Roman" w:hAnsi="Calibri" w:cs="Calibri"/>
          <w:color w:val="111111"/>
          <w:sz w:val="22"/>
          <w:szCs w:val="22"/>
          <w:lang w:val="en-US"/>
        </w:rPr>
        <w:t xml:space="preserve"> </w:t>
      </w:r>
      <w:r w:rsidRPr="00563070">
        <w:rPr>
          <w:rFonts w:ascii="Calibri" w:eastAsia="Times New Roman" w:hAnsi="Calibri" w:cs="Calibri"/>
          <w:color w:val="111111"/>
          <w:sz w:val="22"/>
          <w:szCs w:val="22"/>
        </w:rPr>
        <w:t xml:space="preserve">Multiple stigmata (e.g., </w:t>
      </w:r>
      <w:r w:rsidRPr="00563070">
        <w:rPr>
          <w:rStyle w:val="Strong"/>
          <w:rFonts w:ascii="Calibri" w:eastAsia="Times New Roman" w:hAnsi="Calibri" w:cs="Calibri"/>
          <w:color w:val="111111"/>
          <w:sz w:val="22"/>
          <w:szCs w:val="22"/>
        </w:rPr>
        <w:t>palmar erythema, caput medusae, gynecomastia, Terry nails, jaundice</w:t>
      </w:r>
      <w:r w:rsidRPr="00563070">
        <w:rPr>
          <w:rFonts w:ascii="Calibri" w:eastAsia="Times New Roman" w:hAnsi="Calibri" w:cs="Calibri"/>
          <w:color w:val="111111"/>
          <w:sz w:val="22"/>
          <w:szCs w:val="22"/>
        </w:rPr>
        <w:t xml:space="preserve">) have </w:t>
      </w:r>
      <w:r w:rsidRPr="00563070">
        <w:rPr>
          <w:rStyle w:val="Strong"/>
          <w:rFonts w:ascii="Calibri" w:eastAsia="Times New Roman" w:hAnsi="Calibri" w:cs="Calibri"/>
          <w:color w:val="111111"/>
          <w:sz w:val="22"/>
          <w:szCs w:val="22"/>
        </w:rPr>
        <w:t>&gt;90% specificity</w:t>
      </w:r>
      <w:r w:rsidRPr="00563070">
        <w:rPr>
          <w:rFonts w:ascii="Calibri" w:eastAsia="Times New Roman" w:hAnsi="Calibri" w:cs="Calibri"/>
          <w:color w:val="111111"/>
          <w:sz w:val="22"/>
          <w:szCs w:val="22"/>
        </w:rPr>
        <w:t xml:space="preserve"> for cirrhosis but limited sensitivity—useful to “rule in,” not to “rule out.” [10]</w:t>
      </w:r>
    </w:p>
    <w:p w:rsidR="00000000" w:rsidRPr="00563070" w:rsidRDefault="00000000" w:rsidP="0056307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Table: Physical examination in hepatitis—what to look for and the pathobiology it implies</w:t>
      </w:r>
    </w:p>
    <w:tbl>
      <w:tblPr>
        <w:tblStyle w:val="TableGrid"/>
        <w:tblW w:w="5082" w:type="pct"/>
        <w:tblLayout w:type="fixed"/>
        <w:tblLook w:val="04A0" w:firstRow="1" w:lastRow="0" w:firstColumn="1" w:lastColumn="0" w:noHBand="0" w:noVBand="1"/>
      </w:tblPr>
      <w:tblGrid>
        <w:gridCol w:w="2484"/>
        <w:gridCol w:w="1994"/>
        <w:gridCol w:w="2465"/>
        <w:gridCol w:w="2221"/>
      </w:tblGrid>
      <w:tr w:rsidR="00563070" w:rsidRPr="00513A83" w:rsidTr="00563070">
        <w:trPr>
          <w:divId w:val="1452745915"/>
        </w:trPr>
        <w:tc>
          <w:tcPr>
            <w:tcW w:w="1355" w:type="pct"/>
            <w:hideMark/>
          </w:tcPr>
          <w:p w:rsidR="00000000" w:rsidRPr="00513A83" w:rsidRDefault="00000000">
            <w:pPr>
              <w:spacing w:before="150" w:after="150"/>
              <w:jc w:val="center"/>
              <w:rPr>
                <w:rFonts w:ascii="Calibri" w:eastAsia="Times New Roman" w:hAnsi="Calibri" w:cs="Calibri"/>
                <w:b/>
                <w:bCs/>
                <w:color w:val="111111"/>
                <w:sz w:val="22"/>
                <w:szCs w:val="22"/>
              </w:rPr>
            </w:pPr>
            <w:r w:rsidRPr="00513A83">
              <w:rPr>
                <w:rFonts w:ascii="Calibri" w:eastAsia="Times New Roman" w:hAnsi="Calibri" w:cs="Calibri"/>
                <w:b/>
                <w:bCs/>
                <w:color w:val="111111"/>
                <w:sz w:val="22"/>
                <w:szCs w:val="22"/>
              </w:rPr>
              <w:t>Exam domain / sign</w:t>
            </w:r>
          </w:p>
        </w:tc>
        <w:tc>
          <w:tcPr>
            <w:tcW w:w="1088" w:type="pct"/>
            <w:hideMark/>
          </w:tcPr>
          <w:p w:rsidR="00000000" w:rsidRPr="00513A83" w:rsidRDefault="00000000">
            <w:pPr>
              <w:spacing w:before="150" w:after="150"/>
              <w:jc w:val="center"/>
              <w:rPr>
                <w:rFonts w:ascii="Calibri" w:eastAsia="Times New Roman" w:hAnsi="Calibri" w:cs="Calibri"/>
                <w:b/>
                <w:bCs/>
                <w:color w:val="111111"/>
                <w:sz w:val="22"/>
                <w:szCs w:val="22"/>
              </w:rPr>
            </w:pPr>
            <w:r w:rsidRPr="00513A83">
              <w:rPr>
                <w:rFonts w:ascii="Calibri" w:eastAsia="Times New Roman" w:hAnsi="Calibri" w:cs="Calibri"/>
                <w:b/>
                <w:bCs/>
                <w:color w:val="111111"/>
                <w:sz w:val="22"/>
                <w:szCs w:val="22"/>
              </w:rPr>
              <w:t>What it suggests clinically</w:t>
            </w:r>
          </w:p>
        </w:tc>
        <w:tc>
          <w:tcPr>
            <w:tcW w:w="1345" w:type="pct"/>
            <w:hideMark/>
          </w:tcPr>
          <w:p w:rsidR="00000000" w:rsidRPr="00513A83" w:rsidRDefault="00000000">
            <w:pPr>
              <w:spacing w:before="150" w:after="150"/>
              <w:jc w:val="center"/>
              <w:rPr>
                <w:rFonts w:ascii="Calibri" w:eastAsia="Times New Roman" w:hAnsi="Calibri" w:cs="Calibri"/>
                <w:b/>
                <w:bCs/>
                <w:color w:val="111111"/>
                <w:sz w:val="22"/>
                <w:szCs w:val="22"/>
              </w:rPr>
            </w:pPr>
            <w:r w:rsidRPr="00513A83">
              <w:rPr>
                <w:rFonts w:ascii="Calibri" w:eastAsia="Times New Roman" w:hAnsi="Calibri" w:cs="Calibri"/>
                <w:b/>
                <w:bCs/>
                <w:color w:val="111111"/>
                <w:sz w:val="22"/>
                <w:szCs w:val="22"/>
              </w:rPr>
              <w:t>Pathobiology (why it happens)</w:t>
            </w:r>
          </w:p>
        </w:tc>
        <w:tc>
          <w:tcPr>
            <w:tcW w:w="1212" w:type="pct"/>
            <w:hideMark/>
          </w:tcPr>
          <w:p w:rsidR="00000000" w:rsidRPr="00513A83" w:rsidRDefault="00000000">
            <w:pPr>
              <w:spacing w:before="150" w:after="150"/>
              <w:jc w:val="center"/>
              <w:rPr>
                <w:rFonts w:ascii="Calibri" w:eastAsia="Times New Roman" w:hAnsi="Calibri" w:cs="Calibri"/>
                <w:b/>
                <w:bCs/>
                <w:color w:val="111111"/>
                <w:sz w:val="22"/>
                <w:szCs w:val="22"/>
              </w:rPr>
            </w:pPr>
            <w:r w:rsidRPr="00513A83">
              <w:rPr>
                <w:rFonts w:ascii="Calibri" w:eastAsia="Times New Roman" w:hAnsi="Calibri" w:cs="Calibri"/>
                <w:b/>
                <w:bCs/>
                <w:color w:val="111111"/>
                <w:sz w:val="22"/>
                <w:szCs w:val="22"/>
              </w:rPr>
              <w:t>Clinical Evidence</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Altered mentation, asterixis</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Hepatic encephalopathy; decompensation</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Portosystemic shunting + impaired detoxification → neurotoxin accumulation/neuroinflammation</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Portal HTN/cirrhosis stigmata include asterixis/HE [2]</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Ascites (shifting dullness), hernias</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Decompensated cirrhosis/portal HTN; need paracentesis</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Portal HTN + splanchnic vasodilation and sodium retention → peritoneal fluid</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Ascites exam elements emphasized in AASLD guidance [11]; ascites LR 7.2 for cirrhosis [4]</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Splenomegaly</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Portal HTN/hypersplenism</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Congestive splenomegaly from elevated portal pressure; sequestration contributes to cytopenias</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“Reliable sign” in portal HTN review; absence should prompt scrutiny [2]</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Abdominal wall collaterals/caput medusae ± venous hum</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Clinically significant portal HTN / spontaneous shunting</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Recanalization/opening of portosystemic channels (paraumbilical veins) to bypass high portal pressure</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Mechanistic description of collaterals and flow direction [2]; portal HTN PE features in APASL [9]</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Spider angiomata, palmar erythema, Terry </w:t>
            </w:r>
            <w:r w:rsidRPr="00513A83">
              <w:rPr>
                <w:rFonts w:ascii="Calibri" w:eastAsia="Times New Roman" w:hAnsi="Calibri" w:cs="Calibri"/>
                <w:color w:val="111111"/>
                <w:sz w:val="22"/>
                <w:szCs w:val="22"/>
              </w:rPr>
              <w:lastRenderedPageBreak/>
              <w:t>nails, gynecomastia, testicular atrophy</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Chronic liver disease/cirrhosis</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Altered hormone metabolism and systemic vasodilatory </w:t>
            </w:r>
            <w:r w:rsidRPr="00513A83">
              <w:rPr>
                <w:rFonts w:ascii="Calibri" w:eastAsia="Times New Roman" w:hAnsi="Calibri" w:cs="Calibri"/>
                <w:color w:val="111111"/>
                <w:sz w:val="22"/>
                <w:szCs w:val="22"/>
              </w:rPr>
              <w:lastRenderedPageBreak/>
              <w:t>milieu of chronic liver failure</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 xml:space="preserve">High-specificity stigmata noted in JAMA cirrhosis review </w:t>
            </w:r>
            <w:r w:rsidRPr="00513A83">
              <w:rPr>
                <w:rFonts w:ascii="Calibri" w:eastAsia="Times New Roman" w:hAnsi="Calibri" w:cs="Calibri"/>
                <w:color w:val="111111"/>
                <w:sz w:val="22"/>
                <w:szCs w:val="22"/>
              </w:rPr>
              <w:lastRenderedPageBreak/>
              <w:t>[10]; spider nevi LR 4.3 [4]</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Excoriations, xanthelasma/xanthomas, hepatomegaly (early PBC), jaundice (late PBC)</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Cholestatic disease (e.g., PBC)</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Cholestasis-associated pruritus → scratching; altered lipid handling → xanthomas; jaundice often late</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PBC PE features and timing [9]</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Tender hepatomegaly ± fever; hepatic bruit</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Alcoholic hepatitis (often with underlying cirrhosis)</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Acute inflammatory injury/steatohepatitis → capsular stretch; bruits may occur in AH/HCC</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AH guideline PE features [7]; ALD signs table [5]</w:t>
            </w:r>
          </w:p>
        </w:tc>
      </w:tr>
      <w:tr w:rsidR="00563070" w:rsidRPr="00513A83" w:rsidTr="00563070">
        <w:trPr>
          <w:divId w:val="1452745915"/>
        </w:trPr>
        <w:tc>
          <w:tcPr>
            <w:tcW w:w="135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Kayser–Fleischer rings; movement disorder</w:t>
            </w:r>
          </w:p>
        </w:tc>
        <w:tc>
          <w:tcPr>
            <w:tcW w:w="1088"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Wilson disease</w:t>
            </w:r>
          </w:p>
        </w:tc>
        <w:tc>
          <w:tcPr>
            <w:tcW w:w="1345"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Copper deposition (cornea; basal ganglia/cerebellum)</w:t>
            </w:r>
          </w:p>
        </w:tc>
        <w:tc>
          <w:tcPr>
            <w:tcW w:w="1212" w:type="pct"/>
            <w:hideMark/>
          </w:tcPr>
          <w:p w:rsidR="00000000" w:rsidRPr="00513A83" w:rsidRDefault="00000000">
            <w:pPr>
              <w:spacing w:before="150" w:after="150"/>
              <w:rPr>
                <w:rFonts w:ascii="Calibri" w:eastAsia="Times New Roman" w:hAnsi="Calibri" w:cs="Calibri"/>
                <w:color w:val="111111"/>
                <w:sz w:val="22"/>
                <w:szCs w:val="22"/>
              </w:rPr>
            </w:pPr>
            <w:r w:rsidRPr="00513A83">
              <w:rPr>
                <w:rFonts w:ascii="Calibri" w:eastAsia="Times New Roman" w:hAnsi="Calibri" w:cs="Calibri"/>
                <w:color w:val="111111"/>
                <w:sz w:val="22"/>
                <w:szCs w:val="22"/>
              </w:rPr>
              <w:t>EASL-ERN WD CPG clinical findings [1]</w:t>
            </w:r>
          </w:p>
        </w:tc>
      </w:tr>
    </w:tbl>
    <w:p w:rsidR="00000000" w:rsidRPr="00513A83" w:rsidRDefault="00DF7AE7">
      <w:pPr>
        <w:jc w:val="center"/>
        <w:divId w:val="1452745915"/>
        <w:rPr>
          <w:rFonts w:ascii="Calibri" w:eastAsia="Times New Roman" w:hAnsi="Calibri" w:cs="Calibri"/>
          <w:noProof/>
          <w:color w:val="111111"/>
          <w:sz w:val="22"/>
          <w:szCs w:val="22"/>
        </w:rPr>
      </w:pPr>
      <w:r>
        <w:rPr>
          <w:rFonts w:ascii="Calibri" w:eastAsia="Times New Roman" w:hAnsi="Calibri" w:cs="Calibri"/>
          <w:noProof/>
          <w:color w:val="111111"/>
          <w:sz w:val="22"/>
          <w:szCs w:val="22"/>
        </w:rPr>
        <w:pict>
          <v:rect id="_x0000_i1027" alt="" style="width:451.3pt;height:1pt;mso-width-percent:0;mso-height-percent:0;mso-width-percent:0;mso-height-percent:0" o:hralign="center" o:hrstd="t" o:hr="t" fillcolor="#a0a0a0" stroked="f"/>
        </w:pic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References:</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 </w:t>
      </w:r>
      <w:hyperlink r:id="rId18" w:history="1">
        <w:r w:rsidRPr="00513A83">
          <w:rPr>
            <w:rStyle w:val="Hyperlink"/>
            <w:rFonts w:ascii="Calibri" w:hAnsi="Calibri" w:cs="Calibri"/>
            <w:sz w:val="22"/>
            <w:szCs w:val="22"/>
          </w:rPr>
          <w:t>Does This Patient With Liver Disease Have Cirrhosis?</w:t>
        </w:r>
      </w:hyperlink>
      <w:r w:rsidRPr="00513A83">
        <w:rPr>
          <w:rFonts w:ascii="Calibri" w:hAnsi="Calibri" w:cs="Calibri"/>
          <w:color w:val="111111"/>
          <w:sz w:val="22"/>
          <w:szCs w:val="22"/>
        </w:rPr>
        <w:t xml:space="preserve"> JAMA. 2012. DOI: 10.1001/jama.2012.186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2. </w:t>
      </w:r>
      <w:hyperlink r:id="rId19" w:history="1">
        <w:r w:rsidRPr="00513A83">
          <w:rPr>
            <w:rStyle w:val="Hyperlink"/>
            <w:rFonts w:ascii="Calibri" w:hAnsi="Calibri" w:cs="Calibri"/>
            <w:sz w:val="22"/>
            <w:szCs w:val="22"/>
          </w:rPr>
          <w:t>Diagnosis and Management of Cirrhosis and Its Complications</w:t>
        </w:r>
      </w:hyperlink>
      <w:r w:rsidRPr="00513A83">
        <w:rPr>
          <w:rFonts w:ascii="Calibri" w:hAnsi="Calibri" w:cs="Calibri"/>
          <w:color w:val="111111"/>
          <w:sz w:val="22"/>
          <w:szCs w:val="22"/>
        </w:rPr>
        <w:t xml:space="preserve"> JAMA. 2023. DOI: 10.1001/jama.2023.5997</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3. </w:t>
      </w:r>
      <w:hyperlink r:id="rId20" w:history="1">
        <w:r w:rsidRPr="00513A83">
          <w:rPr>
            <w:rStyle w:val="Hyperlink"/>
            <w:rFonts w:ascii="Calibri" w:hAnsi="Calibri" w:cs="Calibri"/>
            <w:sz w:val="22"/>
            <w:szCs w:val="22"/>
          </w:rPr>
          <w:t>Guidelines on the management of abnormal liver blood tests</w:t>
        </w:r>
      </w:hyperlink>
      <w:r w:rsidRPr="00513A83">
        <w:rPr>
          <w:rFonts w:ascii="Calibri" w:hAnsi="Calibri" w:cs="Calibri"/>
          <w:color w:val="111111"/>
          <w:sz w:val="22"/>
          <w:szCs w:val="22"/>
        </w:rPr>
        <w:t xml:space="preserve"> Gut. 2017. DOI: 10.1136/gutjnl-2017-314924</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4. </w:t>
      </w:r>
      <w:hyperlink r:id="rId21" w:history="1">
        <w:r w:rsidRPr="00513A83">
          <w:rPr>
            <w:rStyle w:val="Hyperlink"/>
            <w:rFonts w:ascii="Calibri" w:hAnsi="Calibri" w:cs="Calibri"/>
            <w:sz w:val="22"/>
            <w:szCs w:val="22"/>
          </w:rPr>
          <w:t>Management of acute variceal bleeding: updated APASL guidelines.</w:t>
        </w:r>
      </w:hyperlink>
      <w:r w:rsidRPr="00513A83">
        <w:rPr>
          <w:rFonts w:ascii="Calibri" w:hAnsi="Calibri" w:cs="Calibri"/>
          <w:color w:val="111111"/>
          <w:sz w:val="22"/>
          <w:szCs w:val="22"/>
        </w:rPr>
        <w:t xml:space="preserve"> Hepatology international. 2025. DOI: 10.1007/s12072-025-10894-4</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5. </w:t>
      </w:r>
      <w:hyperlink r:id="rId22" w:history="1">
        <w:r w:rsidRPr="00513A83">
          <w:rPr>
            <w:rStyle w:val="Hyperlink"/>
            <w:rFonts w:ascii="Calibri" w:hAnsi="Calibri" w:cs="Calibri"/>
            <w:sz w:val="22"/>
            <w:szCs w:val="22"/>
          </w:rPr>
          <w:t>Diagnosis and Treatment of Alcohol‐Associated Liver Diseases: 2019 Practice Guidance From the American Association for the Study of Liver Diseases</w:t>
        </w:r>
      </w:hyperlink>
      <w:r w:rsidRPr="00513A83">
        <w:rPr>
          <w:rFonts w:ascii="Calibri" w:hAnsi="Calibri" w:cs="Calibri"/>
          <w:color w:val="111111"/>
          <w:sz w:val="22"/>
          <w:szCs w:val="22"/>
        </w:rPr>
        <w:t xml:space="preserve"> Hepatology. 2019. DOI: 10.1002/hep.30866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6. </w:t>
      </w:r>
      <w:hyperlink r:id="rId23" w:history="1">
        <w:r w:rsidRPr="00513A83">
          <w:rPr>
            <w:rStyle w:val="Hyperlink"/>
            <w:rFonts w:ascii="Calibri" w:hAnsi="Calibri" w:cs="Calibri"/>
            <w:sz w:val="22"/>
            <w:szCs w:val="22"/>
          </w:rPr>
          <w:t>Clinical presentation, diagnosis and staging of cholangiocarcinoma</w:t>
        </w:r>
      </w:hyperlink>
      <w:r w:rsidRPr="00513A83">
        <w:rPr>
          <w:rFonts w:ascii="Calibri" w:hAnsi="Calibri" w:cs="Calibri"/>
          <w:color w:val="111111"/>
          <w:sz w:val="22"/>
          <w:szCs w:val="22"/>
        </w:rPr>
        <w:t xml:space="preserve"> Liver International. 2019. DOI: 10.1111/liv.14086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7. </w:t>
      </w:r>
      <w:hyperlink r:id="rId24" w:history="1">
        <w:r w:rsidRPr="00513A83">
          <w:rPr>
            <w:rStyle w:val="Hyperlink"/>
            <w:rFonts w:ascii="Calibri" w:hAnsi="Calibri" w:cs="Calibri"/>
            <w:sz w:val="22"/>
            <w:szCs w:val="22"/>
          </w:rPr>
          <w:t>ACG Clinical Guideline: Alcoholic Liver Disease</w:t>
        </w:r>
      </w:hyperlink>
      <w:r w:rsidRPr="00513A83">
        <w:rPr>
          <w:rFonts w:ascii="Calibri" w:hAnsi="Calibri" w:cs="Calibri"/>
          <w:color w:val="111111"/>
          <w:sz w:val="22"/>
          <w:szCs w:val="22"/>
        </w:rPr>
        <w:t xml:space="preserve"> The American Journal of Gastroenterology. 2018. DOI: 10.1038/ajg.2017.469</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8. </w:t>
      </w:r>
      <w:hyperlink r:id="rId25" w:history="1">
        <w:r w:rsidRPr="00513A83">
          <w:rPr>
            <w:rStyle w:val="Hyperlink"/>
            <w:rFonts w:ascii="Calibri" w:hAnsi="Calibri" w:cs="Calibri"/>
            <w:sz w:val="22"/>
            <w:szCs w:val="22"/>
          </w:rPr>
          <w:t>Gut–Liver Axis Dysregulation in Portal Hypertension: Emerging Frontiers</w:t>
        </w:r>
      </w:hyperlink>
      <w:r w:rsidRPr="00513A83">
        <w:rPr>
          <w:rFonts w:ascii="Calibri" w:hAnsi="Calibri" w:cs="Calibri"/>
          <w:color w:val="111111"/>
          <w:sz w:val="22"/>
          <w:szCs w:val="22"/>
        </w:rPr>
        <w:t xml:space="preserve"> Nutrients. 2024. DOI: 10.3390/nu16071025</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9. </w:t>
      </w:r>
      <w:hyperlink r:id="rId26" w:history="1">
        <w:r w:rsidRPr="00513A83">
          <w:rPr>
            <w:rStyle w:val="Hyperlink"/>
            <w:rFonts w:ascii="Calibri" w:hAnsi="Calibri" w:cs="Calibri"/>
            <w:sz w:val="22"/>
            <w:szCs w:val="22"/>
          </w:rPr>
          <w:t>Primary Biliary Cholangitis: 2018 Practice Guidance from the American Association for the Study of Liver Diseases</w:t>
        </w:r>
      </w:hyperlink>
      <w:r w:rsidRPr="00513A83">
        <w:rPr>
          <w:rFonts w:ascii="Calibri" w:hAnsi="Calibri" w:cs="Calibri"/>
          <w:color w:val="111111"/>
          <w:sz w:val="22"/>
          <w:szCs w:val="22"/>
        </w:rPr>
        <w:t xml:space="preserve"> Hepatology. 2018. DOI: 10.1002/hep.30145</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10. </w:t>
      </w:r>
      <w:hyperlink r:id="rId27" w:history="1">
        <w:r w:rsidRPr="00513A83">
          <w:rPr>
            <w:rStyle w:val="Hyperlink"/>
            <w:rFonts w:ascii="Calibri" w:hAnsi="Calibri" w:cs="Calibri"/>
            <w:sz w:val="22"/>
            <w:szCs w:val="22"/>
          </w:rPr>
          <w:t>EASL-ERN Clinical Practice Guidelines on Wilson’s disease</w:t>
        </w:r>
      </w:hyperlink>
      <w:r w:rsidRPr="00513A83">
        <w:rPr>
          <w:rFonts w:ascii="Calibri" w:hAnsi="Calibri" w:cs="Calibri"/>
          <w:color w:val="111111"/>
          <w:sz w:val="22"/>
          <w:szCs w:val="22"/>
        </w:rPr>
        <w:t xml:space="preserve"> Journal of Hepatology. 2025. DOI: 10.1016/j.jhep.2024.11.007</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11. </w:t>
      </w:r>
      <w:hyperlink r:id="rId28" w:history="1">
        <w:r w:rsidRPr="00513A83">
          <w:rPr>
            <w:rStyle w:val="Hyperlink"/>
            <w:rFonts w:ascii="Calibri" w:hAnsi="Calibri" w:cs="Calibri"/>
            <w:sz w:val="22"/>
            <w:szCs w:val="22"/>
          </w:rPr>
          <w:t>Diagnosis, Evaluation, and Management of Ascites, Spontaneous Bacterial Peritonitis and Hepatorenal Syndrome: 2021 Practice Guidance by the American Association for the Study of Liver Diseases.</w:t>
        </w:r>
      </w:hyperlink>
      <w:r w:rsidRPr="00513A83">
        <w:rPr>
          <w:rFonts w:ascii="Calibri" w:hAnsi="Calibri" w:cs="Calibri"/>
          <w:color w:val="111111"/>
          <w:sz w:val="22"/>
          <w:szCs w:val="22"/>
        </w:rPr>
        <w:t xml:space="preserve"> Hepatology (Baltimore, Md.). 2021. DOI: 10.1002/hep.31884</w:t>
      </w:r>
    </w:p>
    <w:p w:rsidR="00000000" w:rsidRPr="00513A83" w:rsidRDefault="00000000">
      <w:pPr>
        <w:pStyle w:val="NormalWeb"/>
        <w:divId w:val="1452745915"/>
        <w:rPr>
          <w:rFonts w:ascii="Calibri" w:hAnsi="Calibri" w:cs="Calibri"/>
          <w:color w:val="111111"/>
          <w:sz w:val="22"/>
          <w:szCs w:val="22"/>
        </w:rPr>
      </w:pPr>
    </w:p>
    <w:p w:rsidR="00513A83" w:rsidRDefault="00513A83">
      <w:pPr>
        <w:rPr>
          <w:rFonts w:ascii="Calibri" w:hAnsi="Calibri" w:cs="Calibri"/>
          <w:color w:val="111111"/>
          <w:sz w:val="22"/>
          <w:szCs w:val="22"/>
        </w:rPr>
      </w:pPr>
    </w:p>
    <w:p w:rsidR="00513A83" w:rsidRPr="00563070" w:rsidRDefault="00513A83" w:rsidP="00563070">
      <w:pPr>
        <w:pStyle w:val="Heading3"/>
        <w:jc w:val="center"/>
        <w:divId w:val="1452745915"/>
        <w:rPr>
          <w:rFonts w:ascii="Calibri" w:hAnsi="Calibri" w:cs="Calibri"/>
          <w:color w:val="0070C0"/>
          <w:sz w:val="22"/>
          <w:szCs w:val="22"/>
          <w:lang w:val="en-US"/>
        </w:rPr>
      </w:pPr>
      <w:r w:rsidRPr="00563070">
        <w:rPr>
          <w:rFonts w:ascii="Calibri" w:hAnsi="Calibri" w:cs="Calibri"/>
          <w:color w:val="0070C0"/>
          <w:sz w:val="22"/>
          <w:szCs w:val="22"/>
          <w:lang w:val="en-US"/>
        </w:rPr>
        <w:lastRenderedPageBreak/>
        <w:t>Diagnosis &amp; Investigation</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Start by </w:t>
      </w:r>
      <w:r w:rsidRPr="00513A83">
        <w:rPr>
          <w:rStyle w:val="Strong"/>
          <w:rFonts w:ascii="Calibri" w:hAnsi="Calibri" w:cs="Calibri"/>
          <w:color w:val="111111"/>
          <w:sz w:val="22"/>
          <w:szCs w:val="22"/>
        </w:rPr>
        <w:t>classifying the liver injury pattern and acuity, immediately assessing liver synthetic function (INR, bilirubin, albumin) to identify acute liver failure risk, and then applying a stepwise “rule-out dangerous/common causes first” testing strategy (viral hepatitis—including HEV, biliary obstruction/vascular disease, DILI, AIH, metabolic/genetic causes), escalating to MRCP/CT and liver biopsy only when results will change management (especially to distinguish AIH vs DILI).</w:t>
      </w:r>
      <w:r w:rsidRPr="00513A83">
        <w:rPr>
          <w:rFonts w:ascii="Calibri" w:hAnsi="Calibri" w:cs="Calibri"/>
          <w:color w:val="111111"/>
          <w:sz w:val="22"/>
          <w:szCs w:val="22"/>
        </w:rPr>
        <w:t xml:space="preserve"> [4] [6] [3]</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All patients with hepatitis/abnormal liver tests should receive a standard liver aetiology screen including abdominal ultrasound, HBsAg, and anti</w:t>
      </w:r>
      <w:r w:rsidRPr="00513A83">
        <w:rPr>
          <w:rFonts w:ascii="Calibri" w:hAnsi="Calibri" w:cs="Calibri"/>
          <w:color w:val="111111"/>
          <w:sz w:val="22"/>
          <w:szCs w:val="22"/>
        </w:rPr>
        <w:noBreakHyphen/>
        <w:t>HCV (with reflex HCV PCR if positive), with expanded testing (e.g., HAV/HEV/CMV) guided by clinical context and magnitude of enzyme elevation. [4]</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1) Diagnostic formulation framework (what you are trying to explain)</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Step 1 — Define the syndrome with labs you already have (or obtain immediately)</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 Injury pattern (localizes pathobiology)</w:t>
      </w:r>
    </w:p>
    <w:p w:rsidR="00000000" w:rsidRPr="00513A83" w:rsidRDefault="00000000">
      <w:pPr>
        <w:numPr>
          <w:ilvl w:val="0"/>
          <w:numId w:val="4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Hepatocellular</w:t>
      </w:r>
      <w:r w:rsidRPr="00513A83">
        <w:rPr>
          <w:rFonts w:ascii="Calibri" w:eastAsia="Times New Roman" w:hAnsi="Calibri" w:cs="Calibri"/>
          <w:color w:val="111111"/>
          <w:sz w:val="22"/>
          <w:szCs w:val="22"/>
        </w:rPr>
        <w:t>: disproportionate ALT/AST rise → primary hepatocyte injury (viral cytopathic/immune-mediated injury, toxin/metabolite injury, ischemia, AIH). [6]</w:t>
      </w:r>
    </w:p>
    <w:p w:rsidR="00000000" w:rsidRPr="00513A83" w:rsidRDefault="00000000">
      <w:pPr>
        <w:numPr>
          <w:ilvl w:val="0"/>
          <w:numId w:val="4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Cholestatic</w:t>
      </w:r>
      <w:r w:rsidRPr="00513A83">
        <w:rPr>
          <w:rFonts w:ascii="Calibri" w:eastAsia="Times New Roman" w:hAnsi="Calibri" w:cs="Calibri"/>
          <w:color w:val="111111"/>
          <w:sz w:val="22"/>
          <w:szCs w:val="22"/>
        </w:rPr>
        <w:t>: disproportionate ALP/GGT ± bilirubin → bile duct injury/obstruction or cholangiopathy (stones, malignancy, PSC/PBC, drug cholestasis). Imaging-first phenotype. [4] [3]</w:t>
      </w:r>
    </w:p>
    <w:p w:rsidR="00000000" w:rsidRPr="00513A83" w:rsidRDefault="00000000">
      <w:pPr>
        <w:numPr>
          <w:ilvl w:val="0"/>
          <w:numId w:val="4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Mixed</w:t>
      </w:r>
      <w:r w:rsidRPr="00513A83">
        <w:rPr>
          <w:rFonts w:ascii="Calibri" w:eastAsia="Times New Roman" w:hAnsi="Calibri" w:cs="Calibri"/>
          <w:color w:val="111111"/>
          <w:sz w:val="22"/>
          <w:szCs w:val="22"/>
        </w:rPr>
        <w:t>: overlap → DILI common; also viral/AIH can present mixed.</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B. Severity / liver function (determines urgency, admission, transplant referral)</w:t>
      </w:r>
      <w:r w:rsidRPr="00513A83">
        <w:rPr>
          <w:rFonts w:ascii="Calibri" w:hAnsi="Calibri" w:cs="Calibri"/>
          <w:color w:val="111111"/>
          <w:sz w:val="22"/>
          <w:szCs w:val="22"/>
        </w:rPr>
        <w:t xml:space="preserve"> Obtain </w:t>
      </w:r>
      <w:r w:rsidRPr="00513A83">
        <w:rPr>
          <w:rStyle w:val="Strong"/>
          <w:rFonts w:ascii="Calibri" w:hAnsi="Calibri" w:cs="Calibri"/>
          <w:color w:val="111111"/>
          <w:sz w:val="22"/>
          <w:szCs w:val="22"/>
        </w:rPr>
        <w:t>INR (or PT), total/direct bilirubin, albumin, glucose, CBC</w:t>
      </w:r>
      <w:r w:rsidRPr="00513A83">
        <w:rPr>
          <w:rFonts w:ascii="Calibri" w:hAnsi="Calibri" w:cs="Calibri"/>
          <w:color w:val="111111"/>
          <w:sz w:val="22"/>
          <w:szCs w:val="22"/>
        </w:rPr>
        <w:t xml:space="preserve"> in all significant hepatitis because they reflect hepatic synthetic capacity, cholestatic excretory failure, and portal HTN/hypersplenism. HBV CPG explicitly includes ALT/AST, bilirubin, albumin, INR/PT and full blood count for baseline assessment. [2] [9]</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C. Acuity</w:t>
      </w:r>
    </w:p>
    <w:p w:rsidR="00000000" w:rsidRPr="00513A83" w:rsidRDefault="00000000">
      <w:pPr>
        <w:numPr>
          <w:ilvl w:val="0"/>
          <w:numId w:val="4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Acute icteric hepatitis and marked transaminitis should trigger “acute viral vs toxin vs ischemia vs AIH flare” pathway; EASL AIH tables explicitly flag </w:t>
      </w:r>
      <w:r w:rsidRPr="00513A83">
        <w:rPr>
          <w:rStyle w:val="Strong"/>
          <w:rFonts w:ascii="Calibri" w:eastAsia="Times New Roman" w:hAnsi="Calibri" w:cs="Calibri"/>
          <w:color w:val="111111"/>
          <w:sz w:val="22"/>
          <w:szCs w:val="22"/>
        </w:rPr>
        <w:t>ischemic hepatitis</w:t>
      </w:r>
      <w:r w:rsidRPr="00513A83">
        <w:rPr>
          <w:rFonts w:ascii="Calibri" w:eastAsia="Times New Roman" w:hAnsi="Calibri" w:cs="Calibri"/>
          <w:color w:val="111111"/>
          <w:sz w:val="22"/>
          <w:szCs w:val="22"/>
        </w:rPr>
        <w:t xml:space="preserve"> with disproportionate AST rise and severe coagulopathy that improves rapidly after the hemodynamic insult. [6]</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2) Core initial testing (do these in </w:t>
      </w:r>
      <w:r w:rsidRPr="00513A83">
        <w:rPr>
          <w:rStyle w:val="Emphasis"/>
          <w:rFonts w:ascii="Calibri" w:eastAsia="Times New Roman" w:hAnsi="Calibri" w:cs="Calibri"/>
          <w:color w:val="111111"/>
          <w:sz w:val="22"/>
          <w:szCs w:val="22"/>
        </w:rPr>
        <w:t>almost all</w:t>
      </w:r>
      <w:r w:rsidRPr="00513A83">
        <w:rPr>
          <w:rFonts w:ascii="Calibri" w:eastAsia="Times New Roman" w:hAnsi="Calibri" w:cs="Calibri"/>
          <w:color w:val="111111"/>
          <w:sz w:val="22"/>
          <w:szCs w:val="22"/>
        </w:rPr>
        <w:t xml:space="preserve"> patients with suspected hepatitis)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 “Core aetiology screen” (high prevalence, treatable, or management-changing)</w:t>
      </w:r>
    </w:p>
    <w:p w:rsidR="00000000" w:rsidRPr="00513A83" w:rsidRDefault="00000000">
      <w:pPr>
        <w:numPr>
          <w:ilvl w:val="0"/>
          <w:numId w:val="4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Abdominal ultrasound</w:t>
      </w:r>
      <w:r w:rsidRPr="00513A83">
        <w:rPr>
          <w:rFonts w:ascii="Calibri" w:eastAsia="Times New Roman" w:hAnsi="Calibri" w:cs="Calibri"/>
          <w:color w:val="111111"/>
          <w:sz w:val="22"/>
          <w:szCs w:val="22"/>
        </w:rPr>
        <w:t xml:space="preserve"> (RUQ): first-line to detect biliary dilation/obstruction, masses, steatosis, and portal HTN features. [4]</w:t>
      </w:r>
    </w:p>
    <w:p w:rsidR="00000000" w:rsidRPr="00513A83" w:rsidRDefault="00000000">
      <w:pPr>
        <w:numPr>
          <w:ilvl w:val="0"/>
          <w:numId w:val="4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HBV</w:t>
      </w:r>
      <w:r w:rsidRPr="00513A83">
        <w:rPr>
          <w:rFonts w:ascii="Calibri" w:eastAsia="Times New Roman" w:hAnsi="Calibri" w:cs="Calibri"/>
          <w:color w:val="111111"/>
          <w:sz w:val="22"/>
          <w:szCs w:val="22"/>
        </w:rPr>
        <w:t xml:space="preserve">: at minimum </w:t>
      </w:r>
      <w:r w:rsidRPr="00513A83">
        <w:rPr>
          <w:rStyle w:val="Strong"/>
          <w:rFonts w:ascii="Calibri" w:eastAsia="Times New Roman" w:hAnsi="Calibri" w:cs="Calibri"/>
          <w:color w:val="111111"/>
          <w:sz w:val="22"/>
          <w:szCs w:val="22"/>
        </w:rPr>
        <w:t>HBsAg</w:t>
      </w:r>
      <w:r w:rsidRPr="00513A83">
        <w:rPr>
          <w:rFonts w:ascii="Calibri" w:eastAsia="Times New Roman" w:hAnsi="Calibri" w:cs="Calibri"/>
          <w:color w:val="111111"/>
          <w:sz w:val="22"/>
          <w:szCs w:val="22"/>
        </w:rPr>
        <w:t>; if positive, then phase/prognosis work-up below. [4] [2]</w:t>
      </w:r>
    </w:p>
    <w:p w:rsidR="00000000" w:rsidRPr="00513A83" w:rsidRDefault="00000000">
      <w:pPr>
        <w:numPr>
          <w:ilvl w:val="0"/>
          <w:numId w:val="4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HCV</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anti</w:t>
      </w:r>
      <w:r w:rsidRPr="00513A83">
        <w:rPr>
          <w:rStyle w:val="Strong"/>
          <w:rFonts w:ascii="Calibri" w:eastAsia="Times New Roman" w:hAnsi="Calibri" w:cs="Calibri"/>
          <w:color w:val="111111"/>
          <w:sz w:val="22"/>
          <w:szCs w:val="22"/>
        </w:rPr>
        <w:noBreakHyphen/>
        <w:t>HCV with reflex PCR</w:t>
      </w:r>
      <w:r w:rsidRPr="00513A83">
        <w:rPr>
          <w:rFonts w:ascii="Calibri" w:eastAsia="Times New Roman" w:hAnsi="Calibri" w:cs="Calibri"/>
          <w:color w:val="111111"/>
          <w:sz w:val="22"/>
          <w:szCs w:val="22"/>
        </w:rPr>
        <w:t xml:space="preserve"> if antibody positive; note that in suspected </w:t>
      </w:r>
      <w:r w:rsidRPr="00513A83">
        <w:rPr>
          <w:rStyle w:val="Strong"/>
          <w:rFonts w:ascii="Calibri" w:eastAsia="Times New Roman" w:hAnsi="Calibri" w:cs="Calibri"/>
          <w:color w:val="111111"/>
          <w:sz w:val="22"/>
          <w:szCs w:val="22"/>
        </w:rPr>
        <w:t>acute HCV</w:t>
      </w:r>
      <w:r w:rsidRPr="00513A83">
        <w:rPr>
          <w:rFonts w:ascii="Calibri" w:eastAsia="Times New Roman" w:hAnsi="Calibri" w:cs="Calibri"/>
          <w:color w:val="111111"/>
          <w:sz w:val="22"/>
          <w:szCs w:val="22"/>
        </w:rPr>
        <w:t xml:space="preserve">, antibody may be negative early so </w:t>
      </w:r>
      <w:r w:rsidRPr="00513A83">
        <w:rPr>
          <w:rStyle w:val="Strong"/>
          <w:rFonts w:ascii="Calibri" w:eastAsia="Times New Roman" w:hAnsi="Calibri" w:cs="Calibri"/>
          <w:color w:val="111111"/>
          <w:sz w:val="22"/>
          <w:szCs w:val="22"/>
        </w:rPr>
        <w:t>HCV RNA</w:t>
      </w:r>
      <w:r w:rsidRPr="00513A83">
        <w:rPr>
          <w:rFonts w:ascii="Calibri" w:eastAsia="Times New Roman" w:hAnsi="Calibri" w:cs="Calibri"/>
          <w:color w:val="111111"/>
          <w:sz w:val="22"/>
          <w:szCs w:val="22"/>
        </w:rPr>
        <w:t xml:space="preserve"> is required. [7] [3]</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B. Why these are “core” (pathobiology/decision impact)</w:t>
      </w:r>
    </w:p>
    <w:p w:rsidR="00000000" w:rsidRPr="00513A83" w:rsidRDefault="00000000">
      <w:pPr>
        <w:numPr>
          <w:ilvl w:val="0"/>
          <w:numId w:val="4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Obstruction and infiltrative disease</w:t>
      </w:r>
      <w:r w:rsidRPr="00513A83">
        <w:rPr>
          <w:rFonts w:ascii="Calibri" w:eastAsia="Times New Roman" w:hAnsi="Calibri" w:cs="Calibri"/>
          <w:color w:val="111111"/>
          <w:sz w:val="22"/>
          <w:szCs w:val="22"/>
        </w:rPr>
        <w:t xml:space="preserve"> alter management immediately (ERCP/surgery/oncologic work-up), hence imaging is first-line in cholestasis and part of standard screen. [4]</w:t>
      </w:r>
    </w:p>
    <w:p w:rsidR="00000000" w:rsidRPr="00513A83" w:rsidRDefault="00000000">
      <w:pPr>
        <w:numPr>
          <w:ilvl w:val="0"/>
          <w:numId w:val="4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lastRenderedPageBreak/>
        <w:t>HBV/HCV</w:t>
      </w:r>
      <w:r w:rsidRPr="00513A83">
        <w:rPr>
          <w:rFonts w:ascii="Calibri" w:eastAsia="Times New Roman" w:hAnsi="Calibri" w:cs="Calibri"/>
          <w:color w:val="111111"/>
          <w:sz w:val="22"/>
          <w:szCs w:val="22"/>
        </w:rPr>
        <w:t xml:space="preserve"> are prevalent, transmissible, and have disease-modifying antivirals; diagnosis also triggers contact testing, counseling, and long-term fibrosis/HCC assessment. [2]</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 Expand testing based on phenotype (rational escalation)</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3.1 Acute hepatitis / marked hepatocellular injury (especially jaundice or ALT very high)</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Prioritize </w:t>
      </w:r>
      <w:r w:rsidRPr="00513A83">
        <w:rPr>
          <w:rStyle w:val="Strong"/>
          <w:rFonts w:ascii="Calibri" w:hAnsi="Calibri" w:cs="Calibri"/>
          <w:color w:val="111111"/>
          <w:sz w:val="22"/>
          <w:szCs w:val="22"/>
        </w:rPr>
        <w:t>acute viral hepatitis mimics</w:t>
      </w:r>
      <w:r w:rsidRPr="00513A83">
        <w:rPr>
          <w:rFonts w:ascii="Calibri" w:hAnsi="Calibri" w:cs="Calibri"/>
          <w:color w:val="111111"/>
          <w:sz w:val="22"/>
          <w:szCs w:val="22"/>
        </w:rPr>
        <w:t xml:space="preserve"> and </w:t>
      </w:r>
      <w:r w:rsidRPr="00513A83">
        <w:rPr>
          <w:rStyle w:val="Strong"/>
          <w:rFonts w:ascii="Calibri" w:hAnsi="Calibri" w:cs="Calibri"/>
          <w:color w:val="111111"/>
          <w:sz w:val="22"/>
          <w:szCs w:val="22"/>
        </w:rPr>
        <w:t>AIH/DILI</w:t>
      </w:r>
      <w:r w:rsidRPr="00513A83">
        <w:rPr>
          <w:rFonts w:ascii="Calibri" w:hAnsi="Calibri" w:cs="Calibri"/>
          <w:color w:val="111111"/>
          <w:sz w:val="22"/>
          <w:szCs w:val="22"/>
        </w:rPr>
        <w:t xml:space="preserve"> because they are the dominant “acute hepatitis” confounders and lead to different immediate actions (supportive care vs drug withdrawal vs immunosuppression).</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 Hepatotropic acute viral tests</w:t>
      </w:r>
    </w:p>
    <w:p w:rsidR="00000000" w:rsidRPr="00513A83" w:rsidRDefault="00000000">
      <w:pPr>
        <w:numPr>
          <w:ilvl w:val="0"/>
          <w:numId w:val="46"/>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HAV IgM</w:t>
      </w:r>
      <w:r w:rsidRPr="00513A83">
        <w:rPr>
          <w:rFonts w:ascii="Calibri" w:eastAsia="Times New Roman" w:hAnsi="Calibri" w:cs="Calibri"/>
          <w:color w:val="111111"/>
          <w:sz w:val="22"/>
          <w:szCs w:val="22"/>
        </w:rPr>
        <w:t xml:space="preserve"> and </w:t>
      </w:r>
      <w:r w:rsidRPr="00513A83">
        <w:rPr>
          <w:rStyle w:val="Strong"/>
          <w:rFonts w:ascii="Calibri" w:eastAsia="Times New Roman" w:hAnsi="Calibri" w:cs="Calibri"/>
          <w:color w:val="111111"/>
          <w:sz w:val="22"/>
          <w:szCs w:val="22"/>
        </w:rPr>
        <w:t>HEV IgM ± HEV RNA</w:t>
      </w:r>
      <w:r w:rsidRPr="00513A83">
        <w:rPr>
          <w:rFonts w:ascii="Calibri" w:eastAsia="Times New Roman" w:hAnsi="Calibri" w:cs="Calibri"/>
          <w:color w:val="111111"/>
          <w:sz w:val="22"/>
          <w:szCs w:val="22"/>
        </w:rPr>
        <w:t>: EASL HBV guideline notes HEV is now a common cause of acute viral hepatitis in many countries and should be considered when transaminases rise with unclear etiology. [2]</w:t>
      </w:r>
    </w:p>
    <w:p w:rsidR="00000000" w:rsidRPr="00513A83" w:rsidRDefault="00000000">
      <w:pPr>
        <w:numPr>
          <w:ilvl w:val="0"/>
          <w:numId w:val="4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If HBV suspected: </w:t>
      </w:r>
      <w:r w:rsidRPr="00513A83">
        <w:rPr>
          <w:rStyle w:val="Strong"/>
          <w:rFonts w:ascii="Calibri" w:eastAsia="Times New Roman" w:hAnsi="Calibri" w:cs="Calibri"/>
          <w:color w:val="111111"/>
          <w:sz w:val="22"/>
          <w:szCs w:val="22"/>
        </w:rPr>
        <w:t>anti</w:t>
      </w:r>
      <w:r w:rsidRPr="00513A83">
        <w:rPr>
          <w:rStyle w:val="Strong"/>
          <w:rFonts w:ascii="Calibri" w:eastAsia="Times New Roman" w:hAnsi="Calibri" w:cs="Calibri"/>
          <w:color w:val="111111"/>
          <w:sz w:val="22"/>
          <w:szCs w:val="22"/>
        </w:rPr>
        <w:noBreakHyphen/>
        <w:t>HBc IgM</w:t>
      </w:r>
      <w:r w:rsidRPr="00513A83">
        <w:rPr>
          <w:rFonts w:ascii="Calibri" w:eastAsia="Times New Roman" w:hAnsi="Calibri" w:cs="Calibri"/>
          <w:color w:val="111111"/>
          <w:sz w:val="22"/>
          <w:szCs w:val="22"/>
        </w:rPr>
        <w:t xml:space="preserve"> supports acute HBV (typically high early and declines within 6 months). [2]</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B. Non-hepatotropic viral tests (context-driven)</w:t>
      </w:r>
    </w:p>
    <w:p w:rsidR="00000000" w:rsidRPr="00513A83" w:rsidRDefault="00000000">
      <w:pPr>
        <w:numPr>
          <w:ilvl w:val="0"/>
          <w:numId w:val="4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EBV/CMV</w:t>
      </w:r>
      <w:r w:rsidRPr="00513A83">
        <w:rPr>
          <w:rFonts w:ascii="Calibri" w:eastAsia="Times New Roman" w:hAnsi="Calibri" w:cs="Calibri"/>
          <w:color w:val="111111"/>
          <w:sz w:val="22"/>
          <w:szCs w:val="22"/>
        </w:rPr>
        <w:t xml:space="preserve"> in acute/icteric presentations per BSG AIH guideline; if immunocompromised also consider </w:t>
      </w:r>
      <w:r w:rsidRPr="00513A83">
        <w:rPr>
          <w:rStyle w:val="Strong"/>
          <w:rFonts w:ascii="Calibri" w:eastAsia="Times New Roman" w:hAnsi="Calibri" w:cs="Calibri"/>
          <w:color w:val="111111"/>
          <w:sz w:val="22"/>
          <w:szCs w:val="22"/>
        </w:rPr>
        <w:t>HSV/VZV</w:t>
      </w:r>
      <w:r w:rsidRPr="00513A83">
        <w:rPr>
          <w:rFonts w:ascii="Calibri" w:eastAsia="Times New Roman" w:hAnsi="Calibri" w:cs="Calibri"/>
          <w:color w:val="111111"/>
          <w:sz w:val="22"/>
          <w:szCs w:val="22"/>
        </w:rPr>
        <w:t>. [7]</w:t>
      </w:r>
    </w:p>
    <w:p w:rsidR="00000000" w:rsidRPr="00513A83" w:rsidRDefault="00000000">
      <w:pPr>
        <w:numPr>
          <w:ilvl w:val="0"/>
          <w:numId w:val="4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DILI guideline similarly recommends </w:t>
      </w:r>
      <w:r w:rsidRPr="00513A83">
        <w:rPr>
          <w:rStyle w:val="Strong"/>
          <w:rFonts w:ascii="Calibri" w:eastAsia="Times New Roman" w:hAnsi="Calibri" w:cs="Calibri"/>
          <w:color w:val="111111"/>
          <w:sz w:val="22"/>
          <w:szCs w:val="22"/>
        </w:rPr>
        <w:t>CMV/EBV/HSV</w:t>
      </w:r>
      <w:r w:rsidRPr="00513A83">
        <w:rPr>
          <w:rFonts w:ascii="Calibri" w:eastAsia="Times New Roman" w:hAnsi="Calibri" w:cs="Calibri"/>
          <w:color w:val="111111"/>
          <w:sz w:val="22"/>
          <w:szCs w:val="22"/>
        </w:rPr>
        <w:t xml:space="preserve"> testing when systemic findings suggest these etiologies. [3]</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C. Autoimmune hepatitis screen (because it can be fulminant and treatment is time-sensitive)</w:t>
      </w:r>
    </w:p>
    <w:p w:rsidR="00000000" w:rsidRPr="00513A83" w:rsidRDefault="00000000">
      <w:pPr>
        <w:numPr>
          <w:ilvl w:val="0"/>
          <w:numId w:val="48"/>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IgG</w:t>
      </w:r>
      <w:r w:rsidRPr="00513A83">
        <w:rPr>
          <w:rFonts w:ascii="Calibri" w:eastAsia="Times New Roman" w:hAnsi="Calibri" w:cs="Calibri"/>
          <w:color w:val="111111"/>
          <w:sz w:val="22"/>
          <w:szCs w:val="22"/>
        </w:rPr>
        <w:t xml:space="preserve"> plus </w:t>
      </w:r>
      <w:r w:rsidRPr="00513A83">
        <w:rPr>
          <w:rStyle w:val="Strong"/>
          <w:rFonts w:ascii="Calibri" w:eastAsia="Times New Roman" w:hAnsi="Calibri" w:cs="Calibri"/>
          <w:color w:val="111111"/>
          <w:sz w:val="22"/>
          <w:szCs w:val="22"/>
        </w:rPr>
        <w:t>ANA, ASMA, LKM-1</w:t>
      </w:r>
      <w:r w:rsidRPr="00513A83">
        <w:rPr>
          <w:rFonts w:ascii="Calibri" w:eastAsia="Times New Roman" w:hAnsi="Calibri" w:cs="Calibri"/>
          <w:color w:val="111111"/>
          <w:sz w:val="22"/>
          <w:szCs w:val="22"/>
        </w:rPr>
        <w:t xml:space="preserve"> (and consider anti</w:t>
      </w:r>
      <w:r w:rsidRPr="00513A83">
        <w:rPr>
          <w:rFonts w:ascii="Calibri" w:eastAsia="Times New Roman" w:hAnsi="Calibri" w:cs="Calibri"/>
          <w:color w:val="111111"/>
          <w:sz w:val="22"/>
          <w:szCs w:val="22"/>
        </w:rPr>
        <w:noBreakHyphen/>
        <w:t xml:space="preserve">SLA/LP if standard antibodies negative) as per BSG AIH guideline. [7] </w:t>
      </w:r>
      <w:r w:rsidRPr="00513A83">
        <w:rPr>
          <w:rStyle w:val="Emphasis"/>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AIH reflects loss of immune tolerance with hepatocyte-directed inflammation; IgG elevation and characteristic autoantibodies are surrogate markers of immune activation (not perfectly specific), so they must be interpreted alongside exclusion of viral hepatitis and DILI. [7] [3]</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D. DILI/HILI evaluation (always parallel, not after everything else)</w:t>
      </w:r>
    </w:p>
    <w:p w:rsidR="00000000" w:rsidRPr="00513A83" w:rsidRDefault="00000000">
      <w:pPr>
        <w:numPr>
          <w:ilvl w:val="0"/>
          <w:numId w:val="49"/>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DILI guideline prioritizes testing for </w:t>
      </w:r>
      <w:r w:rsidRPr="00513A83">
        <w:rPr>
          <w:rStyle w:val="Strong"/>
          <w:rFonts w:ascii="Calibri" w:eastAsia="Times New Roman" w:hAnsi="Calibri" w:cs="Calibri"/>
          <w:color w:val="111111"/>
          <w:sz w:val="22"/>
          <w:szCs w:val="22"/>
        </w:rPr>
        <w:t>HAV/HBV/HCV (including HCV RNA) and AIH serologies</w:t>
      </w:r>
      <w:r w:rsidRPr="00513A83">
        <w:rPr>
          <w:rFonts w:ascii="Calibri" w:eastAsia="Times New Roman" w:hAnsi="Calibri" w:cs="Calibri"/>
          <w:color w:val="111111"/>
          <w:sz w:val="22"/>
          <w:szCs w:val="22"/>
        </w:rPr>
        <w:t xml:space="preserve">, plus </w:t>
      </w:r>
      <w:r w:rsidRPr="00513A83">
        <w:rPr>
          <w:rStyle w:val="Strong"/>
          <w:rFonts w:ascii="Calibri" w:eastAsia="Times New Roman" w:hAnsi="Calibri" w:cs="Calibri"/>
          <w:color w:val="111111"/>
          <w:sz w:val="22"/>
          <w:szCs w:val="22"/>
        </w:rPr>
        <w:t>HEV IgM in selected patients</w:t>
      </w:r>
      <w:r w:rsidRPr="00513A83">
        <w:rPr>
          <w:rFonts w:ascii="Calibri" w:eastAsia="Times New Roman" w:hAnsi="Calibri" w:cs="Calibri"/>
          <w:color w:val="111111"/>
          <w:sz w:val="22"/>
          <w:szCs w:val="22"/>
        </w:rPr>
        <w:t xml:space="preserve">, because acute HEV and acute HCV are recognized DILI mimics. [3] </w:t>
      </w:r>
      <w:r w:rsidRPr="00513A83">
        <w:rPr>
          <w:rStyle w:val="Emphasis"/>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idiosyncratic DILI is often immune-mediated and can be clinically/histologically indistinguishable from AIH (“drug-induced autoimmune-like hepatitis”), so exclusion of viruses and careful phenotype + biopsy when needed are central. [3] [7]</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3.2 Cholestatic hepatitis (ALP/GGT predominant and/or pruritus, pale stools)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 Imaging escalation first</w:t>
      </w:r>
    </w:p>
    <w:p w:rsidR="00000000" w:rsidRPr="00513A83" w:rsidRDefault="00000000">
      <w:pPr>
        <w:numPr>
          <w:ilvl w:val="0"/>
          <w:numId w:val="5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If ultrasound suggests obstruction or is inadequate and cholestasis persists → </w:t>
      </w:r>
      <w:r w:rsidRPr="00513A83">
        <w:rPr>
          <w:rStyle w:val="Strong"/>
          <w:rFonts w:ascii="Calibri" w:eastAsia="Times New Roman" w:hAnsi="Calibri" w:cs="Calibri"/>
          <w:color w:val="111111"/>
          <w:sz w:val="22"/>
          <w:szCs w:val="22"/>
        </w:rPr>
        <w:t>cross-sectional imaging (CT/MRI)</w:t>
      </w:r>
      <w:r w:rsidRPr="00513A83">
        <w:rPr>
          <w:rFonts w:ascii="Calibri" w:eastAsia="Times New Roman" w:hAnsi="Calibri" w:cs="Calibri"/>
          <w:color w:val="111111"/>
          <w:sz w:val="22"/>
          <w:szCs w:val="22"/>
        </w:rPr>
        <w:t xml:space="preserve">; BSG AIH guideline adds </w:t>
      </w:r>
      <w:r w:rsidRPr="00513A83">
        <w:rPr>
          <w:rStyle w:val="Strong"/>
          <w:rFonts w:ascii="Calibri" w:eastAsia="Times New Roman" w:hAnsi="Calibri" w:cs="Calibri"/>
          <w:color w:val="111111"/>
          <w:sz w:val="22"/>
          <w:szCs w:val="22"/>
        </w:rPr>
        <w:t>MRCP if jaundice/rigors/very high ALP</w:t>
      </w:r>
      <w:r w:rsidRPr="00513A83">
        <w:rPr>
          <w:rFonts w:ascii="Calibri" w:eastAsia="Times New Roman" w:hAnsi="Calibri" w:cs="Calibri"/>
          <w:color w:val="111111"/>
          <w:sz w:val="22"/>
          <w:szCs w:val="22"/>
        </w:rPr>
        <w:t xml:space="preserve"> to evaluate for biliary obstruction/PSC. [7] [3]</w:t>
      </w:r>
    </w:p>
    <w:p w:rsidR="00000000" w:rsidRPr="00513A83" w:rsidRDefault="00000000">
      <w:pPr>
        <w:numPr>
          <w:ilvl w:val="0"/>
          <w:numId w:val="5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If imaging negative for obstruction and cholestasis persists → </w:t>
      </w:r>
      <w:r w:rsidRPr="00513A83">
        <w:rPr>
          <w:rStyle w:val="Strong"/>
          <w:rFonts w:ascii="Calibri" w:eastAsia="Times New Roman" w:hAnsi="Calibri" w:cs="Calibri"/>
          <w:color w:val="111111"/>
          <w:sz w:val="22"/>
          <w:szCs w:val="22"/>
        </w:rPr>
        <w:t>AMA</w:t>
      </w:r>
      <w:r w:rsidRPr="00513A83">
        <w:rPr>
          <w:rFonts w:ascii="Calibri" w:eastAsia="Times New Roman" w:hAnsi="Calibri" w:cs="Calibri"/>
          <w:color w:val="111111"/>
          <w:sz w:val="22"/>
          <w:szCs w:val="22"/>
        </w:rPr>
        <w:t xml:space="preserve"> to assess for PBC (DILI guideline suggests AMA specifically in cholestatic presentations with negative imaging). [3]</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lastRenderedPageBreak/>
        <w:t>B. Why imaging-first (pathobiology)</w:t>
      </w:r>
      <w:r w:rsidRPr="00513A83">
        <w:rPr>
          <w:rFonts w:ascii="Calibri" w:hAnsi="Calibri" w:cs="Calibri"/>
          <w:color w:val="111111"/>
          <w:sz w:val="22"/>
          <w:szCs w:val="22"/>
        </w:rPr>
        <w:t xml:space="preserve"> Cholestatic labs reflect impaired bile formation/flow; extrahepatic obstruction causes backpressure and cholangiocyte injury and requires mechanical relief rather than immunosuppression/antivirals—hence early imaging. [4]</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3.3 Suspected chronic hepatitis B (HBsAg positive or known HBV)</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Perform </w:t>
      </w:r>
      <w:r w:rsidRPr="00513A83">
        <w:rPr>
          <w:rStyle w:val="Strong"/>
          <w:rFonts w:ascii="Calibri" w:hAnsi="Calibri" w:cs="Calibri"/>
          <w:color w:val="111111"/>
          <w:sz w:val="22"/>
          <w:szCs w:val="22"/>
        </w:rPr>
        <w:t>disease phase + prognosis + coinfection + fibrosis stage</w:t>
      </w:r>
      <w:r w:rsidRPr="00513A83">
        <w:rPr>
          <w:rFonts w:ascii="Calibri" w:hAnsi="Calibri" w:cs="Calibri"/>
          <w:color w:val="111111"/>
          <w:sz w:val="22"/>
          <w:szCs w:val="22"/>
        </w:rPr>
        <w:t xml:space="preserve"> evaluation because HBV outcomes depend on viral replication level and host inflammatory response.</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Tests (EASL HBV guideline)</w:t>
      </w:r>
    </w:p>
    <w:p w:rsidR="00000000" w:rsidRPr="00513A83" w:rsidRDefault="00000000">
      <w:pPr>
        <w:numPr>
          <w:ilvl w:val="0"/>
          <w:numId w:val="5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Quantitative HBV DNA</w:t>
      </w:r>
      <w:r w:rsidRPr="00513A83">
        <w:rPr>
          <w:rFonts w:ascii="Calibri" w:eastAsia="Times New Roman" w:hAnsi="Calibri" w:cs="Calibri"/>
          <w:color w:val="111111"/>
          <w:sz w:val="22"/>
          <w:szCs w:val="22"/>
        </w:rPr>
        <w:t xml:space="preserve"> (most important prognostic marker; drives treatment eligibility and monitoring). [2]</w:t>
      </w:r>
    </w:p>
    <w:p w:rsidR="00000000" w:rsidRPr="00513A83" w:rsidRDefault="00000000">
      <w:pPr>
        <w:numPr>
          <w:ilvl w:val="0"/>
          <w:numId w:val="5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HBeAg</w:t>
      </w:r>
      <w:r w:rsidRPr="00513A83">
        <w:rPr>
          <w:rFonts w:ascii="Calibri" w:eastAsia="Times New Roman" w:hAnsi="Calibri" w:cs="Calibri"/>
          <w:color w:val="111111"/>
          <w:sz w:val="22"/>
          <w:szCs w:val="22"/>
        </w:rPr>
        <w:t xml:space="preserve"> (and optionally anti</w:t>
      </w:r>
      <w:r w:rsidRPr="00513A83">
        <w:rPr>
          <w:rFonts w:ascii="Calibri" w:eastAsia="Times New Roman" w:hAnsi="Calibri" w:cs="Calibri"/>
          <w:color w:val="111111"/>
          <w:sz w:val="22"/>
          <w:szCs w:val="22"/>
        </w:rPr>
        <w:noBreakHyphen/>
        <w:t>HBe) to define phase. [2]</w:t>
      </w:r>
    </w:p>
    <w:p w:rsidR="00000000" w:rsidRPr="00513A83" w:rsidRDefault="00000000">
      <w:pPr>
        <w:numPr>
          <w:ilvl w:val="0"/>
          <w:numId w:val="5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Quantitative HBsAg</w:t>
      </w:r>
      <w:r w:rsidRPr="00513A83">
        <w:rPr>
          <w:rFonts w:ascii="Calibri" w:eastAsia="Times New Roman" w:hAnsi="Calibri" w:cs="Calibri"/>
          <w:color w:val="111111"/>
          <w:sz w:val="22"/>
          <w:szCs w:val="22"/>
        </w:rPr>
        <w:t xml:space="preserve"> to help characterize phase/prognosis and guide therapy endpoints. [2]</w:t>
      </w:r>
    </w:p>
    <w:p w:rsidR="00000000" w:rsidRPr="00513A83" w:rsidRDefault="00000000">
      <w:pPr>
        <w:numPr>
          <w:ilvl w:val="0"/>
          <w:numId w:val="51"/>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Screen coinfections: </w:t>
      </w:r>
      <w:r w:rsidRPr="00513A83">
        <w:rPr>
          <w:rStyle w:val="Strong"/>
          <w:rFonts w:ascii="Calibri" w:eastAsia="Times New Roman" w:hAnsi="Calibri" w:cs="Calibri"/>
          <w:color w:val="111111"/>
          <w:sz w:val="22"/>
          <w:szCs w:val="22"/>
        </w:rPr>
        <w:t>anti</w:t>
      </w:r>
      <w:r w:rsidRPr="00513A83">
        <w:rPr>
          <w:rStyle w:val="Strong"/>
          <w:rFonts w:ascii="Calibri" w:eastAsia="Times New Roman" w:hAnsi="Calibri" w:cs="Calibri"/>
          <w:color w:val="111111"/>
          <w:sz w:val="22"/>
          <w:szCs w:val="22"/>
        </w:rPr>
        <w:noBreakHyphen/>
        <w:t>HDV (strong), anti</w:t>
      </w:r>
      <w:r w:rsidRPr="00513A83">
        <w:rPr>
          <w:rStyle w:val="Strong"/>
          <w:rFonts w:ascii="Calibri" w:eastAsia="Times New Roman" w:hAnsi="Calibri" w:cs="Calibri"/>
          <w:color w:val="111111"/>
          <w:sz w:val="22"/>
          <w:szCs w:val="22"/>
        </w:rPr>
        <w:noBreakHyphen/>
        <w:t>HCV (strong), HIV (strong)</w:t>
      </w:r>
      <w:r w:rsidRPr="00513A83">
        <w:rPr>
          <w:rFonts w:ascii="Calibri" w:eastAsia="Times New Roman" w:hAnsi="Calibri" w:cs="Calibri"/>
          <w:color w:val="111111"/>
          <w:sz w:val="22"/>
          <w:szCs w:val="22"/>
        </w:rPr>
        <w:t>. [2]</w:t>
      </w:r>
    </w:p>
    <w:p w:rsidR="00000000" w:rsidRPr="00513A83" w:rsidRDefault="00000000">
      <w:pPr>
        <w:numPr>
          <w:ilvl w:val="0"/>
          <w:numId w:val="5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Baseline liver disease assessment</w:t>
      </w:r>
      <w:r w:rsidRPr="00513A83">
        <w:rPr>
          <w:rFonts w:ascii="Calibri" w:eastAsia="Times New Roman" w:hAnsi="Calibri" w:cs="Calibri"/>
          <w:color w:val="111111"/>
          <w:sz w:val="22"/>
          <w:szCs w:val="22"/>
        </w:rPr>
        <w:t xml:space="preserve">: CBC, ALT/AST, bilirubin, albumin, INR; </w:t>
      </w:r>
      <w:r w:rsidRPr="00513A83">
        <w:rPr>
          <w:rStyle w:val="Strong"/>
          <w:rFonts w:ascii="Calibri" w:eastAsia="Times New Roman" w:hAnsi="Calibri" w:cs="Calibri"/>
          <w:color w:val="111111"/>
          <w:sz w:val="22"/>
          <w:szCs w:val="22"/>
        </w:rPr>
        <w:t>abdominal ultrasound</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noninvasive fibrosis assessment</w:t>
      </w:r>
      <w:r w:rsidRPr="00513A83">
        <w:rPr>
          <w:rFonts w:ascii="Calibri" w:eastAsia="Times New Roman" w:hAnsi="Calibri" w:cs="Calibri"/>
          <w:color w:val="111111"/>
          <w:sz w:val="22"/>
          <w:szCs w:val="22"/>
        </w:rPr>
        <w:t xml:space="preserve"> (LSM preferred; serum scores if needed). [2]</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p>
    <w:p w:rsidR="00000000" w:rsidRPr="00513A83" w:rsidRDefault="00000000">
      <w:pPr>
        <w:numPr>
          <w:ilvl w:val="0"/>
          <w:numId w:val="5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HBV liver injury is largely </w:t>
      </w:r>
      <w:r w:rsidRPr="00513A83">
        <w:rPr>
          <w:rStyle w:val="Strong"/>
          <w:rFonts w:ascii="Calibri" w:eastAsia="Times New Roman" w:hAnsi="Calibri" w:cs="Calibri"/>
          <w:color w:val="111111"/>
          <w:sz w:val="22"/>
          <w:szCs w:val="22"/>
        </w:rPr>
        <w:t>immune-mediated</w:t>
      </w:r>
      <w:r w:rsidRPr="00513A83">
        <w:rPr>
          <w:rFonts w:ascii="Calibri" w:eastAsia="Times New Roman" w:hAnsi="Calibri" w:cs="Calibri"/>
          <w:color w:val="111111"/>
          <w:sz w:val="22"/>
          <w:szCs w:val="22"/>
        </w:rPr>
        <w:t>; HBV DNA quantifies replicative activity (risk of progression/HCC and need for antiviral suppression), while HBeAg/HBsAg help stage the host–virus equilibrium and guide treatment strategy/endpoints. [2]</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3.4 Suspected MASLD/MASH (metabolic risk factors ± steatosis)</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 Exclude competing liver diseases (don’t anchor on steatosis)</w:t>
      </w:r>
      <w:r w:rsidRPr="00513A83">
        <w:rPr>
          <w:rFonts w:ascii="Calibri" w:hAnsi="Calibri" w:cs="Calibri"/>
          <w:color w:val="111111"/>
          <w:sz w:val="22"/>
          <w:szCs w:val="22"/>
        </w:rPr>
        <w:t xml:space="preserve"> NAFLD/MASLD pathways emphasize that patients with elevated aminotransferases still require evaluation for other chronic liver/biliary diseases (HBV/HCV, ALD, masses via imaging). [7]</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B. Fibrosis risk stratify (because fibrosis—not steatosis—drives outcomes)</w:t>
      </w:r>
    </w:p>
    <w:p w:rsidR="00000000" w:rsidRPr="00513A83" w:rsidRDefault="00000000">
      <w:pPr>
        <w:numPr>
          <w:ilvl w:val="0"/>
          <w:numId w:val="5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Tier 1: FIB</w:t>
      </w:r>
      <w:r w:rsidRPr="00513A83">
        <w:rPr>
          <w:rStyle w:val="Strong"/>
          <w:rFonts w:ascii="Calibri" w:eastAsia="Times New Roman" w:hAnsi="Calibri" w:cs="Calibri"/>
          <w:color w:val="111111"/>
          <w:sz w:val="22"/>
          <w:szCs w:val="22"/>
        </w:rPr>
        <w:noBreakHyphen/>
        <w:t>4</w:t>
      </w:r>
      <w:r w:rsidRPr="00513A83">
        <w:rPr>
          <w:rFonts w:ascii="Calibri" w:eastAsia="Times New Roman" w:hAnsi="Calibri" w:cs="Calibri"/>
          <w:color w:val="111111"/>
          <w:sz w:val="22"/>
          <w:szCs w:val="22"/>
        </w:rPr>
        <w:t xml:space="preserve"> (uses age, AST, ALT, platelets) to triage advanced fibrosis risk; pathway recommends a 2-tier process. [7] </w:t>
      </w:r>
    </w:p>
    <w:p w:rsidR="00000000" w:rsidRPr="00513A83" w:rsidRDefault="00000000">
      <w:pPr>
        <w:numPr>
          <w:ilvl w:val="1"/>
          <w:numId w:val="5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FIB</w:t>
      </w:r>
      <w:r w:rsidRPr="00513A83">
        <w:rPr>
          <w:rFonts w:ascii="Calibri" w:eastAsia="Times New Roman" w:hAnsi="Calibri" w:cs="Calibri"/>
          <w:color w:val="111111"/>
          <w:sz w:val="22"/>
          <w:szCs w:val="22"/>
        </w:rPr>
        <w:noBreakHyphen/>
        <w:t xml:space="preserve">4 has high utility to </w:t>
      </w:r>
      <w:r w:rsidRPr="00513A83">
        <w:rPr>
          <w:rStyle w:val="Emphasis"/>
          <w:rFonts w:ascii="Calibri" w:eastAsia="Times New Roman" w:hAnsi="Calibri" w:cs="Calibri"/>
          <w:color w:val="111111"/>
          <w:sz w:val="22"/>
          <w:szCs w:val="22"/>
        </w:rPr>
        <w:t>exclude</w:t>
      </w:r>
      <w:r w:rsidRPr="00513A83">
        <w:rPr>
          <w:rFonts w:ascii="Calibri" w:eastAsia="Times New Roman" w:hAnsi="Calibri" w:cs="Calibri"/>
          <w:color w:val="111111"/>
          <w:sz w:val="22"/>
          <w:szCs w:val="22"/>
        </w:rPr>
        <w:t xml:space="preserve"> advanced fibrosis in low-risk scores; the pathway cites that </w:t>
      </w:r>
      <w:r w:rsidRPr="00513A83">
        <w:rPr>
          <w:rStyle w:val="Strong"/>
          <w:rFonts w:ascii="Calibri" w:eastAsia="Times New Roman" w:hAnsi="Calibri" w:cs="Calibri"/>
          <w:color w:val="111111"/>
          <w:sz w:val="22"/>
          <w:szCs w:val="22"/>
        </w:rPr>
        <w:t>FIB</w:t>
      </w:r>
      <w:r w:rsidRPr="00513A83">
        <w:rPr>
          <w:rStyle w:val="Strong"/>
          <w:rFonts w:ascii="Calibri" w:eastAsia="Times New Roman" w:hAnsi="Calibri" w:cs="Calibri"/>
          <w:color w:val="111111"/>
          <w:sz w:val="22"/>
          <w:szCs w:val="22"/>
        </w:rPr>
        <w:noBreakHyphen/>
        <w:t>4 &lt;1.3 (&lt;2.0 if &gt;65 years) can exclude advanced fibrosis with NPV ≥90%</w:t>
      </w:r>
      <w:r w:rsidRPr="00513A83">
        <w:rPr>
          <w:rFonts w:ascii="Calibri" w:eastAsia="Times New Roman" w:hAnsi="Calibri" w:cs="Calibri"/>
          <w:color w:val="111111"/>
          <w:sz w:val="22"/>
          <w:szCs w:val="22"/>
        </w:rPr>
        <w:t>. [7]</w:t>
      </w:r>
    </w:p>
    <w:p w:rsidR="00000000" w:rsidRPr="00513A83" w:rsidRDefault="00000000">
      <w:pPr>
        <w:numPr>
          <w:ilvl w:val="0"/>
          <w:numId w:val="5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Tier 2: VCTE (transient elastography)</w:t>
      </w:r>
      <w:r w:rsidRPr="00513A83">
        <w:rPr>
          <w:rFonts w:ascii="Calibri" w:eastAsia="Times New Roman" w:hAnsi="Calibri" w:cs="Calibri"/>
          <w:color w:val="111111"/>
          <w:sz w:val="22"/>
          <w:szCs w:val="22"/>
        </w:rPr>
        <w:t xml:space="preserve"> or referral if FIB</w:t>
      </w:r>
      <w:r w:rsidRPr="00513A83">
        <w:rPr>
          <w:rFonts w:ascii="Calibri" w:eastAsia="Times New Roman" w:hAnsi="Calibri" w:cs="Calibri"/>
          <w:color w:val="111111"/>
          <w:sz w:val="22"/>
          <w:szCs w:val="22"/>
        </w:rPr>
        <w:noBreakHyphen/>
        <w:t>4 elevated. [7] [8]</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p>
    <w:p w:rsidR="00000000" w:rsidRPr="00513A83" w:rsidRDefault="00000000">
      <w:pPr>
        <w:numPr>
          <w:ilvl w:val="0"/>
          <w:numId w:val="54"/>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MASLD injury is driven by insulin resistance/lipotoxicity and inflammatory signaling; progression to fibrosis reflects chronic wound-healing and architectural distortion—hence risk stratification focuses on fibrosis burden rather than ALT alone. [1]</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 “Rare but must-not-miss” tests: when to trigger them and why</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 Wilson disease (young, severe hepatocellular injury, neuropsychiatric signs, hemolysis, or unexplained acute hepatitis)</w:t>
      </w:r>
    </w:p>
    <w:p w:rsidR="00000000" w:rsidRPr="00513A83" w:rsidRDefault="00000000">
      <w:pPr>
        <w:numPr>
          <w:ilvl w:val="0"/>
          <w:numId w:val="5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Ceruloplasmin</w:t>
      </w:r>
      <w:r w:rsidRPr="00513A83">
        <w:rPr>
          <w:rFonts w:ascii="Calibri" w:eastAsia="Times New Roman" w:hAnsi="Calibri" w:cs="Calibri"/>
          <w:color w:val="111111"/>
          <w:sz w:val="22"/>
          <w:szCs w:val="22"/>
        </w:rPr>
        <w:t xml:space="preserve">, then </w:t>
      </w:r>
      <w:r w:rsidRPr="00513A83">
        <w:rPr>
          <w:rStyle w:val="Strong"/>
          <w:rFonts w:ascii="Calibri" w:eastAsia="Times New Roman" w:hAnsi="Calibri" w:cs="Calibri"/>
          <w:color w:val="111111"/>
          <w:sz w:val="22"/>
          <w:szCs w:val="22"/>
        </w:rPr>
        <w:t>24-h urine copper</w:t>
      </w:r>
      <w:r w:rsidRPr="00513A83">
        <w:rPr>
          <w:rFonts w:ascii="Calibri" w:eastAsia="Times New Roman" w:hAnsi="Calibri" w:cs="Calibri"/>
          <w:color w:val="111111"/>
          <w:sz w:val="22"/>
          <w:szCs w:val="22"/>
        </w:rPr>
        <w:t xml:space="preserve">, slit-lamp exam, serum copper ± </w:t>
      </w:r>
      <w:r w:rsidRPr="00513A83">
        <w:rPr>
          <w:rStyle w:val="Strong"/>
          <w:rFonts w:ascii="Calibri" w:eastAsia="Times New Roman" w:hAnsi="Calibri" w:cs="Calibri"/>
          <w:color w:val="111111"/>
          <w:sz w:val="22"/>
          <w:szCs w:val="22"/>
        </w:rPr>
        <w:t>ATP7B</w:t>
      </w:r>
      <w:r w:rsidRPr="00513A83">
        <w:rPr>
          <w:rFonts w:ascii="Calibri" w:eastAsia="Times New Roman" w:hAnsi="Calibri" w:cs="Calibri"/>
          <w:color w:val="111111"/>
          <w:sz w:val="22"/>
          <w:szCs w:val="22"/>
        </w:rPr>
        <w:t xml:space="preserve"> testing when indicated. [3] [1] </w:t>
      </w:r>
      <w:r w:rsidRPr="00513A83">
        <w:rPr>
          <w:rStyle w:val="Emphasis"/>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impaired biliary copper excretion → copper accumulation and oxidative hepatocyte injury; can masquerade as DILI/AIH in acute hepatitis. [3]</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B. Hemochromatosis / iron overload (chronic enzyme elevation, family history, diabetes/arthropathy, or unexplained liver disease)</w:t>
      </w:r>
    </w:p>
    <w:p w:rsidR="00000000" w:rsidRPr="00513A83" w:rsidRDefault="00000000">
      <w:pPr>
        <w:numPr>
          <w:ilvl w:val="0"/>
          <w:numId w:val="5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Ferritin and </w:t>
      </w:r>
      <w:r w:rsidRPr="00513A83">
        <w:rPr>
          <w:rStyle w:val="Strong"/>
          <w:rFonts w:ascii="Calibri" w:eastAsia="Times New Roman" w:hAnsi="Calibri" w:cs="Calibri"/>
          <w:color w:val="111111"/>
          <w:sz w:val="22"/>
          <w:szCs w:val="22"/>
        </w:rPr>
        <w:t>transferrin saturation</w:t>
      </w:r>
      <w:r w:rsidRPr="00513A83">
        <w:rPr>
          <w:rFonts w:ascii="Calibri" w:eastAsia="Times New Roman" w:hAnsi="Calibri" w:cs="Calibri"/>
          <w:color w:val="111111"/>
          <w:sz w:val="22"/>
          <w:szCs w:val="22"/>
        </w:rPr>
        <w:t xml:space="preserve">; referral threshold includes </w:t>
      </w:r>
      <w:r w:rsidRPr="00513A83">
        <w:rPr>
          <w:rStyle w:val="Strong"/>
          <w:rFonts w:ascii="Calibri" w:eastAsia="Times New Roman" w:hAnsi="Calibri" w:cs="Calibri"/>
          <w:color w:val="111111"/>
          <w:sz w:val="22"/>
          <w:szCs w:val="22"/>
        </w:rPr>
        <w:t>transferrin saturation &gt;45%</w:t>
      </w:r>
      <w:r w:rsidRPr="00513A83">
        <w:rPr>
          <w:rFonts w:ascii="Calibri" w:eastAsia="Times New Roman" w:hAnsi="Calibri" w:cs="Calibri"/>
          <w:color w:val="111111"/>
          <w:sz w:val="22"/>
          <w:szCs w:val="22"/>
        </w:rPr>
        <w:t xml:space="preserve"> in abnormal LFT guideline. [4] </w:t>
      </w:r>
      <w:r w:rsidRPr="00513A83">
        <w:rPr>
          <w:rStyle w:val="Emphasis"/>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iron-driven oxidative injury → progressive fibrosis and HCC risk.</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 α1-antitrypsin deficiency (unexplained chronic hepatitis, early emphysema, family history)</w:t>
      </w:r>
    </w:p>
    <w:p w:rsidR="00000000" w:rsidRPr="00513A83" w:rsidRDefault="00000000">
      <w:pPr>
        <w:numPr>
          <w:ilvl w:val="0"/>
          <w:numId w:val="5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A1AT levels/phenotype per AIH work-up list (as part of excluding alternative diagnoses). [7]</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D. Budd–Chiari syndrome (tender hepatomegaly and/or rapid-onset ascites; can mimic DILI)</w:t>
      </w:r>
    </w:p>
    <w:p w:rsidR="00000000" w:rsidRPr="00513A83" w:rsidRDefault="00000000">
      <w:pPr>
        <w:numPr>
          <w:ilvl w:val="0"/>
          <w:numId w:val="58"/>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Doppler ultrasound</w:t>
      </w:r>
      <w:r w:rsidRPr="00513A83">
        <w:rPr>
          <w:rFonts w:ascii="Calibri" w:eastAsia="Times New Roman" w:hAnsi="Calibri" w:cs="Calibri"/>
          <w:color w:val="111111"/>
          <w:sz w:val="22"/>
          <w:szCs w:val="22"/>
        </w:rPr>
        <w:t xml:space="preserve">/cross-sectional imaging to assess hepatic/portal venous flow. [3] </w:t>
      </w:r>
      <w:r w:rsidRPr="00513A83">
        <w:rPr>
          <w:rStyle w:val="Emphasis"/>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hepatic venous outflow obstruction → sinusoidal congestion/ischemia causing acute hepatocellular injury and ascites.</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5) When to biopsy (and what question the biopsy must answer)</w:t>
      </w:r>
    </w:p>
    <w:p w:rsidR="00000000" w:rsidRPr="00513A83" w:rsidRDefault="00000000">
      <w:pPr>
        <w:numPr>
          <w:ilvl w:val="0"/>
          <w:numId w:val="5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If AIH remains a serious competing etiology and immunosuppression is being contemplated</w:t>
      </w:r>
      <w:r w:rsidRPr="00513A83">
        <w:rPr>
          <w:rFonts w:ascii="Calibri" w:eastAsia="Times New Roman" w:hAnsi="Calibri" w:cs="Calibri"/>
          <w:color w:val="111111"/>
          <w:sz w:val="22"/>
          <w:szCs w:val="22"/>
        </w:rPr>
        <w:t>, DILI guideline recommends liver biopsy (strong recommendation, low-quality evidence). [3]</w:t>
      </w:r>
    </w:p>
    <w:p w:rsidR="00000000" w:rsidRPr="00513A83" w:rsidRDefault="00000000">
      <w:pPr>
        <w:numPr>
          <w:ilvl w:val="0"/>
          <w:numId w:val="59"/>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BSG AIH guideline recommends biopsy routinely (ideally before immunosuppression) unless risk outweighs benefit. [7]</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p>
    <w:p w:rsidR="00000000" w:rsidRPr="00513A83" w:rsidRDefault="00000000">
      <w:pPr>
        <w:numPr>
          <w:ilvl w:val="0"/>
          <w:numId w:val="6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Biopsy is most useful when you need to discriminate </w:t>
      </w:r>
      <w:r w:rsidRPr="00513A83">
        <w:rPr>
          <w:rStyle w:val="Strong"/>
          <w:rFonts w:ascii="Calibri" w:eastAsia="Times New Roman" w:hAnsi="Calibri" w:cs="Calibri"/>
          <w:color w:val="111111"/>
          <w:sz w:val="22"/>
          <w:szCs w:val="22"/>
        </w:rPr>
        <w:t>immune-mediated interface hepatitis (AIH)</w:t>
      </w:r>
      <w:r w:rsidRPr="00513A83">
        <w:rPr>
          <w:rFonts w:ascii="Calibri" w:eastAsia="Times New Roman" w:hAnsi="Calibri" w:cs="Calibri"/>
          <w:color w:val="111111"/>
          <w:sz w:val="22"/>
          <w:szCs w:val="22"/>
        </w:rPr>
        <w:t xml:space="preserve"> from </w:t>
      </w:r>
      <w:r w:rsidRPr="00513A83">
        <w:rPr>
          <w:rStyle w:val="Strong"/>
          <w:rFonts w:ascii="Calibri" w:eastAsia="Times New Roman" w:hAnsi="Calibri" w:cs="Calibri"/>
          <w:color w:val="111111"/>
          <w:sz w:val="22"/>
          <w:szCs w:val="22"/>
        </w:rPr>
        <w:t>idiosyncratic injury</w:t>
      </w:r>
      <w:r w:rsidRPr="00513A83">
        <w:rPr>
          <w:rFonts w:ascii="Calibri" w:eastAsia="Times New Roman" w:hAnsi="Calibri" w:cs="Calibri"/>
          <w:color w:val="111111"/>
          <w:sz w:val="22"/>
          <w:szCs w:val="22"/>
        </w:rPr>
        <w:t xml:space="preserve"> or to stage fibrosis/identify co-pathology (steatosis, cholestatic duct injury). It rarely “proves” DILI but can shift probability enough to justify/avoid immunosuppression. [3] [7]</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6) Practical testing algorithm (ordered by clinical priority)</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Step A — Immediate labs (same day)</w:t>
      </w:r>
    </w:p>
    <w:p w:rsidR="00000000" w:rsidRPr="00513A83" w:rsidRDefault="00000000">
      <w:pPr>
        <w:numPr>
          <w:ilvl w:val="0"/>
          <w:numId w:val="61"/>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CMP with </w:t>
      </w:r>
      <w:r w:rsidRPr="00513A83">
        <w:rPr>
          <w:rStyle w:val="Strong"/>
          <w:rFonts w:ascii="Calibri" w:eastAsia="Times New Roman" w:hAnsi="Calibri" w:cs="Calibri"/>
          <w:color w:val="111111"/>
          <w:sz w:val="22"/>
          <w:szCs w:val="22"/>
        </w:rPr>
        <w:t>AST/ALT, ALP, GGT, total/direct bilirubin</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albumin</w:t>
      </w:r>
    </w:p>
    <w:p w:rsidR="00000000" w:rsidRPr="00513A83" w:rsidRDefault="00000000">
      <w:pPr>
        <w:numPr>
          <w:ilvl w:val="0"/>
          <w:numId w:val="6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INR/PT</w:t>
      </w:r>
      <w:r w:rsidRPr="00513A83">
        <w:rPr>
          <w:rFonts w:ascii="Calibri" w:eastAsia="Times New Roman" w:hAnsi="Calibri" w:cs="Calibri"/>
          <w:color w:val="111111"/>
          <w:sz w:val="22"/>
          <w:szCs w:val="22"/>
        </w:rPr>
        <w:t>, glucose</w:t>
      </w:r>
    </w:p>
    <w:p w:rsidR="00000000" w:rsidRPr="00513A83" w:rsidRDefault="00000000">
      <w:pPr>
        <w:numPr>
          <w:ilvl w:val="0"/>
          <w:numId w:val="6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CBC</w:t>
      </w:r>
      <w:r w:rsidRPr="00513A83">
        <w:rPr>
          <w:rFonts w:ascii="Calibri" w:eastAsia="Times New Roman" w:hAnsi="Calibri" w:cs="Calibri"/>
          <w:color w:val="111111"/>
          <w:sz w:val="22"/>
          <w:szCs w:val="22"/>
        </w:rPr>
        <w:t xml:space="preserve"> (platelets for portal HTN/fibrosis scores; anemia/infection)</w:t>
      </w:r>
    </w:p>
    <w:p w:rsidR="00000000" w:rsidRPr="00513A83" w:rsidRDefault="00000000">
      <w:pPr>
        <w:numPr>
          <w:ilvl w:val="0"/>
          <w:numId w:val="6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Pregnancy test</w:t>
      </w:r>
      <w:r w:rsidRPr="00513A83">
        <w:rPr>
          <w:rFonts w:ascii="Calibri" w:eastAsia="Times New Roman" w:hAnsi="Calibri" w:cs="Calibri"/>
          <w:color w:val="111111"/>
          <w:sz w:val="22"/>
          <w:szCs w:val="22"/>
        </w:rPr>
        <w:t xml:space="preserve"> when relevant (because HELLP/AFLP and medication choices depend on it; expertise-based)</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Step B — Core etiology screen + baseline imaging</w:t>
      </w:r>
    </w:p>
    <w:p w:rsidR="00000000" w:rsidRPr="00513A83" w:rsidRDefault="00000000">
      <w:pPr>
        <w:numPr>
          <w:ilvl w:val="0"/>
          <w:numId w:val="6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RUQ ultrasound</w:t>
      </w:r>
    </w:p>
    <w:p w:rsidR="00000000" w:rsidRPr="00513A83" w:rsidRDefault="00000000">
      <w:pPr>
        <w:numPr>
          <w:ilvl w:val="0"/>
          <w:numId w:val="6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HBsAg</w:t>
      </w:r>
    </w:p>
    <w:p w:rsidR="00000000" w:rsidRPr="00513A83" w:rsidRDefault="00000000">
      <w:pPr>
        <w:numPr>
          <w:ilvl w:val="0"/>
          <w:numId w:val="6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anti</w:t>
      </w:r>
      <w:r w:rsidRPr="00513A83">
        <w:rPr>
          <w:rStyle w:val="Strong"/>
          <w:rFonts w:ascii="Calibri" w:eastAsia="Times New Roman" w:hAnsi="Calibri" w:cs="Calibri"/>
          <w:color w:val="111111"/>
          <w:sz w:val="22"/>
          <w:szCs w:val="22"/>
        </w:rPr>
        <w:noBreakHyphen/>
        <w:t>HCV with reflex PCR if positive</w:t>
      </w:r>
      <w:r w:rsidRPr="00513A83">
        <w:rPr>
          <w:rFonts w:ascii="Calibri" w:eastAsia="Times New Roman" w:hAnsi="Calibri" w:cs="Calibri"/>
          <w:color w:val="111111"/>
          <w:sz w:val="22"/>
          <w:szCs w:val="22"/>
        </w:rPr>
        <w:t xml:space="preserve"> (and </w:t>
      </w:r>
      <w:r w:rsidRPr="00513A83">
        <w:rPr>
          <w:rStyle w:val="Strong"/>
          <w:rFonts w:ascii="Calibri" w:eastAsia="Times New Roman" w:hAnsi="Calibri" w:cs="Calibri"/>
          <w:color w:val="111111"/>
          <w:sz w:val="22"/>
          <w:szCs w:val="22"/>
        </w:rPr>
        <w:t>HCV RNA</w:t>
      </w:r>
      <w:r w:rsidRPr="00513A83">
        <w:rPr>
          <w:rFonts w:ascii="Calibri" w:eastAsia="Times New Roman" w:hAnsi="Calibri" w:cs="Calibri"/>
          <w:color w:val="111111"/>
          <w:sz w:val="22"/>
          <w:szCs w:val="22"/>
        </w:rPr>
        <w:t xml:space="preserve"> if acute HCV suspected) [4] [7]</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Step C — Context-driven expansions</w:t>
      </w:r>
    </w:p>
    <w:p w:rsidR="00000000" w:rsidRPr="00513A83" w:rsidRDefault="00000000">
      <w:pPr>
        <w:numPr>
          <w:ilvl w:val="0"/>
          <w:numId w:val="6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lastRenderedPageBreak/>
        <w:t>Acute/icteric</w:t>
      </w:r>
      <w:r w:rsidRPr="00513A83">
        <w:rPr>
          <w:rFonts w:ascii="Calibri" w:eastAsia="Times New Roman" w:hAnsi="Calibri" w:cs="Calibri"/>
          <w:color w:val="111111"/>
          <w:sz w:val="22"/>
          <w:szCs w:val="22"/>
        </w:rPr>
        <w:t>: HAV IgM, HEV IgM ± RNA; consider EBV/CMV ± HSV/VZV if immunocompromised. [2] [7]</w:t>
      </w:r>
    </w:p>
    <w:p w:rsidR="00000000" w:rsidRPr="00513A83" w:rsidRDefault="00000000">
      <w:pPr>
        <w:numPr>
          <w:ilvl w:val="0"/>
          <w:numId w:val="6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DILI/unclear hepatocellular/mixed</w:t>
      </w:r>
      <w:r w:rsidRPr="00513A83">
        <w:rPr>
          <w:rFonts w:ascii="Calibri" w:eastAsia="Times New Roman" w:hAnsi="Calibri" w:cs="Calibri"/>
          <w:color w:val="111111"/>
          <w:sz w:val="22"/>
          <w:szCs w:val="22"/>
        </w:rPr>
        <w:t>: AIH serologies + IgG; consider HEV IgM; targeted CMV/EBV/HSV. [3]</w:t>
      </w:r>
    </w:p>
    <w:p w:rsidR="00000000" w:rsidRPr="00513A83" w:rsidRDefault="00000000">
      <w:pPr>
        <w:numPr>
          <w:ilvl w:val="0"/>
          <w:numId w:val="6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Cholestatic</w:t>
      </w:r>
      <w:r w:rsidRPr="00513A83">
        <w:rPr>
          <w:rFonts w:ascii="Calibri" w:eastAsia="Times New Roman" w:hAnsi="Calibri" w:cs="Calibri"/>
          <w:color w:val="111111"/>
          <w:sz w:val="22"/>
          <w:szCs w:val="22"/>
        </w:rPr>
        <w:t>: MRCP/CT/MRI if US nondiagnostic; AMA if no obstruction. [7] [3]</w:t>
      </w:r>
    </w:p>
    <w:p w:rsidR="00000000" w:rsidRPr="00513A83" w:rsidRDefault="00000000">
      <w:pPr>
        <w:numPr>
          <w:ilvl w:val="0"/>
          <w:numId w:val="6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HBsAg positive</w:t>
      </w:r>
      <w:r w:rsidRPr="00513A83">
        <w:rPr>
          <w:rFonts w:ascii="Calibri" w:eastAsia="Times New Roman" w:hAnsi="Calibri" w:cs="Calibri"/>
          <w:color w:val="111111"/>
          <w:sz w:val="22"/>
          <w:szCs w:val="22"/>
        </w:rPr>
        <w:t>: HBV DNA, HBeAg, quantitative HBsAg; screen anti</w:t>
      </w:r>
      <w:r w:rsidRPr="00513A83">
        <w:rPr>
          <w:rFonts w:ascii="Calibri" w:eastAsia="Times New Roman" w:hAnsi="Calibri" w:cs="Calibri"/>
          <w:color w:val="111111"/>
          <w:sz w:val="22"/>
          <w:szCs w:val="22"/>
        </w:rPr>
        <w:noBreakHyphen/>
        <w:t>HDV, anti</w:t>
      </w:r>
      <w:r w:rsidRPr="00513A83">
        <w:rPr>
          <w:rFonts w:ascii="Calibri" w:eastAsia="Times New Roman" w:hAnsi="Calibri" w:cs="Calibri"/>
          <w:color w:val="111111"/>
          <w:sz w:val="22"/>
          <w:szCs w:val="22"/>
        </w:rPr>
        <w:noBreakHyphen/>
        <w:t>HCV, HIV; fibrosis assessment and baseline US. [2]</w:t>
      </w:r>
    </w:p>
    <w:p w:rsidR="00000000" w:rsidRPr="00513A83" w:rsidRDefault="00000000">
      <w:pPr>
        <w:numPr>
          <w:ilvl w:val="0"/>
          <w:numId w:val="6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Metabolic risk/steatosis</w:t>
      </w:r>
      <w:r w:rsidRPr="00513A83">
        <w:rPr>
          <w:rFonts w:ascii="Calibri" w:eastAsia="Times New Roman" w:hAnsi="Calibri" w:cs="Calibri"/>
          <w:color w:val="111111"/>
          <w:sz w:val="22"/>
          <w:szCs w:val="22"/>
        </w:rPr>
        <w:t>: FIB</w:t>
      </w:r>
      <w:r w:rsidRPr="00513A83">
        <w:rPr>
          <w:rFonts w:ascii="Calibri" w:eastAsia="Times New Roman" w:hAnsi="Calibri" w:cs="Calibri"/>
          <w:color w:val="111111"/>
          <w:sz w:val="22"/>
          <w:szCs w:val="22"/>
        </w:rPr>
        <w:noBreakHyphen/>
        <w:t>4 → VCTE if elevated; evaluate for other liver diseases in parallel. [7] [8]</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Step D — Escalate when the answer will change management</w:t>
      </w:r>
    </w:p>
    <w:p w:rsidR="00000000" w:rsidRPr="00513A83" w:rsidRDefault="00000000">
      <w:pPr>
        <w:numPr>
          <w:ilvl w:val="0"/>
          <w:numId w:val="6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Doppler US</w:t>
      </w:r>
      <w:r w:rsidRPr="00513A83">
        <w:rPr>
          <w:rFonts w:ascii="Calibri" w:eastAsia="Times New Roman" w:hAnsi="Calibri" w:cs="Calibri"/>
          <w:color w:val="111111"/>
          <w:sz w:val="22"/>
          <w:szCs w:val="22"/>
        </w:rPr>
        <w:t xml:space="preserve"> for Budd–Chiari/vascular concerns. [3]</w:t>
      </w:r>
    </w:p>
    <w:p w:rsidR="00000000" w:rsidRPr="00513A83" w:rsidRDefault="00000000">
      <w:pPr>
        <w:numPr>
          <w:ilvl w:val="0"/>
          <w:numId w:val="6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Liver biopsy</w:t>
      </w:r>
      <w:r w:rsidRPr="00513A83">
        <w:rPr>
          <w:rFonts w:ascii="Calibri" w:eastAsia="Times New Roman" w:hAnsi="Calibri" w:cs="Calibri"/>
          <w:color w:val="111111"/>
          <w:sz w:val="22"/>
          <w:szCs w:val="22"/>
        </w:rPr>
        <w:t xml:space="preserve"> if AIH vs DILI is pivotal or diagnosis remains uncertain after noninvasive work-up. [3] [7]</w:t>
      </w:r>
    </w:p>
    <w:p w:rsidR="00000000" w:rsidRPr="00513A83" w:rsidRDefault="00DF7AE7" w:rsidP="00513A83">
      <w:pPr>
        <w:jc w:val="center"/>
        <w:divId w:val="1452745915"/>
        <w:rPr>
          <w:rFonts w:ascii="Calibri" w:eastAsia="Times New Roman" w:hAnsi="Calibri" w:cs="Calibri"/>
          <w:noProof/>
          <w:color w:val="111111"/>
          <w:sz w:val="22"/>
          <w:szCs w:val="22"/>
        </w:rPr>
      </w:pPr>
      <w:r>
        <w:rPr>
          <w:rFonts w:ascii="Calibri" w:eastAsia="Times New Roman" w:hAnsi="Calibri" w:cs="Calibri"/>
          <w:noProof/>
          <w:color w:val="111111"/>
          <w:sz w:val="22"/>
          <w:szCs w:val="22"/>
        </w:rPr>
        <w:pict>
          <v:rect id="_x0000_i1026" alt="" style="width:451.3pt;height:1pt;mso-width-percent:0;mso-height-percent:0;mso-width-percent:0;mso-height-percent:0" o:hralign="center" o:hrstd="t" o:hr="t" fillcolor="#a0a0a0" stroked="f"/>
        </w:pic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References:</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 </w:t>
      </w:r>
      <w:hyperlink r:id="rId29" w:history="1">
        <w:r w:rsidRPr="00513A83">
          <w:rPr>
            <w:rStyle w:val="Hyperlink"/>
            <w:rFonts w:ascii="Calibri" w:hAnsi="Calibri" w:cs="Calibri"/>
            <w:sz w:val="22"/>
            <w:szCs w:val="22"/>
          </w:rPr>
          <w:t>Guidelines on the management of abnormal liver blood tests</w:t>
        </w:r>
      </w:hyperlink>
      <w:r w:rsidRPr="00513A83">
        <w:rPr>
          <w:rFonts w:ascii="Calibri" w:hAnsi="Calibri" w:cs="Calibri"/>
          <w:color w:val="111111"/>
          <w:sz w:val="22"/>
          <w:szCs w:val="22"/>
        </w:rPr>
        <w:t xml:space="preserve"> Gut. 2017. DOI: 10.1136/gutjnl-2017-314924</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2. </w:t>
      </w:r>
      <w:hyperlink r:id="rId30" w:history="1">
        <w:r w:rsidRPr="00513A83">
          <w:rPr>
            <w:rStyle w:val="Hyperlink"/>
            <w:rFonts w:ascii="Calibri" w:hAnsi="Calibri" w:cs="Calibri"/>
            <w:sz w:val="22"/>
            <w:szCs w:val="22"/>
          </w:rPr>
          <w:t>EASL Clinical Practice Guidelines on the management of autoimmune hepatitis</w:t>
        </w:r>
      </w:hyperlink>
      <w:r w:rsidRPr="00513A83">
        <w:rPr>
          <w:rFonts w:ascii="Calibri" w:hAnsi="Calibri" w:cs="Calibri"/>
          <w:color w:val="111111"/>
          <w:sz w:val="22"/>
          <w:szCs w:val="22"/>
        </w:rPr>
        <w:t xml:space="preserve"> Journal of Hepatology. 2025. DOI: 10.1016/j.jhep.2025.03.017</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3. </w:t>
      </w:r>
      <w:hyperlink r:id="rId31" w:history="1">
        <w:r w:rsidRPr="00513A83">
          <w:rPr>
            <w:rStyle w:val="Hyperlink"/>
            <w:rFonts w:ascii="Calibri" w:hAnsi="Calibri" w:cs="Calibri"/>
            <w:sz w:val="22"/>
            <w:szCs w:val="22"/>
          </w:rPr>
          <w:t>ACG Clinical Guideline: Diagnosis and Management of Idiosyncratic Drug-Induced Liver Injury</w:t>
        </w:r>
      </w:hyperlink>
      <w:r w:rsidRPr="00513A83">
        <w:rPr>
          <w:rFonts w:ascii="Calibri" w:hAnsi="Calibri" w:cs="Calibri"/>
          <w:color w:val="111111"/>
          <w:sz w:val="22"/>
          <w:szCs w:val="22"/>
        </w:rPr>
        <w:t xml:space="preserve"> The American Journal of Gastroenterology. 2021. DOI: 10.14309/ajg.0000000000001259</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4. </w:t>
      </w:r>
      <w:hyperlink r:id="rId32" w:history="1">
        <w:r w:rsidRPr="00513A83">
          <w:rPr>
            <w:rStyle w:val="Hyperlink"/>
            <w:rFonts w:ascii="Calibri" w:hAnsi="Calibri" w:cs="Calibri"/>
            <w:sz w:val="22"/>
            <w:szCs w:val="22"/>
          </w:rPr>
          <w:t>EASL Clinical Practice Guidelines on the management of hepatitis B virus infection</w:t>
        </w:r>
      </w:hyperlink>
      <w:r w:rsidRPr="00513A83">
        <w:rPr>
          <w:rFonts w:ascii="Calibri" w:hAnsi="Calibri" w:cs="Calibri"/>
          <w:color w:val="111111"/>
          <w:sz w:val="22"/>
          <w:szCs w:val="22"/>
        </w:rPr>
        <w:t xml:space="preserve"> Journal of Hepatology. 2025. DOI: 10.1016/j.jhep.2025.03.018</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5. </w:t>
      </w:r>
      <w:hyperlink r:id="rId33" w:history="1">
        <w:r w:rsidRPr="00513A83">
          <w:rPr>
            <w:rStyle w:val="Hyperlink"/>
            <w:rFonts w:ascii="Calibri" w:hAnsi="Calibri" w:cs="Calibri"/>
            <w:sz w:val="22"/>
            <w:szCs w:val="22"/>
          </w:rPr>
          <w:t>Asian-Pacific clinical practice guidelines on the management of hepatitis B: a 2015 update</w:t>
        </w:r>
      </w:hyperlink>
      <w:r w:rsidRPr="00513A83">
        <w:rPr>
          <w:rFonts w:ascii="Calibri" w:hAnsi="Calibri" w:cs="Calibri"/>
          <w:color w:val="111111"/>
          <w:sz w:val="22"/>
          <w:szCs w:val="22"/>
        </w:rPr>
        <w:t xml:space="preserve"> Hepatology International. 2015. DOI: 10.1007/s12072-015-9675-4</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6. </w:t>
      </w:r>
      <w:hyperlink r:id="rId34" w:history="1">
        <w:r w:rsidRPr="00513A83">
          <w:rPr>
            <w:rStyle w:val="Hyperlink"/>
            <w:rFonts w:ascii="Calibri" w:hAnsi="Calibri" w:cs="Calibri"/>
            <w:sz w:val="22"/>
            <w:szCs w:val="22"/>
          </w:rPr>
          <w:t>British Society of Gastroenterology guidelines for diagnosis and management of autoimmune hepatitis</w:t>
        </w:r>
      </w:hyperlink>
      <w:r w:rsidRPr="00513A83">
        <w:rPr>
          <w:rFonts w:ascii="Calibri" w:hAnsi="Calibri" w:cs="Calibri"/>
          <w:color w:val="111111"/>
          <w:sz w:val="22"/>
          <w:szCs w:val="22"/>
        </w:rPr>
        <w:t xml:space="preserve"> Gut. 2025. DOI: 10.1136/gutjnl-2024-333171</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7. </w:t>
      </w:r>
      <w:hyperlink r:id="rId35" w:history="1">
        <w:r w:rsidRPr="00513A83">
          <w:rPr>
            <w:rStyle w:val="Hyperlink"/>
            <w:rFonts w:ascii="Calibri" w:hAnsi="Calibri" w:cs="Calibri"/>
            <w:sz w:val="22"/>
            <w:szCs w:val="22"/>
          </w:rPr>
          <w:t>Clinical Care Pathway for the Risk Stratification and Management of Patients With Nonalcoholic Fatty Liver Disease.</w:t>
        </w:r>
      </w:hyperlink>
      <w:r w:rsidRPr="00513A83">
        <w:rPr>
          <w:rFonts w:ascii="Calibri" w:hAnsi="Calibri" w:cs="Calibri"/>
          <w:color w:val="111111"/>
          <w:sz w:val="22"/>
          <w:szCs w:val="22"/>
        </w:rPr>
        <w:t xml:space="preserve"> Gastroenterology. 2021. DOI: 10.1053/j.gastro.2021.07.049</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8. </w:t>
      </w:r>
      <w:hyperlink r:id="rId36" w:history="1">
        <w:r w:rsidRPr="00513A83">
          <w:rPr>
            <w:rStyle w:val="Hyperlink"/>
            <w:rFonts w:ascii="Calibri" w:hAnsi="Calibri" w:cs="Calibri"/>
            <w:sz w:val="22"/>
            <w:szCs w:val="22"/>
          </w:rPr>
          <w:t>KASL clinical practice guidelines for noninvasive tests to assess liver fibrosis in chronic liver disease</w:t>
        </w:r>
      </w:hyperlink>
      <w:r w:rsidRPr="00513A83">
        <w:rPr>
          <w:rFonts w:ascii="Calibri" w:hAnsi="Calibri" w:cs="Calibri"/>
          <w:color w:val="111111"/>
          <w:sz w:val="22"/>
          <w:szCs w:val="22"/>
        </w:rPr>
        <w:t xml:space="preserve"> Clinical and Molecular Hepatology. 2024. DOI: 10.3350/cmh.2024.0506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9. </w:t>
      </w:r>
      <w:hyperlink r:id="rId37" w:history="1">
        <w:r w:rsidRPr="00513A83">
          <w:rPr>
            <w:rStyle w:val="Hyperlink"/>
            <w:rFonts w:ascii="Calibri" w:hAnsi="Calibri" w:cs="Calibri"/>
            <w:sz w:val="22"/>
            <w:szCs w:val="22"/>
          </w:rPr>
          <w:t>EASL-EASD-EASO Clinical Practice Guidelines on the management of metabolic dysfunction-associated steatotic liver disease (MASLD).</w:t>
        </w:r>
      </w:hyperlink>
      <w:r w:rsidRPr="00513A83">
        <w:rPr>
          <w:rFonts w:ascii="Calibri" w:hAnsi="Calibri" w:cs="Calibri"/>
          <w:color w:val="111111"/>
          <w:sz w:val="22"/>
          <w:szCs w:val="22"/>
        </w:rPr>
        <w:t xml:space="preserve"> Journal of hepatology. 2024. DOI: 10.1016/j.jhep.2024.04.031</w:t>
      </w:r>
    </w:p>
    <w:p w:rsidR="00000000" w:rsidRPr="00513A83" w:rsidRDefault="00000000">
      <w:pPr>
        <w:pStyle w:val="NormalWeb"/>
        <w:divId w:val="1452745915"/>
        <w:rPr>
          <w:rFonts w:ascii="Calibri" w:hAnsi="Calibri" w:cs="Calibri"/>
          <w:color w:val="111111"/>
          <w:sz w:val="22"/>
          <w:szCs w:val="22"/>
        </w:rPr>
      </w:pPr>
    </w:p>
    <w:p w:rsidR="00000000" w:rsidRPr="00513A83" w:rsidRDefault="00000000">
      <w:pPr>
        <w:pStyle w:val="NormalWeb"/>
        <w:divId w:val="1452745915"/>
        <w:rPr>
          <w:rFonts w:ascii="Calibri" w:hAnsi="Calibri" w:cs="Calibri"/>
          <w:color w:val="111111"/>
          <w:sz w:val="22"/>
          <w:szCs w:val="22"/>
        </w:rPr>
      </w:pPr>
    </w:p>
    <w:p w:rsidR="00000000" w:rsidRPr="00513A83" w:rsidRDefault="00000000">
      <w:pPr>
        <w:pStyle w:val="NormalWeb"/>
        <w:divId w:val="1452745915"/>
        <w:rPr>
          <w:rFonts w:ascii="Calibri" w:hAnsi="Calibri" w:cs="Calibri"/>
          <w:color w:val="111111"/>
          <w:sz w:val="22"/>
          <w:szCs w:val="22"/>
        </w:rPr>
      </w:pPr>
    </w:p>
    <w:tbl>
      <w:tblPr>
        <w:tblW w:w="5000" w:type="pct"/>
        <w:tblCellSpacing w:w="15" w:type="dxa"/>
        <w:tblLook w:val="04A0" w:firstRow="1" w:lastRow="0" w:firstColumn="1" w:lastColumn="0" w:noHBand="0" w:noVBand="1"/>
      </w:tblPr>
      <w:tblGrid>
        <w:gridCol w:w="9026"/>
      </w:tblGrid>
      <w:tr w:rsidR="00000000" w:rsidRPr="00513A83">
        <w:trPr>
          <w:divId w:val="1452745915"/>
          <w:tblCellSpacing w:w="15" w:type="dxa"/>
        </w:trPr>
        <w:tc>
          <w:tcPr>
            <w:tcW w:w="0" w:type="auto"/>
            <w:tcMar>
              <w:top w:w="0" w:type="dxa"/>
              <w:left w:w="0" w:type="dxa"/>
              <w:bottom w:w="0" w:type="dxa"/>
              <w:right w:w="0" w:type="dxa"/>
            </w:tcMar>
            <w:vAlign w:val="center"/>
            <w:hideMark/>
          </w:tcPr>
          <w:p w:rsidR="00000000" w:rsidRPr="00513A83" w:rsidRDefault="00000000">
            <w:pPr>
              <w:spacing w:before="150" w:after="300"/>
              <w:rPr>
                <w:rFonts w:ascii="Calibri" w:eastAsia="Times New Roman" w:hAnsi="Calibri" w:cs="Calibri"/>
                <w:color w:val="111111"/>
                <w:sz w:val="22"/>
                <w:szCs w:val="22"/>
              </w:rPr>
            </w:pPr>
          </w:p>
        </w:tc>
      </w:tr>
    </w:tbl>
    <w:p w:rsidR="00513A83" w:rsidRDefault="00513A83">
      <w:pPr>
        <w:pStyle w:val="NormalWeb"/>
        <w:divId w:val="1452745915"/>
        <w:rPr>
          <w:rFonts w:ascii="Calibri" w:hAnsi="Calibri" w:cs="Calibri"/>
          <w:color w:val="111111"/>
          <w:sz w:val="22"/>
          <w:szCs w:val="22"/>
        </w:rPr>
      </w:pPr>
    </w:p>
    <w:p w:rsidR="00513A83" w:rsidRDefault="00513A83">
      <w:pPr>
        <w:rPr>
          <w:rFonts w:ascii="Calibri" w:hAnsi="Calibri" w:cs="Calibri"/>
          <w:color w:val="111111"/>
          <w:sz w:val="22"/>
          <w:szCs w:val="22"/>
        </w:rPr>
      </w:pPr>
      <w:r>
        <w:rPr>
          <w:rFonts w:ascii="Calibri" w:hAnsi="Calibri" w:cs="Calibri"/>
          <w:color w:val="111111"/>
          <w:sz w:val="22"/>
          <w:szCs w:val="22"/>
        </w:rPr>
        <w:br w:type="page"/>
      </w:r>
    </w:p>
    <w:p w:rsidR="00513A83" w:rsidRPr="00563070" w:rsidRDefault="00513A83" w:rsidP="00563070">
      <w:pPr>
        <w:pStyle w:val="Heading3"/>
        <w:jc w:val="center"/>
        <w:divId w:val="1452745915"/>
        <w:rPr>
          <w:rFonts w:ascii="Calibri" w:hAnsi="Calibri" w:cs="Calibri"/>
          <w:color w:val="0070C0"/>
          <w:sz w:val="22"/>
          <w:szCs w:val="22"/>
          <w:lang w:val="en-US"/>
        </w:rPr>
      </w:pPr>
      <w:r w:rsidRPr="00563070">
        <w:rPr>
          <w:rFonts w:ascii="Calibri" w:hAnsi="Calibri" w:cs="Calibri"/>
          <w:color w:val="0070C0"/>
          <w:sz w:val="22"/>
          <w:szCs w:val="22"/>
          <w:lang w:val="en-US"/>
        </w:rPr>
        <w:lastRenderedPageBreak/>
        <w:t>Management</w:t>
      </w:r>
      <w:r w:rsidRPr="00563070">
        <w:rPr>
          <w:rFonts w:ascii="Calibri" w:hAnsi="Calibri" w:cs="Calibri"/>
          <w:color w:val="0070C0"/>
          <w:sz w:val="22"/>
          <w:szCs w:val="22"/>
          <w:lang w:val="en-US"/>
        </w:rPr>
        <w:t xml:space="preserve"> &amp; </w:t>
      </w:r>
      <w:r w:rsidR="00563070" w:rsidRPr="00563070">
        <w:rPr>
          <w:rFonts w:ascii="Calibri" w:hAnsi="Calibri" w:cs="Calibri"/>
          <w:color w:val="0070C0"/>
          <w:sz w:val="22"/>
          <w:szCs w:val="22"/>
          <w:lang w:val="en-US"/>
        </w:rPr>
        <w:t>Follow-up</w:t>
      </w:r>
    </w:p>
    <w:p w:rsidR="00513A83" w:rsidRDefault="00513A83">
      <w:pPr>
        <w:pStyle w:val="NormalWeb"/>
        <w:divId w:val="1452745915"/>
        <w:rPr>
          <w:rFonts w:ascii="Calibri" w:hAnsi="Calibri" w:cs="Calibri"/>
          <w:color w:val="111111"/>
          <w:sz w:val="22"/>
          <w:szCs w:val="22"/>
        </w:rPr>
      </w:pP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Manage hepatitis by </w:t>
      </w:r>
      <w:r w:rsidRPr="00513A83">
        <w:rPr>
          <w:rStyle w:val="Strong"/>
          <w:rFonts w:ascii="Calibri" w:hAnsi="Calibri" w:cs="Calibri"/>
          <w:color w:val="111111"/>
          <w:sz w:val="22"/>
          <w:szCs w:val="22"/>
        </w:rPr>
        <w:t>(1) stabilising and identifying acute liver failure/obstruction/sepsis, (2) stopping ongoing hepatotoxic or infectious drivers, (3) initiating etiology-specific therapy (HBV antivirals, HCV DAAs, AIH immunosuppression, alcohol abstinence/metabolic therapy), (4) staging fibrosis/portal hypertension with non</w:t>
      </w:r>
      <w:r w:rsidRPr="00513A83">
        <w:rPr>
          <w:rStyle w:val="Strong"/>
          <w:rFonts w:ascii="Calibri" w:hAnsi="Calibri" w:cs="Calibri"/>
          <w:color w:val="111111"/>
          <w:sz w:val="22"/>
          <w:szCs w:val="22"/>
        </w:rPr>
        <w:noBreakHyphen/>
        <w:t>invasive tests to guide surveillance and complication prevention, and (5) implementing long-term follow-up for viral suppression/cure and HCC risk reduction (which persists even after virologic control if advanced fibrosis/cirrhosis).</w:t>
      </w:r>
      <w:r w:rsidRPr="00513A83">
        <w:rPr>
          <w:rFonts w:ascii="Calibri" w:hAnsi="Calibri" w:cs="Calibri"/>
          <w:color w:val="111111"/>
          <w:sz w:val="22"/>
          <w:szCs w:val="22"/>
        </w:rPr>
        <w:t xml:space="preserve"> [1] [4] [3] [5]</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In chronic HBV, treat immune</w:t>
      </w:r>
      <w:r w:rsidRPr="00513A83">
        <w:rPr>
          <w:rFonts w:ascii="Calibri" w:hAnsi="Calibri" w:cs="Calibri"/>
          <w:color w:val="111111"/>
          <w:sz w:val="22"/>
          <w:szCs w:val="22"/>
        </w:rPr>
        <w:noBreakHyphen/>
        <w:t>active disease (HBV DNA &gt;2,000 IU/ml with elevated ALT and/or significant fibrosis) and treat any cirrhosis with detectable HBV DNA; first</w:t>
      </w:r>
      <w:r w:rsidRPr="00513A83">
        <w:rPr>
          <w:rFonts w:ascii="Calibri" w:hAnsi="Calibri" w:cs="Calibri"/>
          <w:color w:val="111111"/>
          <w:sz w:val="22"/>
          <w:szCs w:val="22"/>
        </w:rPr>
        <w:noBreakHyphen/>
        <w:t>line options are entecavir, tenofovir disoproxil fumarate, or tenofovir alafenamide with structured monitoring of ALT and HBV DNA every 3–6 months until virologic response, then every 6–12 months, plus annual HBsAg (ideally quantitative) and HCC surveillance where indicated. [1]</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1) Immediate management priorities (all causes)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1.1 Identify “time-critical” hepatitis phenotypes and act before etiology is fully confirmed</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A. Possible acute liver failure (ALF) / impending decompensation</w:t>
      </w:r>
    </w:p>
    <w:p w:rsidR="00000000" w:rsidRPr="00513A83" w:rsidRDefault="00000000">
      <w:pPr>
        <w:numPr>
          <w:ilvl w:val="0"/>
          <w:numId w:val="6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Treat as ALF if </w:t>
      </w:r>
      <w:r w:rsidRPr="00513A83">
        <w:rPr>
          <w:rStyle w:val="Strong"/>
          <w:rFonts w:ascii="Calibri" w:eastAsia="Times New Roman" w:hAnsi="Calibri" w:cs="Calibri"/>
          <w:color w:val="111111"/>
          <w:sz w:val="22"/>
          <w:szCs w:val="22"/>
        </w:rPr>
        <w:t>hepatic encephalopathy and coagulopathy</w:t>
      </w:r>
      <w:r w:rsidRPr="00513A83">
        <w:rPr>
          <w:rFonts w:ascii="Calibri" w:eastAsia="Times New Roman" w:hAnsi="Calibri" w:cs="Calibri"/>
          <w:color w:val="111111"/>
          <w:sz w:val="22"/>
          <w:szCs w:val="22"/>
        </w:rPr>
        <w:t xml:space="preserve"> in a patient without known cirrhosis; urgent hepatology/transplant-center involvement (expertise-based; ALF guideline not provided).</w:t>
      </w:r>
    </w:p>
    <w:p w:rsidR="00000000" w:rsidRPr="00513A83" w:rsidRDefault="00000000">
      <w:pPr>
        <w:numPr>
          <w:ilvl w:val="0"/>
          <w:numId w:val="6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rapid hepatocyte mass loss → loss of synthetic function (INR), impaired detoxification (encephalopathy), hemodynamic instability.</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B. Suspected cholangitis/extrahepatic obstruction</w:t>
      </w:r>
    </w:p>
    <w:p w:rsidR="00000000" w:rsidRPr="00513A83" w:rsidRDefault="00000000">
      <w:pPr>
        <w:numPr>
          <w:ilvl w:val="0"/>
          <w:numId w:val="6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If fever/rigors + RUQ pain + jaundice (± hypotension/AMS), manage as obstruction/cholangitis (early biliary imaging and decompression; expertise-based).</w:t>
      </w:r>
    </w:p>
    <w:p w:rsidR="00000000" w:rsidRPr="00513A83" w:rsidRDefault="00000000">
      <w:pPr>
        <w:numPr>
          <w:ilvl w:val="0"/>
          <w:numId w:val="66"/>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obstructed bile flow → cholangiocyte injury, bacterial overgrowth/ascending infection, systemic inflammatory response.</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C. Suspected drug-induced liver injury (DILI/HILI)</w:t>
      </w:r>
    </w:p>
    <w:p w:rsidR="00000000" w:rsidRPr="00513A83" w:rsidRDefault="00000000">
      <w:pPr>
        <w:numPr>
          <w:ilvl w:val="0"/>
          <w:numId w:val="6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Stop all non-essential potentially hepatotoxic agents immediately</w:t>
      </w:r>
      <w:r w:rsidRPr="00513A83">
        <w:rPr>
          <w:rFonts w:ascii="Calibri" w:eastAsia="Times New Roman" w:hAnsi="Calibri" w:cs="Calibri"/>
          <w:color w:val="111111"/>
          <w:sz w:val="22"/>
          <w:szCs w:val="22"/>
        </w:rPr>
        <w:t xml:space="preserve"> and document exposure timeline; avoid re-challenge (principle emphasized in DILI guidance referenced within your prior diagnostic approach source set). [5]</w:t>
      </w:r>
    </w:p>
    <w:p w:rsidR="00000000" w:rsidRPr="00513A83" w:rsidRDefault="00000000">
      <w:pPr>
        <w:numPr>
          <w:ilvl w:val="0"/>
          <w:numId w:val="67"/>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Pathobiology:</w:t>
      </w:r>
      <w:r w:rsidRPr="00513A83">
        <w:rPr>
          <w:rFonts w:ascii="Calibri" w:eastAsia="Times New Roman" w:hAnsi="Calibri" w:cs="Calibri"/>
          <w:color w:val="111111"/>
          <w:sz w:val="22"/>
          <w:szCs w:val="22"/>
        </w:rPr>
        <w:t xml:space="preserve"> idiosyncratic immune/toxic metabolite injury can accelerate despite “normal doses”; removal of antigen/toxin is the only disease-modifying step.</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1.2 Universal supportive care and risk modification</w:t>
      </w:r>
    </w:p>
    <w:p w:rsidR="00000000" w:rsidRPr="00513A83" w:rsidRDefault="00000000">
      <w:pPr>
        <w:numPr>
          <w:ilvl w:val="0"/>
          <w:numId w:val="6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Alcohol cessation and treatment of alcohol use disorder is recommended in autoimmune hepatitis overlap guidance (and is universal best practice in hepatitis). [4]</w:t>
      </w:r>
    </w:p>
    <w:p w:rsidR="00000000" w:rsidRPr="00513A83" w:rsidRDefault="00000000">
      <w:pPr>
        <w:numPr>
          <w:ilvl w:val="0"/>
          <w:numId w:val="6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Counsel on transmission prevention (HBV/HCV), vaccination of contacts where applicable (HBV; supported broadly). [1] [6]</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 Etiology-specific treatment (ranked by conditions with immediate disease-modifying therapy)</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2.1 Chronic hepatitis B (CHB)</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Who to treat (EASL 2025: treatment indication logic)</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Treat if any of the following:</w:t>
      </w:r>
    </w:p>
    <w:p w:rsidR="00000000" w:rsidRPr="00513A83" w:rsidRDefault="00000000">
      <w:pPr>
        <w:numPr>
          <w:ilvl w:val="0"/>
          <w:numId w:val="6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HBV DNA &gt;2,000 IU/ml + elevated ALT and/or significant fibrosis</w:t>
      </w:r>
      <w:r w:rsidRPr="00513A83">
        <w:rPr>
          <w:rFonts w:ascii="Calibri" w:eastAsia="Times New Roman" w:hAnsi="Calibri" w:cs="Calibri"/>
          <w:color w:val="111111"/>
          <w:sz w:val="22"/>
          <w:szCs w:val="22"/>
        </w:rPr>
        <w:t xml:space="preserve"> (immune-active CHB). [1]</w:t>
      </w:r>
    </w:p>
    <w:p w:rsidR="00000000" w:rsidRPr="00513A83" w:rsidRDefault="00000000">
      <w:pPr>
        <w:numPr>
          <w:ilvl w:val="0"/>
          <w:numId w:val="6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Cirrhosis</w:t>
      </w:r>
      <w:r w:rsidRPr="00513A83">
        <w:rPr>
          <w:rFonts w:ascii="Calibri" w:eastAsia="Times New Roman" w:hAnsi="Calibri" w:cs="Calibri"/>
          <w:color w:val="111111"/>
          <w:sz w:val="22"/>
          <w:szCs w:val="22"/>
        </w:rPr>
        <w:t xml:space="preserve"> and </w:t>
      </w:r>
      <w:r w:rsidRPr="00513A83">
        <w:rPr>
          <w:rStyle w:val="Strong"/>
          <w:rFonts w:ascii="Calibri" w:eastAsia="Times New Roman" w:hAnsi="Calibri" w:cs="Calibri"/>
          <w:color w:val="111111"/>
          <w:sz w:val="22"/>
          <w:szCs w:val="22"/>
        </w:rPr>
        <w:t>detectable HBV DNA</w:t>
      </w:r>
      <w:r w:rsidRPr="00513A83">
        <w:rPr>
          <w:rFonts w:ascii="Calibri" w:eastAsia="Times New Roman" w:hAnsi="Calibri" w:cs="Calibri"/>
          <w:color w:val="111111"/>
          <w:sz w:val="22"/>
          <w:szCs w:val="22"/>
        </w:rPr>
        <w:t xml:space="preserve"> regardless of ALT. [1]</w:t>
      </w:r>
    </w:p>
    <w:p w:rsidR="00000000" w:rsidRPr="00513A83" w:rsidRDefault="00000000">
      <w:pPr>
        <w:numPr>
          <w:ilvl w:val="0"/>
          <w:numId w:val="69"/>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Consider treatment in </w:t>
      </w:r>
      <w:r w:rsidRPr="00513A83">
        <w:rPr>
          <w:rStyle w:val="Strong"/>
          <w:rFonts w:ascii="Calibri" w:eastAsia="Times New Roman" w:hAnsi="Calibri" w:cs="Calibri"/>
          <w:color w:val="111111"/>
          <w:sz w:val="22"/>
          <w:szCs w:val="22"/>
        </w:rPr>
        <w:t>advanced fibrosis</w:t>
      </w:r>
      <w:r w:rsidRPr="00513A83">
        <w:rPr>
          <w:rFonts w:ascii="Calibri" w:eastAsia="Times New Roman" w:hAnsi="Calibri" w:cs="Calibri"/>
          <w:color w:val="111111"/>
          <w:sz w:val="22"/>
          <w:szCs w:val="22"/>
        </w:rPr>
        <w:t xml:space="preserve"> (e.g., Metavir &gt;F3 or LSM &gt;8 kPa) if HBV DNA detectable (weak). [1]</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r w:rsidRPr="00513A83">
        <w:rPr>
          <w:rFonts w:ascii="Calibri" w:hAnsi="Calibri" w:cs="Calibri"/>
          <w:color w:val="111111"/>
          <w:sz w:val="22"/>
          <w:szCs w:val="22"/>
        </w:rPr>
        <w:t xml:space="preserve"> HBV-related liver damage is predominantly </w:t>
      </w:r>
      <w:r w:rsidRPr="00513A83">
        <w:rPr>
          <w:rStyle w:val="Strong"/>
          <w:rFonts w:ascii="Calibri" w:hAnsi="Calibri" w:cs="Calibri"/>
          <w:color w:val="111111"/>
          <w:sz w:val="22"/>
          <w:szCs w:val="22"/>
        </w:rPr>
        <w:t>immune-mediated</w:t>
      </w:r>
      <w:r w:rsidRPr="00513A83">
        <w:rPr>
          <w:rFonts w:ascii="Calibri" w:hAnsi="Calibri" w:cs="Calibri"/>
          <w:color w:val="111111"/>
          <w:sz w:val="22"/>
          <w:szCs w:val="22"/>
        </w:rPr>
        <w:t>; sustained viral replication (HBV DNA) drives ongoing antigen presentation and chronic necroinflammation → fibrosis → cirrhosis/HCC. Long-term viral suppression reduces inflammatory activity and allows fibrosis regression in some patients. [1]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What to treat with</w:t>
      </w:r>
    </w:p>
    <w:p w:rsidR="00000000" w:rsidRPr="00513A83" w:rsidRDefault="00000000">
      <w:pPr>
        <w:numPr>
          <w:ilvl w:val="0"/>
          <w:numId w:val="70"/>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First-line nucleos(t)ide analogues (NAs):</w:t>
      </w:r>
      <w:r w:rsidRPr="00513A83">
        <w:rPr>
          <w:rFonts w:ascii="Calibri" w:eastAsia="Times New Roman" w:hAnsi="Calibri" w:cs="Calibri"/>
          <w:color w:val="111111"/>
          <w:sz w:val="22"/>
          <w:szCs w:val="22"/>
        </w:rPr>
        <w:t xml:space="preserve"> </w:t>
      </w:r>
      <w:r w:rsidRPr="00513A83">
        <w:rPr>
          <w:rStyle w:val="Strong"/>
          <w:rFonts w:ascii="Calibri" w:eastAsia="Times New Roman" w:hAnsi="Calibri" w:cs="Calibri"/>
          <w:color w:val="111111"/>
          <w:sz w:val="22"/>
          <w:szCs w:val="22"/>
        </w:rPr>
        <w:t>entecavir (ETV), tenofovir disoproxil fumarate (TDF), or tenofovir alafenamide (TAF)</w:t>
      </w:r>
      <w:r w:rsidRPr="00513A83">
        <w:rPr>
          <w:rFonts w:ascii="Calibri" w:eastAsia="Times New Roman" w:hAnsi="Calibri" w:cs="Calibri"/>
          <w:color w:val="111111"/>
          <w:sz w:val="22"/>
          <w:szCs w:val="22"/>
        </w:rPr>
        <w:t>. [1]</w:t>
      </w:r>
    </w:p>
    <w:p w:rsidR="00000000" w:rsidRPr="00513A83" w:rsidRDefault="00000000">
      <w:pPr>
        <w:numPr>
          <w:ilvl w:val="0"/>
          <w:numId w:val="7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Choose NA considering renal/bone comorbidity, pregnancy potential, prior therapies. [1]</w:t>
      </w:r>
    </w:p>
    <w:p w:rsidR="00000000" w:rsidRPr="00513A83" w:rsidRDefault="00000000">
      <w:pPr>
        <w:numPr>
          <w:ilvl w:val="0"/>
          <w:numId w:val="7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Alternative in selected patients: </w:t>
      </w:r>
      <w:r w:rsidRPr="00513A83">
        <w:rPr>
          <w:rStyle w:val="Strong"/>
          <w:rFonts w:ascii="Calibri" w:eastAsia="Times New Roman" w:hAnsi="Calibri" w:cs="Calibri"/>
          <w:color w:val="111111"/>
          <w:sz w:val="22"/>
          <w:szCs w:val="22"/>
        </w:rPr>
        <w:t>pegylated interferon</w:t>
      </w:r>
      <w:r w:rsidRPr="00513A83">
        <w:rPr>
          <w:rStyle w:val="Strong"/>
          <w:rFonts w:ascii="Calibri" w:eastAsia="Times New Roman" w:hAnsi="Calibri" w:cs="Calibri"/>
          <w:color w:val="111111"/>
          <w:sz w:val="22"/>
          <w:szCs w:val="22"/>
        </w:rPr>
        <w:noBreakHyphen/>
        <w:t>α</w:t>
      </w:r>
      <w:r w:rsidRPr="00513A83">
        <w:rPr>
          <w:rFonts w:ascii="Calibri" w:eastAsia="Times New Roman" w:hAnsi="Calibri" w:cs="Calibri"/>
          <w:color w:val="111111"/>
          <w:sz w:val="22"/>
          <w:szCs w:val="22"/>
        </w:rPr>
        <w:t xml:space="preserve"> (finite therapy; requires careful selection). [1]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Monitoring on therapy (treatment follow-up)</w:t>
      </w:r>
    </w:p>
    <w:p w:rsidR="00000000" w:rsidRPr="00513A83" w:rsidRDefault="00000000">
      <w:pPr>
        <w:numPr>
          <w:ilvl w:val="0"/>
          <w:numId w:val="7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ALT + HBV DNA every 3–6 months until virologic response</w:t>
      </w:r>
      <w:r w:rsidRPr="00513A83">
        <w:rPr>
          <w:rFonts w:ascii="Calibri" w:eastAsia="Times New Roman" w:hAnsi="Calibri" w:cs="Calibri"/>
          <w:color w:val="111111"/>
          <w:sz w:val="22"/>
          <w:szCs w:val="22"/>
        </w:rPr>
        <w:t xml:space="preserve">, then </w:t>
      </w:r>
      <w:r w:rsidRPr="00513A83">
        <w:rPr>
          <w:rStyle w:val="Strong"/>
          <w:rFonts w:ascii="Calibri" w:eastAsia="Times New Roman" w:hAnsi="Calibri" w:cs="Calibri"/>
          <w:color w:val="111111"/>
          <w:sz w:val="22"/>
          <w:szCs w:val="22"/>
        </w:rPr>
        <w:t>every 6–12 months</w:t>
      </w:r>
      <w:r w:rsidRPr="00513A83">
        <w:rPr>
          <w:rFonts w:ascii="Calibri" w:eastAsia="Times New Roman" w:hAnsi="Calibri" w:cs="Calibri"/>
          <w:color w:val="111111"/>
          <w:sz w:val="22"/>
          <w:szCs w:val="22"/>
        </w:rPr>
        <w:t xml:space="preserve"> on stable ETV/TDF/TAF. [1]</w:t>
      </w:r>
    </w:p>
    <w:p w:rsidR="00000000" w:rsidRPr="00513A83" w:rsidRDefault="00000000">
      <w:pPr>
        <w:numPr>
          <w:ilvl w:val="0"/>
          <w:numId w:val="7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HBsAg (ideally quantitative) every 12 months.</w:t>
      </w:r>
      <w:r w:rsidRPr="00513A83">
        <w:rPr>
          <w:rFonts w:ascii="Calibri" w:eastAsia="Times New Roman" w:hAnsi="Calibri" w:cs="Calibri"/>
          <w:color w:val="111111"/>
          <w:sz w:val="22"/>
          <w:szCs w:val="22"/>
        </w:rPr>
        <w:t xml:space="preserve"> [1]</w:t>
      </w:r>
    </w:p>
    <w:p w:rsidR="00000000" w:rsidRPr="00513A83" w:rsidRDefault="00000000">
      <w:pPr>
        <w:numPr>
          <w:ilvl w:val="0"/>
          <w:numId w:val="71"/>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Kidney function</w:t>
      </w:r>
      <w:r w:rsidRPr="00513A83">
        <w:rPr>
          <w:rFonts w:ascii="Calibri" w:eastAsia="Times New Roman" w:hAnsi="Calibri" w:cs="Calibri"/>
          <w:color w:val="111111"/>
          <w:sz w:val="22"/>
          <w:szCs w:val="22"/>
        </w:rPr>
        <w:t xml:space="preserve"> before NA initiation and regularly during therapy (dose adjustment/safety). [1]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Prognosis in CHB (what drives outcomes)</w:t>
      </w:r>
    </w:p>
    <w:p w:rsidR="00000000" w:rsidRPr="00513A83" w:rsidRDefault="00000000">
      <w:pPr>
        <w:numPr>
          <w:ilvl w:val="0"/>
          <w:numId w:val="7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Major long-term outcomes are </w:t>
      </w:r>
      <w:r w:rsidRPr="00513A83">
        <w:rPr>
          <w:rStyle w:val="Strong"/>
          <w:rFonts w:ascii="Calibri" w:eastAsia="Times New Roman" w:hAnsi="Calibri" w:cs="Calibri"/>
          <w:color w:val="111111"/>
          <w:sz w:val="22"/>
          <w:szCs w:val="22"/>
        </w:rPr>
        <w:t>cirrhosis, decompensation, HCC, liver-related death</w:t>
      </w:r>
      <w:r w:rsidRPr="00513A83">
        <w:rPr>
          <w:rFonts w:ascii="Calibri" w:eastAsia="Times New Roman" w:hAnsi="Calibri" w:cs="Calibri"/>
          <w:color w:val="111111"/>
          <w:sz w:val="22"/>
          <w:szCs w:val="22"/>
        </w:rPr>
        <w:t>; EASL notes projected HBV-related deaths and HCC burden increasing without improved diagnosis/treatment. [1]</w:t>
      </w:r>
    </w:p>
    <w:p w:rsidR="00000000" w:rsidRPr="00513A83" w:rsidRDefault="00000000">
      <w:pPr>
        <w:numPr>
          <w:ilvl w:val="0"/>
          <w:numId w:val="7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Even after </w:t>
      </w:r>
      <w:r w:rsidRPr="00513A83">
        <w:rPr>
          <w:rStyle w:val="Strong"/>
          <w:rFonts w:ascii="Calibri" w:eastAsia="Times New Roman" w:hAnsi="Calibri" w:cs="Calibri"/>
          <w:color w:val="111111"/>
          <w:sz w:val="22"/>
          <w:szCs w:val="22"/>
        </w:rPr>
        <w:t>HBsAg loss</w:t>
      </w:r>
      <w:r w:rsidRPr="00513A83">
        <w:rPr>
          <w:rFonts w:ascii="Calibri" w:eastAsia="Times New Roman" w:hAnsi="Calibri" w:cs="Calibri"/>
          <w:color w:val="111111"/>
          <w:sz w:val="22"/>
          <w:szCs w:val="22"/>
        </w:rPr>
        <w:t>, HCC risk is reduced but not abolished—especially with cirrhosis and other host risks (AASLD/ISDA). [2]</w:t>
      </w:r>
    </w:p>
    <w:p w:rsidR="00000000" w:rsidRPr="00513A83" w:rsidRDefault="00000000">
      <w:pPr>
        <w:numPr>
          <w:ilvl w:val="0"/>
          <w:numId w:val="7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Coinfections (HDV, HCV, HIV) increase HCC risk and change surveillance thresholds (AASLD/ISDA; AGA review). [2] [5]</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2.2 Autoimmune hepatitis (AIH)</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Treatment principles (from EASL AIH 2025 focus areas)</w:t>
      </w:r>
    </w:p>
    <w:p w:rsidR="00000000" w:rsidRPr="00513A83" w:rsidRDefault="00000000">
      <w:pPr>
        <w:numPr>
          <w:ilvl w:val="0"/>
          <w:numId w:val="7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If chronic viral hepatitis has autoimmune features: </w:t>
      </w:r>
      <w:r w:rsidRPr="00513A83">
        <w:rPr>
          <w:rStyle w:val="Strong"/>
          <w:rFonts w:ascii="Calibri" w:eastAsia="Times New Roman" w:hAnsi="Calibri" w:cs="Calibri"/>
          <w:color w:val="111111"/>
          <w:sz w:val="22"/>
          <w:szCs w:val="22"/>
        </w:rPr>
        <w:t>treat viral hepatitis first; add immunosuppression only if persistent inflammation despite adequate viral control.</w:t>
      </w:r>
      <w:r w:rsidRPr="00513A83">
        <w:rPr>
          <w:rFonts w:ascii="Calibri" w:eastAsia="Times New Roman" w:hAnsi="Calibri" w:cs="Calibri"/>
          <w:color w:val="111111"/>
          <w:sz w:val="22"/>
          <w:szCs w:val="22"/>
        </w:rPr>
        <w:t xml:space="preserve"> [4]</w:t>
      </w:r>
    </w:p>
    <w:p w:rsidR="00000000" w:rsidRPr="00513A83" w:rsidRDefault="00000000">
      <w:pPr>
        <w:numPr>
          <w:ilvl w:val="0"/>
          <w:numId w:val="73"/>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HBsAg-positive patients receiving immunosuppression should receive antiviral therapy.</w:t>
      </w:r>
      <w:r w:rsidRPr="00513A83">
        <w:rPr>
          <w:rFonts w:ascii="Calibri" w:eastAsia="Times New Roman" w:hAnsi="Calibri" w:cs="Calibri"/>
          <w:color w:val="111111"/>
          <w:sz w:val="22"/>
          <w:szCs w:val="22"/>
        </w:rPr>
        <w:t xml:space="preserve"> [4]</w:t>
      </w:r>
    </w:p>
    <w:p w:rsidR="00000000" w:rsidRPr="00513A83" w:rsidRDefault="00000000">
      <w:pPr>
        <w:numPr>
          <w:ilvl w:val="0"/>
          <w:numId w:val="7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Anti</w:t>
      </w:r>
      <w:r w:rsidRPr="00513A83">
        <w:rPr>
          <w:rFonts w:ascii="Calibri" w:eastAsia="Times New Roman" w:hAnsi="Calibri" w:cs="Calibri"/>
          <w:color w:val="111111"/>
          <w:sz w:val="22"/>
          <w:szCs w:val="22"/>
        </w:rPr>
        <w:noBreakHyphen/>
        <w:t xml:space="preserve">HBc positive (HBsAg negative) at risk: </w:t>
      </w:r>
      <w:r w:rsidRPr="00513A83">
        <w:rPr>
          <w:rStyle w:val="Strong"/>
          <w:rFonts w:ascii="Calibri" w:eastAsia="Times New Roman" w:hAnsi="Calibri" w:cs="Calibri"/>
          <w:color w:val="111111"/>
          <w:sz w:val="22"/>
          <w:szCs w:val="22"/>
        </w:rPr>
        <w:t>HBV prophylaxis or close monitoring</w:t>
      </w:r>
      <w:r w:rsidRPr="00513A83">
        <w:rPr>
          <w:rFonts w:ascii="Calibri" w:eastAsia="Times New Roman" w:hAnsi="Calibri" w:cs="Calibri"/>
          <w:color w:val="111111"/>
          <w:sz w:val="22"/>
          <w:szCs w:val="22"/>
        </w:rPr>
        <w:t xml:space="preserve"> every 3 months with HBsAg/HBV DNA; start antivirals if reactivation occurs. [4]</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lastRenderedPageBreak/>
        <w:t>Pathobiology rationale:</w:t>
      </w:r>
      <w:r w:rsidRPr="00513A83">
        <w:rPr>
          <w:rFonts w:ascii="Calibri" w:hAnsi="Calibri" w:cs="Calibri"/>
          <w:color w:val="111111"/>
          <w:sz w:val="22"/>
          <w:szCs w:val="22"/>
        </w:rPr>
        <w:t xml:space="preserve"> AIH is a loss of immune tolerance leading to hepatocyte-directed inflammation; immunosuppression controls immune injury but also increases HBV reactivation risk by lowering immune surveillance—hence mandatory HBV prevention strategies. [4]</w:t>
      </w:r>
    </w:p>
    <w:p w:rsidR="00000000" w:rsidRPr="00513A83" w:rsidRDefault="00000000">
      <w:pPr>
        <w:pStyle w:val="NormalWeb"/>
        <w:divId w:val="1452745915"/>
        <w:rPr>
          <w:rFonts w:ascii="Calibri" w:hAnsi="Calibri" w:cs="Calibri"/>
          <w:color w:val="111111"/>
          <w:sz w:val="22"/>
          <w:szCs w:val="22"/>
        </w:rPr>
      </w:pPr>
      <w:r w:rsidRPr="00513A83">
        <w:rPr>
          <w:rStyle w:val="Emphasis"/>
          <w:rFonts w:ascii="Calibri" w:hAnsi="Calibri" w:cs="Calibri"/>
          <w:color w:val="111111"/>
          <w:sz w:val="22"/>
          <w:szCs w:val="22"/>
        </w:rPr>
        <w:t>(Specific first-line steroid/azathioprine regimens are not detailed in the provided excerpt; therefore dosing is not stated.)</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Prognosis</w:t>
      </w:r>
    </w:p>
    <w:p w:rsidR="00000000" w:rsidRPr="00513A83" w:rsidRDefault="00000000">
      <w:pPr>
        <w:numPr>
          <w:ilvl w:val="0"/>
          <w:numId w:val="74"/>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Prognosis is primarily tied to achieving biochemical remission (ALT/IgG normalization) and preventing progression to cirrhosis; relapse is common if immunosuppression is withdrawn prematurely (expertise-based; no dosing/relapse statistics provided in sources).</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2.3 Hepatitis C (HCV)</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Treatment and follow-up (from AGA HCC expert review + modeling figure source)</w:t>
      </w:r>
    </w:p>
    <w:p w:rsidR="00000000" w:rsidRPr="00513A83" w:rsidRDefault="00000000">
      <w:pPr>
        <w:numPr>
          <w:ilvl w:val="0"/>
          <w:numId w:val="75"/>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Treat with </w:t>
      </w:r>
      <w:r w:rsidRPr="00513A83">
        <w:rPr>
          <w:rStyle w:val="Strong"/>
          <w:rFonts w:ascii="Calibri" w:eastAsia="Times New Roman" w:hAnsi="Calibri" w:cs="Calibri"/>
          <w:color w:val="111111"/>
          <w:sz w:val="22"/>
          <w:szCs w:val="22"/>
        </w:rPr>
        <w:t>direct-acting antivirals (DAAs)</w:t>
      </w:r>
      <w:r w:rsidRPr="00513A83">
        <w:rPr>
          <w:rFonts w:ascii="Calibri" w:eastAsia="Times New Roman" w:hAnsi="Calibri" w:cs="Calibri"/>
          <w:color w:val="111111"/>
          <w:sz w:val="22"/>
          <w:szCs w:val="22"/>
        </w:rPr>
        <w:t xml:space="preserve"> to achieve cure (SVR), which halts progression and can reverse some cirrhosis damage, lowering HCC risk. [5]</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r w:rsidRPr="00513A83">
        <w:rPr>
          <w:rFonts w:ascii="Calibri" w:hAnsi="Calibri" w:cs="Calibri"/>
          <w:color w:val="111111"/>
          <w:sz w:val="22"/>
          <w:szCs w:val="22"/>
        </w:rPr>
        <w:t xml:space="preserve"> eradication removes the persistent inflammatory driver; fibrosis may regress because wound-healing signaling and hepatic stellate cell activation diminish once antigenic stimulation stops.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Prognosis: what changes after cure (SVR)</w:t>
      </w:r>
    </w:p>
    <w:p w:rsidR="00000000" w:rsidRPr="00563070" w:rsidRDefault="00000000" w:rsidP="00563070">
      <w:pPr>
        <w:numPr>
          <w:ilvl w:val="0"/>
          <w:numId w:val="76"/>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In a modeling analysis used for elimination strategy planning (JAMA Network Open 2020), </w:t>
      </w:r>
      <w:r w:rsidRPr="00513A83">
        <w:rPr>
          <w:rStyle w:val="Strong"/>
          <w:rFonts w:ascii="Calibri" w:eastAsia="Times New Roman" w:hAnsi="Calibri" w:cs="Calibri"/>
          <w:color w:val="111111"/>
          <w:sz w:val="22"/>
          <w:szCs w:val="22"/>
        </w:rPr>
        <w:t>acute HCV spontaneous clearance ~23%</w:t>
      </w:r>
      <w:r w:rsidRPr="00513A83">
        <w:rPr>
          <w:rFonts w:ascii="Calibri" w:eastAsia="Times New Roman" w:hAnsi="Calibri" w:cs="Calibri"/>
          <w:color w:val="111111"/>
          <w:sz w:val="22"/>
          <w:szCs w:val="22"/>
        </w:rPr>
        <w:t xml:space="preserve"> and cure was associated with large modeled reductions in progression: </w:t>
      </w:r>
      <w:r w:rsidRPr="00513A83">
        <w:rPr>
          <w:rStyle w:val="Strong"/>
          <w:rFonts w:ascii="Calibri" w:eastAsia="Times New Roman" w:hAnsi="Calibri" w:cs="Calibri"/>
          <w:color w:val="111111"/>
          <w:sz w:val="22"/>
          <w:szCs w:val="22"/>
        </w:rPr>
        <w:t>77% reduction in progression from F3/F4 to HCC</w:t>
      </w:r>
      <w:r w:rsidRPr="00513A83">
        <w:rPr>
          <w:rFonts w:ascii="Calibri" w:eastAsia="Times New Roman" w:hAnsi="Calibri" w:cs="Calibri"/>
          <w:color w:val="111111"/>
          <w:sz w:val="22"/>
          <w:szCs w:val="22"/>
        </w:rPr>
        <w:t xml:space="preserve"> and </w:t>
      </w:r>
      <w:r w:rsidRPr="00513A83">
        <w:rPr>
          <w:rStyle w:val="Strong"/>
          <w:rFonts w:ascii="Calibri" w:eastAsia="Times New Roman" w:hAnsi="Calibri" w:cs="Calibri"/>
          <w:color w:val="111111"/>
          <w:sz w:val="22"/>
          <w:szCs w:val="22"/>
        </w:rPr>
        <w:t>76% reduction in progression from F4 to decompensated cirrhosis</w:t>
      </w:r>
      <w:r w:rsidRPr="00513A83">
        <w:rPr>
          <w:rFonts w:ascii="Calibri" w:eastAsia="Times New Roman" w:hAnsi="Calibri" w:cs="Calibri"/>
          <w:color w:val="111111"/>
          <w:sz w:val="22"/>
          <w:szCs w:val="22"/>
        </w:rPr>
        <w:t xml:space="preserve">. [8] </w:t>
      </w:r>
      <w:r w:rsidRPr="00513A83">
        <w:rPr>
          <w:rStyle w:val="Emphasis"/>
          <w:rFonts w:ascii="Calibri" w:eastAsia="Times New Roman" w:hAnsi="Calibri" w:cs="Calibri"/>
          <w:color w:val="111111"/>
          <w:sz w:val="22"/>
          <w:szCs w:val="22"/>
        </w:rPr>
        <w:t>Why relevant:</w:t>
      </w:r>
      <w:r w:rsidRPr="00513A83">
        <w:rPr>
          <w:rFonts w:ascii="Calibri" w:eastAsia="Times New Roman" w:hAnsi="Calibri" w:cs="Calibri"/>
          <w:color w:val="111111"/>
          <w:sz w:val="22"/>
          <w:szCs w:val="22"/>
        </w:rPr>
        <w:t xml:space="preserve"> even though model-based, it quantifies the expected risk reduction after cure and supports intensive efforts to treat HCV to prevent cirrhosis/HCC.</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Follow-up after SVR (fibrosis-based, conceptually):</w:t>
      </w:r>
      <w:r w:rsidRPr="00513A83">
        <w:rPr>
          <w:rFonts w:ascii="Calibri" w:hAnsi="Calibri" w:cs="Calibri"/>
          <w:color w:val="111111"/>
          <w:sz w:val="22"/>
          <w:szCs w:val="22"/>
        </w:rPr>
        <w:t xml:space="preserve"> Those with advanced fibrosis/cirrhosis require ongoing HCC surveillance and portal HTN management despite cure (principle strongly echoed in HCC risk reviews; exact surveillance intervals not provided in this excerpt). [5] [3]</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2.4 MASLD/MASH (metabolic dysfunction–associated steatotic liver disease)</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Treatment</w:t>
      </w:r>
    </w:p>
    <w:p w:rsidR="00000000" w:rsidRPr="00513A83" w:rsidRDefault="00000000">
      <w:pPr>
        <w:numPr>
          <w:ilvl w:val="0"/>
          <w:numId w:val="77"/>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Foundation is </w:t>
      </w:r>
      <w:r w:rsidRPr="00513A83">
        <w:rPr>
          <w:rStyle w:val="Strong"/>
          <w:rFonts w:ascii="Calibri" w:eastAsia="Times New Roman" w:hAnsi="Calibri" w:cs="Calibri"/>
          <w:color w:val="111111"/>
          <w:sz w:val="22"/>
          <w:szCs w:val="22"/>
        </w:rPr>
        <w:t>lifestyle modification, weight loss, balanced diet, and regular exercise</w:t>
      </w:r>
      <w:r w:rsidRPr="00513A83">
        <w:rPr>
          <w:rFonts w:ascii="Calibri" w:eastAsia="Times New Roman" w:hAnsi="Calibri" w:cs="Calibri"/>
          <w:color w:val="111111"/>
          <w:sz w:val="22"/>
          <w:szCs w:val="22"/>
        </w:rPr>
        <w:t>; emerging therapies (e.g., resmetirom, GLP</w:t>
      </w:r>
      <w:r w:rsidRPr="00513A83">
        <w:rPr>
          <w:rFonts w:ascii="Calibri" w:eastAsia="Times New Roman" w:hAnsi="Calibri" w:cs="Calibri"/>
          <w:color w:val="111111"/>
          <w:sz w:val="22"/>
          <w:szCs w:val="22"/>
        </w:rPr>
        <w:noBreakHyphen/>
        <w:t>1 receptor agonists) may reduce risk by reducing fibrosis, but long-term HCC-risk reduction remains unproven. [5]</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r w:rsidRPr="00513A83">
        <w:rPr>
          <w:rFonts w:ascii="Calibri" w:hAnsi="Calibri" w:cs="Calibri"/>
          <w:color w:val="111111"/>
          <w:sz w:val="22"/>
          <w:szCs w:val="22"/>
        </w:rPr>
        <w:t xml:space="preserve"> insulin resistance and lipotoxicity drive hepatocyte stress, inflammation and fibrogenesis; sustained weight loss improves insulin sensitivity and hepatic fat flux, reducing injury signals and (over time) fibrosis risk.</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Follow-up/prognosis</w:t>
      </w:r>
    </w:p>
    <w:p w:rsidR="00000000" w:rsidRPr="00513A83" w:rsidRDefault="00000000">
      <w:pPr>
        <w:numPr>
          <w:ilvl w:val="0"/>
          <w:numId w:val="7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Prognosis is driven by </w:t>
      </w:r>
      <w:r w:rsidRPr="00513A83">
        <w:rPr>
          <w:rStyle w:val="Strong"/>
          <w:rFonts w:ascii="Calibri" w:eastAsia="Times New Roman" w:hAnsi="Calibri" w:cs="Calibri"/>
          <w:color w:val="111111"/>
          <w:sz w:val="22"/>
          <w:szCs w:val="22"/>
        </w:rPr>
        <w:t>fibrosis stage</w:t>
      </w:r>
      <w:r w:rsidRPr="00513A83">
        <w:rPr>
          <w:rFonts w:ascii="Calibri" w:eastAsia="Times New Roman" w:hAnsi="Calibri" w:cs="Calibri"/>
          <w:color w:val="111111"/>
          <w:sz w:val="22"/>
          <w:szCs w:val="22"/>
        </w:rPr>
        <w:t xml:space="preserve"> rather than ALT or steatosis alone (implied by emphasis on fibrosis reduction as mechanism of HCC risk reduction). [5]</w:t>
      </w:r>
    </w:p>
    <w:p w:rsidR="00000000" w:rsidRPr="00513A83" w:rsidRDefault="00000000">
      <w:pPr>
        <w:numPr>
          <w:ilvl w:val="0"/>
          <w:numId w:val="78"/>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 xml:space="preserve">Use </w:t>
      </w:r>
      <w:r w:rsidRPr="00513A83">
        <w:rPr>
          <w:rStyle w:val="Strong"/>
          <w:rFonts w:ascii="Calibri" w:eastAsia="Times New Roman" w:hAnsi="Calibri" w:cs="Calibri"/>
          <w:color w:val="111111"/>
          <w:sz w:val="22"/>
          <w:szCs w:val="22"/>
        </w:rPr>
        <w:t>non-invasive tests (NITs)</w:t>
      </w:r>
      <w:r w:rsidRPr="00513A83">
        <w:rPr>
          <w:rFonts w:ascii="Calibri" w:eastAsia="Times New Roman" w:hAnsi="Calibri" w:cs="Calibri"/>
          <w:color w:val="111111"/>
          <w:sz w:val="22"/>
          <w:szCs w:val="22"/>
        </w:rPr>
        <w:t xml:space="preserve"> for staging and prognosis, and repeat longitudinally as clinically indicated (EASL NIT guideline). [3]</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2.5 Alcohol-associated liver disease / alcoholic hepatitis spectrum (if present)</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Treatment cornerstone</w:t>
      </w:r>
    </w:p>
    <w:p w:rsidR="00000000" w:rsidRPr="00513A83" w:rsidRDefault="00000000">
      <w:pPr>
        <w:numPr>
          <w:ilvl w:val="0"/>
          <w:numId w:val="79"/>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Achieve and maintain abstinence</w:t>
      </w:r>
      <w:r w:rsidRPr="00513A83">
        <w:rPr>
          <w:rFonts w:ascii="Calibri" w:eastAsia="Times New Roman" w:hAnsi="Calibri" w:cs="Calibri"/>
          <w:color w:val="111111"/>
          <w:sz w:val="22"/>
          <w:szCs w:val="22"/>
        </w:rPr>
        <w:t xml:space="preserve"> and treat alcohol use disorder—explicitly recommended in EASL AIH guidance (and standard across ALD care). [4]</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r w:rsidRPr="00513A83">
        <w:rPr>
          <w:rFonts w:ascii="Calibri" w:hAnsi="Calibri" w:cs="Calibri"/>
          <w:color w:val="111111"/>
          <w:sz w:val="22"/>
          <w:szCs w:val="22"/>
        </w:rPr>
        <w:t xml:space="preserve"> ethanol metabolism produces acetaldehyde and reactive oxygen species; gut barrier dysfunction increases endotoxin delivery to liver → Kupffer cell activation and cytokine-driven injury; abstinence removes the primary toxin and reduces ongoing inflammation/fibrogenesis.</w:t>
      </w:r>
    </w:p>
    <w:p w:rsidR="00000000" w:rsidRPr="00513A83" w:rsidRDefault="00000000">
      <w:pPr>
        <w:pStyle w:val="NormalWeb"/>
        <w:divId w:val="1452745915"/>
        <w:rPr>
          <w:rFonts w:ascii="Calibri" w:hAnsi="Calibri" w:cs="Calibri"/>
          <w:color w:val="111111"/>
          <w:sz w:val="22"/>
          <w:szCs w:val="22"/>
        </w:rPr>
      </w:pPr>
      <w:r w:rsidRPr="00513A83">
        <w:rPr>
          <w:rStyle w:val="Emphasis"/>
          <w:rFonts w:ascii="Calibri" w:hAnsi="Calibri" w:cs="Calibri"/>
          <w:color w:val="111111"/>
          <w:sz w:val="22"/>
          <w:szCs w:val="22"/>
        </w:rPr>
        <w:t>(Disease-severity scoring and corticosteroid use in severe alcoholic hepatitis are not addressed in the provided sources, so not specified.)</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 Follow-up structure (etiology-agnostic but risk-stratified)</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3.1 Stage fibrosis and portal hypertension noninvasively (baseline and longitudinal)</w:t>
      </w:r>
    </w:p>
    <w:p w:rsidR="00000000" w:rsidRPr="00513A83" w:rsidRDefault="00000000">
      <w:pPr>
        <w:numPr>
          <w:ilvl w:val="0"/>
          <w:numId w:val="8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Use </w:t>
      </w:r>
      <w:r w:rsidRPr="00513A83">
        <w:rPr>
          <w:rStyle w:val="Strong"/>
          <w:rFonts w:ascii="Calibri" w:eastAsia="Times New Roman" w:hAnsi="Calibri" w:cs="Calibri"/>
          <w:color w:val="111111"/>
          <w:sz w:val="22"/>
          <w:szCs w:val="22"/>
        </w:rPr>
        <w:t>non-invasive tests to evaluate severity and prognosis</w:t>
      </w:r>
      <w:r w:rsidRPr="00513A83">
        <w:rPr>
          <w:rFonts w:ascii="Calibri" w:eastAsia="Times New Roman" w:hAnsi="Calibri" w:cs="Calibri"/>
          <w:color w:val="111111"/>
          <w:sz w:val="22"/>
          <w:szCs w:val="22"/>
        </w:rPr>
        <w:t xml:space="preserve">; apply recommendations for the </w:t>
      </w:r>
      <w:r w:rsidRPr="00513A83">
        <w:rPr>
          <w:rStyle w:val="Emphasis"/>
          <w:rFonts w:ascii="Calibri" w:eastAsia="Times New Roman" w:hAnsi="Calibri" w:cs="Calibri"/>
          <w:color w:val="111111"/>
          <w:sz w:val="22"/>
          <w:szCs w:val="22"/>
        </w:rPr>
        <w:t>dominant etiology</w:t>
      </w:r>
      <w:r w:rsidRPr="00513A83">
        <w:rPr>
          <w:rFonts w:ascii="Calibri" w:eastAsia="Times New Roman" w:hAnsi="Calibri" w:cs="Calibri"/>
          <w:color w:val="111111"/>
          <w:sz w:val="22"/>
          <w:szCs w:val="22"/>
        </w:rPr>
        <w:t xml:space="preserve"> in multifactorial disease and interpret with caution. [3]</w:t>
      </w:r>
    </w:p>
    <w:p w:rsidR="00000000" w:rsidRPr="00513A83" w:rsidRDefault="00000000">
      <w:pPr>
        <w:numPr>
          <w:ilvl w:val="0"/>
          <w:numId w:val="80"/>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In CHB specifically: </w:t>
      </w:r>
      <w:r w:rsidRPr="00513A83">
        <w:rPr>
          <w:rStyle w:val="Strong"/>
          <w:rFonts w:ascii="Calibri" w:eastAsia="Times New Roman" w:hAnsi="Calibri" w:cs="Calibri"/>
          <w:color w:val="111111"/>
          <w:sz w:val="22"/>
          <w:szCs w:val="22"/>
        </w:rPr>
        <w:t>non-invasive fibrosis assessment in all HBsAg-positive individuals</w:t>
      </w:r>
      <w:r w:rsidRPr="00513A83">
        <w:rPr>
          <w:rFonts w:ascii="Calibri" w:eastAsia="Times New Roman" w:hAnsi="Calibri" w:cs="Calibri"/>
          <w:color w:val="111111"/>
          <w:sz w:val="22"/>
          <w:szCs w:val="22"/>
        </w:rPr>
        <w:t xml:space="preserve">, with interval individualized by phase/comorbidities; LSM can be repeated </w:t>
      </w:r>
      <w:r w:rsidRPr="00513A83">
        <w:rPr>
          <w:rStyle w:val="Strong"/>
          <w:rFonts w:ascii="Calibri" w:eastAsia="Times New Roman" w:hAnsi="Calibri" w:cs="Calibri"/>
          <w:color w:val="111111"/>
          <w:sz w:val="22"/>
          <w:szCs w:val="22"/>
        </w:rPr>
        <w:t>every 2–3 years</w:t>
      </w:r>
      <w:r w:rsidRPr="00513A83">
        <w:rPr>
          <w:rFonts w:ascii="Calibri" w:eastAsia="Times New Roman" w:hAnsi="Calibri" w:cs="Calibri"/>
          <w:color w:val="111111"/>
          <w:sz w:val="22"/>
          <w:szCs w:val="22"/>
        </w:rPr>
        <w:t xml:space="preserve"> in stable patients (EASL HBV). [1]</w: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Pathobiology rationale:</w:t>
      </w:r>
      <w:r w:rsidRPr="00513A83">
        <w:rPr>
          <w:rFonts w:ascii="Calibri" w:hAnsi="Calibri" w:cs="Calibri"/>
          <w:color w:val="111111"/>
          <w:sz w:val="22"/>
          <w:szCs w:val="22"/>
        </w:rPr>
        <w:t xml:space="preserve"> fibrosis reflects cumulative wound-healing response to chronic inflammation; portal hypertension and decompensation risk rise nonlinearly once advanced fibrosis is reached—hence staging drives prognosis, surveillance, and preventive care.</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4) Hepatocellular carcinoma (HCC) risk reduction and surveillance (prognosis-critical)</w:t>
      </w:r>
    </w:p>
    <w:p w:rsidR="00000000" w:rsidRPr="00513A83" w:rsidRDefault="00000000">
      <w:pPr>
        <w:numPr>
          <w:ilvl w:val="0"/>
          <w:numId w:val="81"/>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Viral hepatitis (HBV/HCV), MASLD, and alcohol are major global drivers of HCC; </w:t>
      </w:r>
      <w:r w:rsidRPr="00513A83">
        <w:rPr>
          <w:rStyle w:val="Strong"/>
          <w:rFonts w:ascii="Calibri" w:eastAsia="Times New Roman" w:hAnsi="Calibri" w:cs="Calibri"/>
          <w:color w:val="111111"/>
          <w:sz w:val="22"/>
          <w:szCs w:val="22"/>
        </w:rPr>
        <w:t>treating underlying disease reduces but does not eliminate risk</w:t>
      </w:r>
      <w:r w:rsidRPr="00513A83">
        <w:rPr>
          <w:rFonts w:ascii="Calibri" w:eastAsia="Times New Roman" w:hAnsi="Calibri" w:cs="Calibri"/>
          <w:color w:val="111111"/>
          <w:sz w:val="22"/>
          <w:szCs w:val="22"/>
        </w:rPr>
        <w:t>, particularly in advanced fibrosis/cirrhosis. [5] [2]</w:t>
      </w:r>
    </w:p>
    <w:p w:rsidR="00000000" w:rsidRPr="00513A83" w:rsidRDefault="00000000">
      <w:pPr>
        <w:numPr>
          <w:ilvl w:val="0"/>
          <w:numId w:val="81"/>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In HBV, estimated lifetime HCC risk </w:t>
      </w:r>
      <w:r w:rsidRPr="00513A83">
        <w:rPr>
          <w:rStyle w:val="Strong"/>
          <w:rFonts w:ascii="Calibri" w:eastAsia="Times New Roman" w:hAnsi="Calibri" w:cs="Calibri"/>
          <w:color w:val="111111"/>
          <w:sz w:val="22"/>
          <w:szCs w:val="22"/>
        </w:rPr>
        <w:t>10%–25%</w:t>
      </w:r>
      <w:r w:rsidRPr="00513A83">
        <w:rPr>
          <w:rFonts w:ascii="Calibri" w:eastAsia="Times New Roman" w:hAnsi="Calibri" w:cs="Calibri"/>
          <w:color w:val="111111"/>
          <w:sz w:val="22"/>
          <w:szCs w:val="22"/>
        </w:rPr>
        <w:t xml:space="preserve"> (AGA expert review). [5]</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5) Practical follow-up schedules you can implement (from provided HBV guidelines)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5.1 If CHB treatment is deferred (EASL HBV 2025)</w:t>
      </w:r>
    </w:p>
    <w:p w:rsidR="00000000" w:rsidRPr="00513A83" w:rsidRDefault="00000000">
      <w:pPr>
        <w:numPr>
          <w:ilvl w:val="0"/>
          <w:numId w:val="8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After diagnosis: </w:t>
      </w:r>
      <w:r w:rsidRPr="00513A83">
        <w:rPr>
          <w:rStyle w:val="Strong"/>
          <w:rFonts w:ascii="Calibri" w:eastAsia="Times New Roman" w:hAnsi="Calibri" w:cs="Calibri"/>
          <w:color w:val="111111"/>
          <w:sz w:val="22"/>
          <w:szCs w:val="22"/>
        </w:rPr>
        <w:t>ALT + HBV DNA every 3–6 months in year 1</w:t>
      </w:r>
      <w:r w:rsidRPr="00513A83">
        <w:rPr>
          <w:rFonts w:ascii="Calibri" w:eastAsia="Times New Roman" w:hAnsi="Calibri" w:cs="Calibri"/>
          <w:color w:val="111111"/>
          <w:sz w:val="22"/>
          <w:szCs w:val="22"/>
        </w:rPr>
        <w:t xml:space="preserve"> to define phase/confirm indication. [1]</w:t>
      </w:r>
    </w:p>
    <w:p w:rsidR="00000000" w:rsidRPr="00513A83" w:rsidRDefault="00000000">
      <w:pPr>
        <w:numPr>
          <w:ilvl w:val="0"/>
          <w:numId w:val="82"/>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Thereafter (examples by phase; EASL Table 7): </w:t>
      </w:r>
    </w:p>
    <w:p w:rsidR="00000000" w:rsidRPr="00513A83" w:rsidRDefault="00000000">
      <w:pPr>
        <w:numPr>
          <w:ilvl w:val="1"/>
          <w:numId w:val="8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HBeAg-positive infection:</w:t>
      </w:r>
      <w:r w:rsidRPr="00513A83">
        <w:rPr>
          <w:rFonts w:ascii="Calibri" w:eastAsia="Times New Roman" w:hAnsi="Calibri" w:cs="Calibri"/>
          <w:color w:val="111111"/>
          <w:sz w:val="22"/>
          <w:szCs w:val="22"/>
        </w:rPr>
        <w:t xml:space="preserve"> ALT q6mo; HBV DNA q6mo; qHBsAg yearly; HBeAg/anti-HBe q6–12mo; fibrosis assessment q12–24mo. [1]</w:t>
      </w:r>
    </w:p>
    <w:p w:rsidR="00000000" w:rsidRPr="00513A83" w:rsidRDefault="00000000">
      <w:pPr>
        <w:numPr>
          <w:ilvl w:val="1"/>
          <w:numId w:val="8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HBeAg-negative infection with HBV DNA &lt;2,000 IU/ml:</w:t>
      </w:r>
      <w:r w:rsidRPr="00513A83">
        <w:rPr>
          <w:rFonts w:ascii="Calibri" w:eastAsia="Times New Roman" w:hAnsi="Calibri" w:cs="Calibri"/>
          <w:color w:val="111111"/>
          <w:sz w:val="22"/>
          <w:szCs w:val="22"/>
        </w:rPr>
        <w:t xml:space="preserve"> ALT yearly; HBV DNA yearly; qHBsAg yearly; fibrosis q2–3y. [1]</w:t>
      </w:r>
    </w:p>
    <w:p w:rsidR="00000000" w:rsidRPr="00513A83" w:rsidRDefault="00000000">
      <w:pPr>
        <w:numPr>
          <w:ilvl w:val="1"/>
          <w:numId w:val="82"/>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Compensated cirrhosis even if HBV DNA undetectable:</w:t>
      </w:r>
      <w:r w:rsidRPr="00513A83">
        <w:rPr>
          <w:rFonts w:ascii="Calibri" w:eastAsia="Times New Roman" w:hAnsi="Calibri" w:cs="Calibri"/>
          <w:color w:val="111111"/>
          <w:sz w:val="22"/>
          <w:szCs w:val="22"/>
        </w:rPr>
        <w:t xml:space="preserve"> ALT q6mo; HBV DNA q6mo; qHBsAg yearly; </w:t>
      </w:r>
      <w:r w:rsidRPr="00513A83">
        <w:rPr>
          <w:rStyle w:val="Strong"/>
          <w:rFonts w:ascii="Calibri" w:eastAsia="Times New Roman" w:hAnsi="Calibri" w:cs="Calibri"/>
          <w:color w:val="111111"/>
          <w:sz w:val="22"/>
          <w:szCs w:val="22"/>
        </w:rPr>
        <w:t>HCC surveillance q6mo</w:t>
      </w:r>
      <w:r w:rsidRPr="00513A83">
        <w:rPr>
          <w:rFonts w:ascii="Calibri" w:eastAsia="Times New Roman" w:hAnsi="Calibri" w:cs="Calibri"/>
          <w:color w:val="111111"/>
          <w:sz w:val="22"/>
          <w:szCs w:val="22"/>
        </w:rPr>
        <w:t>. [1]</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lastRenderedPageBreak/>
        <w:t>5.2 If NA therapy is stopped (AASLD/ISDA 2025)</w:t>
      </w:r>
    </w:p>
    <w:p w:rsidR="00000000" w:rsidRPr="00513A83" w:rsidRDefault="00000000">
      <w:pPr>
        <w:numPr>
          <w:ilvl w:val="0"/>
          <w:numId w:val="83"/>
        </w:numPr>
        <w:spacing w:before="100" w:beforeAutospacing="1" w:after="100" w:afterAutospacing="1"/>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 xml:space="preserve">Intensive lab monitoring schedule and </w:t>
      </w:r>
      <w:r w:rsidRPr="00513A83">
        <w:rPr>
          <w:rStyle w:val="Strong"/>
          <w:rFonts w:ascii="Calibri" w:eastAsia="Times New Roman" w:hAnsi="Calibri" w:cs="Calibri"/>
          <w:color w:val="111111"/>
          <w:sz w:val="22"/>
          <w:szCs w:val="22"/>
        </w:rPr>
        <w:t>explicit retreatment triggers</w:t>
      </w:r>
      <w:r w:rsidRPr="00513A83">
        <w:rPr>
          <w:rFonts w:ascii="Calibri" w:eastAsia="Times New Roman" w:hAnsi="Calibri" w:cs="Calibri"/>
          <w:color w:val="111111"/>
          <w:sz w:val="22"/>
          <w:szCs w:val="22"/>
        </w:rPr>
        <w:t xml:space="preserve"> are provided (useful where finite therapy/withdrawal is attempted). [2]</w:t>
      </w:r>
    </w:p>
    <w:p w:rsidR="00000000" w:rsidRPr="00513A83" w:rsidRDefault="00000000">
      <w:pPr>
        <w:pStyle w:val="Heading2"/>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6) Prognosis: how to counsel and what determines outcomes (cross-etiology synthesis)</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Highest-impact prognostic determinants</w:t>
      </w:r>
    </w:p>
    <w:p w:rsidR="00000000" w:rsidRPr="00513A83" w:rsidRDefault="00000000">
      <w:pPr>
        <w:numPr>
          <w:ilvl w:val="0"/>
          <w:numId w:val="8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Stage of fibrosis/cirrhosis and portal hypertension</w:t>
      </w:r>
      <w:r w:rsidRPr="00513A83">
        <w:rPr>
          <w:rFonts w:ascii="Calibri" w:eastAsia="Times New Roman" w:hAnsi="Calibri" w:cs="Calibri"/>
          <w:color w:val="111111"/>
          <w:sz w:val="22"/>
          <w:szCs w:val="22"/>
        </w:rPr>
        <w:t xml:space="preserve"> (strongest driver of decompensation and HCC across etiologies). [3]</w:t>
      </w:r>
    </w:p>
    <w:p w:rsidR="00000000" w:rsidRPr="00513A83" w:rsidRDefault="00000000">
      <w:pPr>
        <w:numPr>
          <w:ilvl w:val="0"/>
          <w:numId w:val="8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Persistence of the injurious driver</w:t>
      </w:r>
      <w:r w:rsidRPr="00513A83">
        <w:rPr>
          <w:rFonts w:ascii="Calibri" w:eastAsia="Times New Roman" w:hAnsi="Calibri" w:cs="Calibri"/>
          <w:color w:val="111111"/>
          <w:sz w:val="22"/>
          <w:szCs w:val="22"/>
        </w:rPr>
        <w:t xml:space="preserve"> (ongoing HBV replication, persistent HCV viremia, uncontrolled immune hepatitis, ongoing alcohol exposure, uncontrolled metabolic disease). [1] [5]</w:t>
      </w:r>
    </w:p>
    <w:p w:rsidR="00000000" w:rsidRPr="00513A83" w:rsidRDefault="00000000">
      <w:pPr>
        <w:numPr>
          <w:ilvl w:val="0"/>
          <w:numId w:val="84"/>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Coinfections and comorbidities</w:t>
      </w:r>
      <w:r w:rsidRPr="00513A83">
        <w:rPr>
          <w:rFonts w:ascii="Calibri" w:eastAsia="Times New Roman" w:hAnsi="Calibri" w:cs="Calibri"/>
          <w:color w:val="111111"/>
          <w:sz w:val="22"/>
          <w:szCs w:val="22"/>
        </w:rPr>
        <w:t xml:space="preserve"> (HDV/HIV, MASLD + alcohol synergy) which increase progression and HCC risk. [2] [5]</w:t>
      </w:r>
    </w:p>
    <w:p w:rsidR="00000000" w:rsidRPr="00513A83" w:rsidRDefault="00000000">
      <w:pPr>
        <w:pStyle w:val="Heading3"/>
        <w:divId w:val="1452745915"/>
        <w:rPr>
          <w:rFonts w:ascii="Calibri" w:eastAsia="Times New Roman" w:hAnsi="Calibri" w:cs="Calibri"/>
          <w:color w:val="111111"/>
          <w:sz w:val="22"/>
          <w:szCs w:val="22"/>
        </w:rPr>
      </w:pPr>
      <w:r w:rsidRPr="00513A83">
        <w:rPr>
          <w:rFonts w:ascii="Calibri" w:eastAsia="Times New Roman" w:hAnsi="Calibri" w:cs="Calibri"/>
          <w:color w:val="111111"/>
          <w:sz w:val="22"/>
          <w:szCs w:val="22"/>
        </w:rPr>
        <w:t>How treatment changes prognosis (mechanism-based)</w:t>
      </w:r>
    </w:p>
    <w:p w:rsidR="00000000" w:rsidRPr="00513A83" w:rsidRDefault="00000000">
      <w:pPr>
        <w:numPr>
          <w:ilvl w:val="0"/>
          <w:numId w:val="8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HBV NA suppression</w:t>
      </w:r>
      <w:r w:rsidRPr="00513A83">
        <w:rPr>
          <w:rFonts w:ascii="Calibri" w:eastAsia="Times New Roman" w:hAnsi="Calibri" w:cs="Calibri"/>
          <w:color w:val="111111"/>
          <w:sz w:val="22"/>
          <w:szCs w:val="22"/>
        </w:rPr>
        <w:t xml:space="preserve"> → reduces inflammatory activity and progression risk; may permit fibrosis regression; HCC risk decreases but persists if advanced disease. [1] [5]</w:t>
      </w:r>
    </w:p>
    <w:p w:rsidR="00000000" w:rsidRPr="00513A83" w:rsidRDefault="00000000">
      <w:pPr>
        <w:numPr>
          <w:ilvl w:val="0"/>
          <w:numId w:val="8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HCV cure (SVR)</w:t>
      </w:r>
      <w:r w:rsidRPr="00513A83">
        <w:rPr>
          <w:rFonts w:ascii="Calibri" w:eastAsia="Times New Roman" w:hAnsi="Calibri" w:cs="Calibri"/>
          <w:color w:val="111111"/>
          <w:sz w:val="22"/>
          <w:szCs w:val="22"/>
        </w:rPr>
        <w:t xml:space="preserve"> → major reduction in modeled progression to HCC and decompensation, but residual risk remains when advanced fibrosis/cirrhosis present. [8] [5]</w:t>
      </w:r>
    </w:p>
    <w:p w:rsidR="00000000" w:rsidRPr="00513A83" w:rsidRDefault="00000000">
      <w:pPr>
        <w:numPr>
          <w:ilvl w:val="0"/>
          <w:numId w:val="85"/>
        </w:numPr>
        <w:spacing w:before="100" w:beforeAutospacing="1" w:after="100" w:afterAutospacing="1"/>
        <w:divId w:val="1452745915"/>
        <w:rPr>
          <w:rFonts w:ascii="Calibri" w:eastAsia="Times New Roman" w:hAnsi="Calibri" w:cs="Calibri"/>
          <w:color w:val="111111"/>
          <w:sz w:val="22"/>
          <w:szCs w:val="22"/>
        </w:rPr>
      </w:pPr>
      <w:r w:rsidRPr="00513A83">
        <w:rPr>
          <w:rStyle w:val="Strong"/>
          <w:rFonts w:ascii="Calibri" w:eastAsia="Times New Roman" w:hAnsi="Calibri" w:cs="Calibri"/>
          <w:color w:val="111111"/>
          <w:sz w:val="22"/>
          <w:szCs w:val="22"/>
        </w:rPr>
        <w:t>AIH control</w:t>
      </w:r>
      <w:r w:rsidRPr="00513A83">
        <w:rPr>
          <w:rFonts w:ascii="Calibri" w:eastAsia="Times New Roman" w:hAnsi="Calibri" w:cs="Calibri"/>
          <w:color w:val="111111"/>
          <w:sz w:val="22"/>
          <w:szCs w:val="22"/>
        </w:rPr>
        <w:t xml:space="preserve"> → prevents ongoing immune-mediated necroinflammation and fibrosis; must balance against viral reactivation risk. [4]</w:t>
      </w:r>
    </w:p>
    <w:p w:rsidR="00563070" w:rsidRPr="00563070" w:rsidRDefault="00000000" w:rsidP="00563070">
      <w:pPr>
        <w:numPr>
          <w:ilvl w:val="0"/>
          <w:numId w:val="85"/>
        </w:numPr>
        <w:spacing w:before="100" w:beforeAutospacing="1" w:after="100" w:afterAutospacing="1"/>
        <w:divId w:val="1452745915"/>
        <w:rPr>
          <w:rStyle w:val="Strong"/>
          <w:rFonts w:ascii="Calibri" w:eastAsia="Times New Roman" w:hAnsi="Calibri" w:cs="Calibri"/>
          <w:b w:val="0"/>
          <w:bCs w:val="0"/>
          <w:color w:val="111111"/>
          <w:sz w:val="22"/>
          <w:szCs w:val="22"/>
        </w:rPr>
      </w:pPr>
      <w:r w:rsidRPr="00513A83">
        <w:rPr>
          <w:rStyle w:val="Strong"/>
          <w:rFonts w:ascii="Calibri" w:eastAsia="Times New Roman" w:hAnsi="Calibri" w:cs="Calibri"/>
          <w:color w:val="111111"/>
          <w:sz w:val="22"/>
          <w:szCs w:val="22"/>
        </w:rPr>
        <w:t>Alcohol abstinence and metabolic control</w:t>
      </w:r>
      <w:r w:rsidRPr="00513A83">
        <w:rPr>
          <w:rFonts w:ascii="Calibri" w:eastAsia="Times New Roman" w:hAnsi="Calibri" w:cs="Calibri"/>
          <w:color w:val="111111"/>
          <w:sz w:val="22"/>
          <w:szCs w:val="22"/>
        </w:rPr>
        <w:t xml:space="preserve"> → removes key upstream drivers of lipotoxic/toxin-mediated inflammation and fibrogenesis, reducing long-term cirrhosis/HCC risk (though precise effect sizes not provided in sources). [5] [4]</w:t>
      </w:r>
    </w:p>
    <w:p w:rsidR="00563070" w:rsidRPr="00513A83" w:rsidRDefault="00DF7AE7" w:rsidP="00563070">
      <w:pPr>
        <w:jc w:val="center"/>
        <w:divId w:val="1452745915"/>
        <w:rPr>
          <w:rFonts w:ascii="Calibri" w:eastAsia="Times New Roman" w:hAnsi="Calibri" w:cs="Calibri"/>
          <w:noProof/>
          <w:color w:val="111111"/>
          <w:sz w:val="22"/>
          <w:szCs w:val="22"/>
        </w:rPr>
      </w:pPr>
      <w:r>
        <w:rPr>
          <w:rFonts w:ascii="Calibri" w:eastAsia="Times New Roman" w:hAnsi="Calibri" w:cs="Calibri"/>
          <w:noProof/>
          <w:color w:val="111111"/>
          <w:sz w:val="22"/>
          <w:szCs w:val="22"/>
        </w:rPr>
        <w:pict w14:anchorId="679C8888">
          <v:rect id="_x0000_i1025" alt="" style="width:451.3pt;height:1pt;mso-width-percent:0;mso-height-percent:0;mso-width-percent:0;mso-height-percent:0" o:hralign="center" o:hrstd="t" o:hr="t" fillcolor="#a0a0a0" stroked="f"/>
        </w:pict>
      </w:r>
    </w:p>
    <w:p w:rsidR="00000000" w:rsidRPr="00513A83" w:rsidRDefault="00000000">
      <w:pPr>
        <w:pStyle w:val="NormalWeb"/>
        <w:divId w:val="1452745915"/>
        <w:rPr>
          <w:rFonts w:ascii="Calibri" w:hAnsi="Calibri" w:cs="Calibri"/>
          <w:color w:val="111111"/>
          <w:sz w:val="22"/>
          <w:szCs w:val="22"/>
        </w:rPr>
      </w:pPr>
      <w:r w:rsidRPr="00513A83">
        <w:rPr>
          <w:rStyle w:val="Strong"/>
          <w:rFonts w:ascii="Calibri" w:hAnsi="Calibri" w:cs="Calibri"/>
          <w:color w:val="111111"/>
          <w:sz w:val="22"/>
          <w:szCs w:val="22"/>
        </w:rPr>
        <w:t>References:</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1. </w:t>
      </w:r>
      <w:hyperlink r:id="rId38" w:history="1">
        <w:r w:rsidRPr="00513A83">
          <w:rPr>
            <w:rStyle w:val="Hyperlink"/>
            <w:rFonts w:ascii="Calibri" w:hAnsi="Calibri" w:cs="Calibri"/>
            <w:sz w:val="22"/>
            <w:szCs w:val="22"/>
          </w:rPr>
          <w:t>EASL Clinical Practice Guidelines on the management of hepatitis B virus infection</w:t>
        </w:r>
      </w:hyperlink>
      <w:r w:rsidRPr="00513A83">
        <w:rPr>
          <w:rFonts w:ascii="Calibri" w:hAnsi="Calibri" w:cs="Calibri"/>
          <w:color w:val="111111"/>
          <w:sz w:val="22"/>
          <w:szCs w:val="22"/>
        </w:rPr>
        <w:t xml:space="preserve"> Journal of Hepatology. 2025. DOI: 10.1016/j.jhep.2025.03.018</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2. </w:t>
      </w:r>
      <w:hyperlink r:id="rId39" w:history="1">
        <w:r w:rsidRPr="00513A83">
          <w:rPr>
            <w:rStyle w:val="Hyperlink"/>
            <w:rFonts w:ascii="Calibri" w:hAnsi="Calibri" w:cs="Calibri"/>
            <w:sz w:val="22"/>
            <w:szCs w:val="22"/>
          </w:rPr>
          <w:t>EASL Clinical Practice Guidelines on the management of autoimmune hepatitis</w:t>
        </w:r>
      </w:hyperlink>
      <w:r w:rsidRPr="00513A83">
        <w:rPr>
          <w:rFonts w:ascii="Calibri" w:hAnsi="Calibri" w:cs="Calibri"/>
          <w:color w:val="111111"/>
          <w:sz w:val="22"/>
          <w:szCs w:val="22"/>
        </w:rPr>
        <w:t xml:space="preserve"> Journal of Hepatology. 2025. DOI: 10.1016/j.jhep.2025.03.017</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3. </w:t>
      </w:r>
      <w:hyperlink r:id="rId40" w:history="1">
        <w:r w:rsidRPr="00513A83">
          <w:rPr>
            <w:rStyle w:val="Hyperlink"/>
            <w:rFonts w:ascii="Calibri" w:hAnsi="Calibri" w:cs="Calibri"/>
            <w:sz w:val="22"/>
            <w:szCs w:val="22"/>
          </w:rPr>
          <w:t>EASL Clinical Practice Guidelines on non-invasive tests for evaluation of liver disease severity and prognosis – 2021 update</w:t>
        </w:r>
      </w:hyperlink>
      <w:r w:rsidRPr="00513A83">
        <w:rPr>
          <w:rFonts w:ascii="Calibri" w:hAnsi="Calibri" w:cs="Calibri"/>
          <w:color w:val="111111"/>
          <w:sz w:val="22"/>
          <w:szCs w:val="22"/>
        </w:rPr>
        <w:t xml:space="preserve"> Journal of Hepatology. 2021. DOI: 10.1016/j.jhep.2021.05.025</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4. </w:t>
      </w:r>
      <w:hyperlink r:id="rId41" w:history="1">
        <w:r w:rsidRPr="00513A83">
          <w:rPr>
            <w:rStyle w:val="Hyperlink"/>
            <w:rFonts w:ascii="Calibri" w:hAnsi="Calibri" w:cs="Calibri"/>
            <w:sz w:val="22"/>
            <w:szCs w:val="22"/>
          </w:rPr>
          <w:t>AGA Clinical Practice Update on Risk Stratification and Emerging Surveillance Strategies for Hepatocellular Carcinoma: Expert Review.</w:t>
        </w:r>
      </w:hyperlink>
      <w:r w:rsidRPr="00513A83">
        <w:rPr>
          <w:rFonts w:ascii="Calibri" w:hAnsi="Calibri" w:cs="Calibri"/>
          <w:color w:val="111111"/>
          <w:sz w:val="22"/>
          <w:szCs w:val="22"/>
        </w:rPr>
        <w:t xml:space="preserve"> Gastroenterology. 2026. DOI: 10.1053/j.gastro.2026.03.006</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5. </w:t>
      </w:r>
      <w:hyperlink r:id="rId42" w:history="1">
        <w:r w:rsidRPr="00513A83">
          <w:rPr>
            <w:rStyle w:val="Hyperlink"/>
            <w:rFonts w:ascii="Calibri" w:hAnsi="Calibri" w:cs="Calibri"/>
            <w:sz w:val="22"/>
            <w:szCs w:val="22"/>
          </w:rPr>
          <w:t>Liver diseases: epidemiology, causes, trends and predictions</w:t>
        </w:r>
      </w:hyperlink>
      <w:r w:rsidRPr="00513A83">
        <w:rPr>
          <w:rFonts w:ascii="Calibri" w:hAnsi="Calibri" w:cs="Calibri"/>
          <w:color w:val="111111"/>
          <w:sz w:val="22"/>
          <w:szCs w:val="22"/>
        </w:rPr>
        <w:t xml:space="preserve"> Signal Transduction and Targeted Therapy. 2025. DOI: 10.1038/s41392-024-02072-z</w:t>
      </w:r>
    </w:p>
    <w:p w:rsidR="00000000" w:rsidRPr="00513A83" w:rsidRDefault="00000000">
      <w:pPr>
        <w:pStyle w:val="NormalWeb"/>
        <w:divId w:val="1452745915"/>
        <w:rPr>
          <w:rFonts w:ascii="Calibri" w:hAnsi="Calibri" w:cs="Calibri"/>
          <w:color w:val="111111"/>
          <w:sz w:val="22"/>
          <w:szCs w:val="22"/>
        </w:rPr>
      </w:pPr>
      <w:r w:rsidRPr="00513A83">
        <w:rPr>
          <w:rFonts w:ascii="Calibri" w:hAnsi="Calibri" w:cs="Calibri"/>
          <w:color w:val="111111"/>
          <w:sz w:val="22"/>
          <w:szCs w:val="22"/>
        </w:rPr>
        <w:t xml:space="preserve">6. </w:t>
      </w:r>
      <w:hyperlink r:id="rId43" w:history="1">
        <w:r w:rsidRPr="00513A83">
          <w:rPr>
            <w:rStyle w:val="Hyperlink"/>
            <w:rFonts w:ascii="Calibri" w:hAnsi="Calibri" w:cs="Calibri"/>
            <w:sz w:val="22"/>
            <w:szCs w:val="22"/>
          </w:rPr>
          <w:t>AASLD ISDA Practice Guideline on treatment of chronic hepatitis B</w:t>
        </w:r>
      </w:hyperlink>
      <w:r w:rsidRPr="00513A83">
        <w:rPr>
          <w:rFonts w:ascii="Calibri" w:hAnsi="Calibri" w:cs="Calibri"/>
          <w:color w:val="111111"/>
          <w:sz w:val="22"/>
          <w:szCs w:val="22"/>
        </w:rPr>
        <w:t xml:space="preserve"> Hepatology. 2025. DOI: 10.1097/hep.0000000000001549</w:t>
      </w:r>
    </w:p>
    <w:p w:rsidR="00DF7AE7" w:rsidRPr="00513A83" w:rsidRDefault="00DF7AE7">
      <w:pPr>
        <w:pStyle w:val="NormalWeb"/>
        <w:divId w:val="1452745915"/>
        <w:rPr>
          <w:rFonts w:ascii="Calibri" w:hAnsi="Calibri" w:cs="Calibri"/>
          <w:color w:val="111111"/>
          <w:sz w:val="22"/>
          <w:szCs w:val="22"/>
        </w:rPr>
      </w:pPr>
    </w:p>
    <w:sectPr w:rsidR="00DF7AE7" w:rsidRPr="00513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407F"/>
    <w:multiLevelType w:val="multilevel"/>
    <w:tmpl w:val="0F08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ECC"/>
    <w:multiLevelType w:val="multilevel"/>
    <w:tmpl w:val="D488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3D0C"/>
    <w:multiLevelType w:val="multilevel"/>
    <w:tmpl w:val="80A0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711A"/>
    <w:multiLevelType w:val="multilevel"/>
    <w:tmpl w:val="5F82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5A40"/>
    <w:multiLevelType w:val="multilevel"/>
    <w:tmpl w:val="4A86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4094"/>
    <w:multiLevelType w:val="multilevel"/>
    <w:tmpl w:val="3C889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12A10"/>
    <w:multiLevelType w:val="multilevel"/>
    <w:tmpl w:val="C6902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96B17"/>
    <w:multiLevelType w:val="multilevel"/>
    <w:tmpl w:val="1E9A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75321"/>
    <w:multiLevelType w:val="multilevel"/>
    <w:tmpl w:val="A762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D1587"/>
    <w:multiLevelType w:val="multilevel"/>
    <w:tmpl w:val="14D0B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4EAD"/>
    <w:multiLevelType w:val="multilevel"/>
    <w:tmpl w:val="FBA2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E7764"/>
    <w:multiLevelType w:val="multilevel"/>
    <w:tmpl w:val="150C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75AD6"/>
    <w:multiLevelType w:val="multilevel"/>
    <w:tmpl w:val="2B3A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412B9"/>
    <w:multiLevelType w:val="multilevel"/>
    <w:tmpl w:val="F06A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62C3C"/>
    <w:multiLevelType w:val="multilevel"/>
    <w:tmpl w:val="5C58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A1967"/>
    <w:multiLevelType w:val="multilevel"/>
    <w:tmpl w:val="4E80F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02527"/>
    <w:multiLevelType w:val="multilevel"/>
    <w:tmpl w:val="1EAE4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0164F"/>
    <w:multiLevelType w:val="multilevel"/>
    <w:tmpl w:val="30047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F41A2"/>
    <w:multiLevelType w:val="multilevel"/>
    <w:tmpl w:val="3CEA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B3F48"/>
    <w:multiLevelType w:val="multilevel"/>
    <w:tmpl w:val="B674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71DAF"/>
    <w:multiLevelType w:val="multilevel"/>
    <w:tmpl w:val="F738A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22857"/>
    <w:multiLevelType w:val="multilevel"/>
    <w:tmpl w:val="8B20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75B87"/>
    <w:multiLevelType w:val="multilevel"/>
    <w:tmpl w:val="297E2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1474AB0"/>
    <w:multiLevelType w:val="multilevel"/>
    <w:tmpl w:val="0AB65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863E1"/>
    <w:multiLevelType w:val="multilevel"/>
    <w:tmpl w:val="FCD6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A70E7"/>
    <w:multiLevelType w:val="multilevel"/>
    <w:tmpl w:val="2DC8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957A3"/>
    <w:multiLevelType w:val="multilevel"/>
    <w:tmpl w:val="9522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F28F7"/>
    <w:multiLevelType w:val="multilevel"/>
    <w:tmpl w:val="AE00A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15AD0"/>
    <w:multiLevelType w:val="multilevel"/>
    <w:tmpl w:val="660A1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B7E0A"/>
    <w:multiLevelType w:val="multilevel"/>
    <w:tmpl w:val="557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86A8C"/>
    <w:multiLevelType w:val="multilevel"/>
    <w:tmpl w:val="ABBCF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C34DE"/>
    <w:multiLevelType w:val="multilevel"/>
    <w:tmpl w:val="ED16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E58DF"/>
    <w:multiLevelType w:val="multilevel"/>
    <w:tmpl w:val="7A48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413F7B"/>
    <w:multiLevelType w:val="multilevel"/>
    <w:tmpl w:val="2B8A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2584D"/>
    <w:multiLevelType w:val="multilevel"/>
    <w:tmpl w:val="9328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A192E"/>
    <w:multiLevelType w:val="multilevel"/>
    <w:tmpl w:val="55CCE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40140"/>
    <w:multiLevelType w:val="multilevel"/>
    <w:tmpl w:val="2E50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063B6"/>
    <w:multiLevelType w:val="multilevel"/>
    <w:tmpl w:val="219C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F36B7"/>
    <w:multiLevelType w:val="multilevel"/>
    <w:tmpl w:val="B50E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C0800"/>
    <w:multiLevelType w:val="multilevel"/>
    <w:tmpl w:val="5122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1657A3"/>
    <w:multiLevelType w:val="multilevel"/>
    <w:tmpl w:val="89B4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21026"/>
    <w:multiLevelType w:val="multilevel"/>
    <w:tmpl w:val="4F78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430A8"/>
    <w:multiLevelType w:val="multilevel"/>
    <w:tmpl w:val="A32E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6510C"/>
    <w:multiLevelType w:val="multilevel"/>
    <w:tmpl w:val="0AEE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D00E8"/>
    <w:multiLevelType w:val="multilevel"/>
    <w:tmpl w:val="0A90B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22EDD"/>
    <w:multiLevelType w:val="multilevel"/>
    <w:tmpl w:val="1F1CED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48232F35"/>
    <w:multiLevelType w:val="multilevel"/>
    <w:tmpl w:val="88D2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F314D"/>
    <w:multiLevelType w:val="multilevel"/>
    <w:tmpl w:val="100E3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52886"/>
    <w:multiLevelType w:val="multilevel"/>
    <w:tmpl w:val="9D7C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4B01E9"/>
    <w:multiLevelType w:val="multilevel"/>
    <w:tmpl w:val="D624A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90BE6"/>
    <w:multiLevelType w:val="multilevel"/>
    <w:tmpl w:val="3B547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66669"/>
    <w:multiLevelType w:val="multilevel"/>
    <w:tmpl w:val="218C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5951C2"/>
    <w:multiLevelType w:val="multilevel"/>
    <w:tmpl w:val="95682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D61256"/>
    <w:multiLevelType w:val="multilevel"/>
    <w:tmpl w:val="413CF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C85328"/>
    <w:multiLevelType w:val="multilevel"/>
    <w:tmpl w:val="EDC2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331D90"/>
    <w:multiLevelType w:val="multilevel"/>
    <w:tmpl w:val="B902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3B5EC0"/>
    <w:multiLevelType w:val="multilevel"/>
    <w:tmpl w:val="7CE0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AE0E63"/>
    <w:multiLevelType w:val="multilevel"/>
    <w:tmpl w:val="4D5A0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4C3D9A"/>
    <w:multiLevelType w:val="multilevel"/>
    <w:tmpl w:val="1A80F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C1972FB"/>
    <w:multiLevelType w:val="multilevel"/>
    <w:tmpl w:val="B22A8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5C200229"/>
    <w:multiLevelType w:val="multilevel"/>
    <w:tmpl w:val="31A4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950AAE"/>
    <w:multiLevelType w:val="multilevel"/>
    <w:tmpl w:val="B056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EE6548"/>
    <w:multiLevelType w:val="multilevel"/>
    <w:tmpl w:val="9CB8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497875"/>
    <w:multiLevelType w:val="multilevel"/>
    <w:tmpl w:val="007CCF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5D751495"/>
    <w:multiLevelType w:val="multilevel"/>
    <w:tmpl w:val="AF445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B05A0C"/>
    <w:multiLevelType w:val="multilevel"/>
    <w:tmpl w:val="8DD6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57407"/>
    <w:multiLevelType w:val="multilevel"/>
    <w:tmpl w:val="1680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133968"/>
    <w:multiLevelType w:val="multilevel"/>
    <w:tmpl w:val="00A0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4C572B"/>
    <w:multiLevelType w:val="multilevel"/>
    <w:tmpl w:val="C5BA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897291"/>
    <w:multiLevelType w:val="multilevel"/>
    <w:tmpl w:val="C756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C30AB"/>
    <w:multiLevelType w:val="multilevel"/>
    <w:tmpl w:val="9698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5F7A80"/>
    <w:multiLevelType w:val="multilevel"/>
    <w:tmpl w:val="A0EC0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FD2C87"/>
    <w:multiLevelType w:val="multilevel"/>
    <w:tmpl w:val="E828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63B0E"/>
    <w:multiLevelType w:val="multilevel"/>
    <w:tmpl w:val="AE24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47714F"/>
    <w:multiLevelType w:val="multilevel"/>
    <w:tmpl w:val="517A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3F653D"/>
    <w:multiLevelType w:val="multilevel"/>
    <w:tmpl w:val="590E0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9B4C2D"/>
    <w:multiLevelType w:val="multilevel"/>
    <w:tmpl w:val="3096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BA7F90"/>
    <w:multiLevelType w:val="multilevel"/>
    <w:tmpl w:val="FE06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823B91"/>
    <w:multiLevelType w:val="multilevel"/>
    <w:tmpl w:val="EEB0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275EBC"/>
    <w:multiLevelType w:val="multilevel"/>
    <w:tmpl w:val="144E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6F3DCD"/>
    <w:multiLevelType w:val="multilevel"/>
    <w:tmpl w:val="262CB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E0246"/>
    <w:multiLevelType w:val="multilevel"/>
    <w:tmpl w:val="E086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C73BF8"/>
    <w:multiLevelType w:val="multilevel"/>
    <w:tmpl w:val="9B82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0B24CA"/>
    <w:multiLevelType w:val="multilevel"/>
    <w:tmpl w:val="2F6A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FB0A82"/>
    <w:multiLevelType w:val="multilevel"/>
    <w:tmpl w:val="867E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8891029">
    <w:abstractNumId w:val="69"/>
    <w:lvlOverride w:ilvl="0"/>
    <w:lvlOverride w:ilvl="1"/>
    <w:lvlOverride w:ilvl="2"/>
    <w:lvlOverride w:ilvl="3"/>
    <w:lvlOverride w:ilvl="4"/>
    <w:lvlOverride w:ilvl="5"/>
    <w:lvlOverride w:ilvl="6"/>
    <w:lvlOverride w:ilvl="7"/>
    <w:lvlOverride w:ilvl="8"/>
  </w:num>
  <w:num w:numId="2" w16cid:durableId="2049141732">
    <w:abstractNumId w:val="65"/>
    <w:lvlOverride w:ilvl="0"/>
    <w:lvlOverride w:ilvl="1"/>
    <w:lvlOverride w:ilvl="2"/>
    <w:lvlOverride w:ilvl="3"/>
    <w:lvlOverride w:ilvl="4"/>
    <w:lvlOverride w:ilvl="5"/>
    <w:lvlOverride w:ilvl="6"/>
    <w:lvlOverride w:ilvl="7"/>
    <w:lvlOverride w:ilvl="8"/>
  </w:num>
  <w:num w:numId="3" w16cid:durableId="1107119582">
    <w:abstractNumId w:val="37"/>
    <w:lvlOverride w:ilvl="0"/>
    <w:lvlOverride w:ilvl="1"/>
    <w:lvlOverride w:ilvl="2"/>
    <w:lvlOverride w:ilvl="3"/>
    <w:lvlOverride w:ilvl="4"/>
    <w:lvlOverride w:ilvl="5"/>
    <w:lvlOverride w:ilvl="6"/>
    <w:lvlOverride w:ilvl="7"/>
    <w:lvlOverride w:ilvl="8"/>
  </w:num>
  <w:num w:numId="4" w16cid:durableId="843252578">
    <w:abstractNumId w:val="30"/>
    <w:lvlOverride w:ilvl="0"/>
    <w:lvlOverride w:ilvl="1"/>
    <w:lvlOverride w:ilvl="2"/>
    <w:lvlOverride w:ilvl="3"/>
    <w:lvlOverride w:ilvl="4"/>
    <w:lvlOverride w:ilvl="5"/>
    <w:lvlOverride w:ilvl="6"/>
    <w:lvlOverride w:ilvl="7"/>
    <w:lvlOverride w:ilvl="8"/>
  </w:num>
  <w:num w:numId="5" w16cid:durableId="616063677">
    <w:abstractNumId w:val="34"/>
    <w:lvlOverride w:ilvl="0"/>
    <w:lvlOverride w:ilvl="1"/>
    <w:lvlOverride w:ilvl="2"/>
    <w:lvlOverride w:ilvl="3"/>
    <w:lvlOverride w:ilvl="4"/>
    <w:lvlOverride w:ilvl="5"/>
    <w:lvlOverride w:ilvl="6"/>
    <w:lvlOverride w:ilvl="7"/>
    <w:lvlOverride w:ilvl="8"/>
  </w:num>
  <w:num w:numId="6" w16cid:durableId="757138308">
    <w:abstractNumId w:val="72"/>
    <w:lvlOverride w:ilvl="0"/>
    <w:lvlOverride w:ilvl="1"/>
    <w:lvlOverride w:ilvl="2"/>
    <w:lvlOverride w:ilvl="3"/>
    <w:lvlOverride w:ilvl="4"/>
    <w:lvlOverride w:ilvl="5"/>
    <w:lvlOverride w:ilvl="6"/>
    <w:lvlOverride w:ilvl="7"/>
    <w:lvlOverride w:ilvl="8"/>
  </w:num>
  <w:num w:numId="7" w16cid:durableId="155650375">
    <w:abstractNumId w:val="81"/>
    <w:lvlOverride w:ilvl="0"/>
    <w:lvlOverride w:ilvl="1"/>
    <w:lvlOverride w:ilvl="2"/>
    <w:lvlOverride w:ilvl="3"/>
    <w:lvlOverride w:ilvl="4"/>
    <w:lvlOverride w:ilvl="5"/>
    <w:lvlOverride w:ilvl="6"/>
    <w:lvlOverride w:ilvl="7"/>
    <w:lvlOverride w:ilvl="8"/>
  </w:num>
  <w:num w:numId="8" w16cid:durableId="348609586">
    <w:abstractNumId w:val="40"/>
    <w:lvlOverride w:ilvl="0"/>
    <w:lvlOverride w:ilvl="1"/>
    <w:lvlOverride w:ilvl="2"/>
    <w:lvlOverride w:ilvl="3"/>
    <w:lvlOverride w:ilvl="4"/>
    <w:lvlOverride w:ilvl="5"/>
    <w:lvlOverride w:ilvl="6"/>
    <w:lvlOverride w:ilvl="7"/>
    <w:lvlOverride w:ilvl="8"/>
  </w:num>
  <w:num w:numId="9" w16cid:durableId="1921401468">
    <w:abstractNumId w:val="66"/>
    <w:lvlOverride w:ilvl="0"/>
    <w:lvlOverride w:ilvl="1"/>
    <w:lvlOverride w:ilvl="2"/>
    <w:lvlOverride w:ilvl="3"/>
    <w:lvlOverride w:ilvl="4"/>
    <w:lvlOverride w:ilvl="5"/>
    <w:lvlOverride w:ilvl="6"/>
    <w:lvlOverride w:ilvl="7"/>
    <w:lvlOverride w:ilvl="8"/>
  </w:num>
  <w:num w:numId="10" w16cid:durableId="1598948293">
    <w:abstractNumId w:val="1"/>
    <w:lvlOverride w:ilvl="0"/>
    <w:lvlOverride w:ilvl="1"/>
    <w:lvlOverride w:ilvl="2"/>
    <w:lvlOverride w:ilvl="3"/>
    <w:lvlOverride w:ilvl="4"/>
    <w:lvlOverride w:ilvl="5"/>
    <w:lvlOverride w:ilvl="6"/>
    <w:lvlOverride w:ilvl="7"/>
    <w:lvlOverride w:ilvl="8"/>
  </w:num>
  <w:num w:numId="11" w16cid:durableId="1461000152">
    <w:abstractNumId w:val="75"/>
    <w:lvlOverride w:ilvl="0"/>
    <w:lvlOverride w:ilvl="1"/>
    <w:lvlOverride w:ilvl="2"/>
    <w:lvlOverride w:ilvl="3"/>
    <w:lvlOverride w:ilvl="4"/>
    <w:lvlOverride w:ilvl="5"/>
    <w:lvlOverride w:ilvl="6"/>
    <w:lvlOverride w:ilvl="7"/>
    <w:lvlOverride w:ilvl="8"/>
  </w:num>
  <w:num w:numId="12" w16cid:durableId="877821381">
    <w:abstractNumId w:val="62"/>
    <w:lvlOverride w:ilvl="0"/>
    <w:lvlOverride w:ilvl="1"/>
    <w:lvlOverride w:ilvl="2"/>
    <w:lvlOverride w:ilvl="3"/>
    <w:lvlOverride w:ilvl="4"/>
    <w:lvlOverride w:ilvl="5"/>
    <w:lvlOverride w:ilvl="6"/>
    <w:lvlOverride w:ilvl="7"/>
    <w:lvlOverride w:ilvl="8"/>
  </w:num>
  <w:num w:numId="13" w16cid:durableId="979723699">
    <w:abstractNumId w:val="71"/>
    <w:lvlOverride w:ilvl="0"/>
    <w:lvlOverride w:ilvl="1"/>
    <w:lvlOverride w:ilvl="2"/>
    <w:lvlOverride w:ilvl="3"/>
    <w:lvlOverride w:ilvl="4"/>
    <w:lvlOverride w:ilvl="5"/>
    <w:lvlOverride w:ilvl="6"/>
    <w:lvlOverride w:ilvl="7"/>
    <w:lvlOverride w:ilvl="8"/>
  </w:num>
  <w:num w:numId="14" w16cid:durableId="819225228">
    <w:abstractNumId w:val="68"/>
    <w:lvlOverride w:ilvl="0"/>
    <w:lvlOverride w:ilvl="1"/>
    <w:lvlOverride w:ilvl="2"/>
    <w:lvlOverride w:ilvl="3"/>
    <w:lvlOverride w:ilvl="4"/>
    <w:lvlOverride w:ilvl="5"/>
    <w:lvlOverride w:ilvl="6"/>
    <w:lvlOverride w:ilvl="7"/>
    <w:lvlOverride w:ilvl="8"/>
  </w:num>
  <w:num w:numId="15" w16cid:durableId="2100443117">
    <w:abstractNumId w:val="44"/>
    <w:lvlOverride w:ilvl="0"/>
    <w:lvlOverride w:ilvl="1"/>
    <w:lvlOverride w:ilvl="2"/>
    <w:lvlOverride w:ilvl="3"/>
    <w:lvlOverride w:ilvl="4"/>
    <w:lvlOverride w:ilvl="5"/>
    <w:lvlOverride w:ilvl="6"/>
    <w:lvlOverride w:ilvl="7"/>
    <w:lvlOverride w:ilvl="8"/>
  </w:num>
  <w:num w:numId="16" w16cid:durableId="1483960223">
    <w:abstractNumId w:val="36"/>
    <w:lvlOverride w:ilvl="0"/>
    <w:lvlOverride w:ilvl="1"/>
    <w:lvlOverride w:ilvl="2"/>
    <w:lvlOverride w:ilvl="3"/>
    <w:lvlOverride w:ilvl="4"/>
    <w:lvlOverride w:ilvl="5"/>
    <w:lvlOverride w:ilvl="6"/>
    <w:lvlOverride w:ilvl="7"/>
    <w:lvlOverride w:ilvl="8"/>
  </w:num>
  <w:num w:numId="17" w16cid:durableId="293801622">
    <w:abstractNumId w:val="55"/>
    <w:lvlOverride w:ilvl="0"/>
    <w:lvlOverride w:ilvl="1"/>
    <w:lvlOverride w:ilvl="2"/>
    <w:lvlOverride w:ilvl="3"/>
    <w:lvlOverride w:ilvl="4"/>
    <w:lvlOverride w:ilvl="5"/>
    <w:lvlOverride w:ilvl="6"/>
    <w:lvlOverride w:ilvl="7"/>
    <w:lvlOverride w:ilvl="8"/>
  </w:num>
  <w:num w:numId="18" w16cid:durableId="1388648204">
    <w:abstractNumId w:val="39"/>
    <w:lvlOverride w:ilvl="0"/>
    <w:lvlOverride w:ilvl="1"/>
    <w:lvlOverride w:ilvl="2"/>
    <w:lvlOverride w:ilvl="3"/>
    <w:lvlOverride w:ilvl="4"/>
    <w:lvlOverride w:ilvl="5"/>
    <w:lvlOverride w:ilvl="6"/>
    <w:lvlOverride w:ilvl="7"/>
    <w:lvlOverride w:ilvl="8"/>
  </w:num>
  <w:num w:numId="19" w16cid:durableId="685642612">
    <w:abstractNumId w:val="61"/>
    <w:lvlOverride w:ilvl="0"/>
    <w:lvlOverride w:ilvl="1"/>
    <w:lvlOverride w:ilvl="2"/>
    <w:lvlOverride w:ilvl="3"/>
    <w:lvlOverride w:ilvl="4"/>
    <w:lvlOverride w:ilvl="5"/>
    <w:lvlOverride w:ilvl="6"/>
    <w:lvlOverride w:ilvl="7"/>
    <w:lvlOverride w:ilvl="8"/>
  </w:num>
  <w:num w:numId="20" w16cid:durableId="993919504">
    <w:abstractNumId w:val="8"/>
    <w:lvlOverride w:ilvl="0"/>
    <w:lvlOverride w:ilvl="1"/>
    <w:lvlOverride w:ilvl="2"/>
    <w:lvlOverride w:ilvl="3"/>
    <w:lvlOverride w:ilvl="4"/>
    <w:lvlOverride w:ilvl="5"/>
    <w:lvlOverride w:ilvl="6"/>
    <w:lvlOverride w:ilvl="7"/>
    <w:lvlOverride w:ilvl="8"/>
  </w:num>
  <w:num w:numId="21" w16cid:durableId="95401655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1981519">
    <w:abstractNumId w:val="19"/>
    <w:lvlOverride w:ilvl="0"/>
    <w:lvlOverride w:ilvl="1"/>
    <w:lvlOverride w:ilvl="2"/>
    <w:lvlOverride w:ilvl="3"/>
    <w:lvlOverride w:ilvl="4"/>
    <w:lvlOverride w:ilvl="5"/>
    <w:lvlOverride w:ilvl="6"/>
    <w:lvlOverride w:ilvl="7"/>
    <w:lvlOverride w:ilvl="8"/>
  </w:num>
  <w:num w:numId="23" w16cid:durableId="702099544">
    <w:abstractNumId w:val="3"/>
    <w:lvlOverride w:ilvl="0"/>
    <w:lvlOverride w:ilvl="1"/>
    <w:lvlOverride w:ilvl="2"/>
    <w:lvlOverride w:ilvl="3"/>
    <w:lvlOverride w:ilvl="4"/>
    <w:lvlOverride w:ilvl="5"/>
    <w:lvlOverride w:ilvl="6"/>
    <w:lvlOverride w:ilvl="7"/>
    <w:lvlOverride w:ilvl="8"/>
  </w:num>
  <w:num w:numId="24" w16cid:durableId="1519193399">
    <w:abstractNumId w:val="16"/>
    <w:lvlOverride w:ilvl="0"/>
    <w:lvlOverride w:ilvl="1"/>
    <w:lvlOverride w:ilvl="2"/>
    <w:lvlOverride w:ilvl="3"/>
    <w:lvlOverride w:ilvl="4"/>
    <w:lvlOverride w:ilvl="5"/>
    <w:lvlOverride w:ilvl="6"/>
    <w:lvlOverride w:ilvl="7"/>
    <w:lvlOverride w:ilvl="8"/>
  </w:num>
  <w:num w:numId="25" w16cid:durableId="552038589">
    <w:abstractNumId w:val="26"/>
    <w:lvlOverride w:ilvl="0"/>
    <w:lvlOverride w:ilvl="1"/>
    <w:lvlOverride w:ilvl="2"/>
    <w:lvlOverride w:ilvl="3"/>
    <w:lvlOverride w:ilvl="4"/>
    <w:lvlOverride w:ilvl="5"/>
    <w:lvlOverride w:ilvl="6"/>
    <w:lvlOverride w:ilvl="7"/>
    <w:lvlOverride w:ilvl="8"/>
  </w:num>
  <w:num w:numId="26" w16cid:durableId="28137704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8595796">
    <w:abstractNumId w:val="74"/>
    <w:lvlOverride w:ilvl="0"/>
    <w:lvlOverride w:ilvl="1"/>
    <w:lvlOverride w:ilvl="2"/>
    <w:lvlOverride w:ilvl="3"/>
    <w:lvlOverride w:ilvl="4"/>
    <w:lvlOverride w:ilvl="5"/>
    <w:lvlOverride w:ilvl="6"/>
    <w:lvlOverride w:ilvl="7"/>
    <w:lvlOverride w:ilvl="8"/>
  </w:num>
  <w:num w:numId="28" w16cid:durableId="11078334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3618963">
    <w:abstractNumId w:val="51"/>
    <w:lvlOverride w:ilvl="0"/>
    <w:lvlOverride w:ilvl="1"/>
    <w:lvlOverride w:ilvl="2"/>
    <w:lvlOverride w:ilvl="3"/>
    <w:lvlOverride w:ilvl="4"/>
    <w:lvlOverride w:ilvl="5"/>
    <w:lvlOverride w:ilvl="6"/>
    <w:lvlOverride w:ilvl="7"/>
    <w:lvlOverride w:ilvl="8"/>
  </w:num>
  <w:num w:numId="30" w16cid:durableId="8017723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6134645">
    <w:abstractNumId w:val="29"/>
    <w:lvlOverride w:ilvl="0"/>
    <w:lvlOverride w:ilvl="1"/>
    <w:lvlOverride w:ilvl="2"/>
    <w:lvlOverride w:ilvl="3"/>
    <w:lvlOverride w:ilvl="4"/>
    <w:lvlOverride w:ilvl="5"/>
    <w:lvlOverride w:ilvl="6"/>
    <w:lvlOverride w:ilvl="7"/>
    <w:lvlOverride w:ilvl="8"/>
  </w:num>
  <w:num w:numId="32" w16cid:durableId="362480769">
    <w:abstractNumId w:val="57"/>
    <w:lvlOverride w:ilvl="0"/>
    <w:lvlOverride w:ilvl="1"/>
    <w:lvlOverride w:ilvl="2"/>
    <w:lvlOverride w:ilvl="3"/>
    <w:lvlOverride w:ilvl="4"/>
    <w:lvlOverride w:ilvl="5"/>
    <w:lvlOverride w:ilvl="6"/>
    <w:lvlOverride w:ilvl="7"/>
    <w:lvlOverride w:ilvl="8"/>
  </w:num>
  <w:num w:numId="33" w16cid:durableId="612908680">
    <w:abstractNumId w:val="73"/>
    <w:lvlOverride w:ilvl="0"/>
    <w:lvlOverride w:ilvl="1"/>
    <w:lvlOverride w:ilvl="2"/>
    <w:lvlOverride w:ilvl="3"/>
    <w:lvlOverride w:ilvl="4"/>
    <w:lvlOverride w:ilvl="5"/>
    <w:lvlOverride w:ilvl="6"/>
    <w:lvlOverride w:ilvl="7"/>
    <w:lvlOverride w:ilvl="8"/>
  </w:num>
  <w:num w:numId="34" w16cid:durableId="1191533284">
    <w:abstractNumId w:val="5"/>
    <w:lvlOverride w:ilvl="0"/>
    <w:lvlOverride w:ilvl="1"/>
    <w:lvlOverride w:ilvl="2"/>
    <w:lvlOverride w:ilvl="3"/>
    <w:lvlOverride w:ilvl="4"/>
    <w:lvlOverride w:ilvl="5"/>
    <w:lvlOverride w:ilvl="6"/>
    <w:lvlOverride w:ilvl="7"/>
    <w:lvlOverride w:ilvl="8"/>
  </w:num>
  <w:num w:numId="35" w16cid:durableId="1937706560">
    <w:abstractNumId w:val="38"/>
    <w:lvlOverride w:ilvl="0"/>
    <w:lvlOverride w:ilvl="1"/>
    <w:lvlOverride w:ilvl="2"/>
    <w:lvlOverride w:ilvl="3"/>
    <w:lvlOverride w:ilvl="4"/>
    <w:lvlOverride w:ilvl="5"/>
    <w:lvlOverride w:ilvl="6"/>
    <w:lvlOverride w:ilvl="7"/>
    <w:lvlOverride w:ilvl="8"/>
  </w:num>
  <w:num w:numId="36" w16cid:durableId="540173477">
    <w:abstractNumId w:val="60"/>
    <w:lvlOverride w:ilvl="0"/>
    <w:lvlOverride w:ilvl="1"/>
    <w:lvlOverride w:ilvl="2"/>
    <w:lvlOverride w:ilvl="3"/>
    <w:lvlOverride w:ilvl="4"/>
    <w:lvlOverride w:ilvl="5"/>
    <w:lvlOverride w:ilvl="6"/>
    <w:lvlOverride w:ilvl="7"/>
    <w:lvlOverride w:ilvl="8"/>
  </w:num>
  <w:num w:numId="37" w16cid:durableId="739182652">
    <w:abstractNumId w:val="27"/>
    <w:lvlOverride w:ilvl="0"/>
    <w:lvlOverride w:ilvl="1"/>
    <w:lvlOverride w:ilvl="2"/>
    <w:lvlOverride w:ilvl="3"/>
    <w:lvlOverride w:ilvl="4"/>
    <w:lvlOverride w:ilvl="5"/>
    <w:lvlOverride w:ilvl="6"/>
    <w:lvlOverride w:ilvl="7"/>
    <w:lvlOverride w:ilvl="8"/>
  </w:num>
  <w:num w:numId="38" w16cid:durableId="1890874408">
    <w:abstractNumId w:val="10"/>
    <w:lvlOverride w:ilvl="0"/>
    <w:lvlOverride w:ilvl="1"/>
    <w:lvlOverride w:ilvl="2"/>
    <w:lvlOverride w:ilvl="3"/>
    <w:lvlOverride w:ilvl="4"/>
    <w:lvlOverride w:ilvl="5"/>
    <w:lvlOverride w:ilvl="6"/>
    <w:lvlOverride w:ilvl="7"/>
    <w:lvlOverride w:ilvl="8"/>
  </w:num>
  <w:num w:numId="39" w16cid:durableId="179782276">
    <w:abstractNumId w:val="21"/>
    <w:lvlOverride w:ilvl="0"/>
    <w:lvlOverride w:ilvl="1"/>
    <w:lvlOverride w:ilvl="2"/>
    <w:lvlOverride w:ilvl="3"/>
    <w:lvlOverride w:ilvl="4"/>
    <w:lvlOverride w:ilvl="5"/>
    <w:lvlOverride w:ilvl="6"/>
    <w:lvlOverride w:ilvl="7"/>
    <w:lvlOverride w:ilvl="8"/>
  </w:num>
  <w:num w:numId="40" w16cid:durableId="442268584">
    <w:abstractNumId w:val="48"/>
    <w:lvlOverride w:ilvl="0"/>
    <w:lvlOverride w:ilvl="1"/>
    <w:lvlOverride w:ilvl="2"/>
    <w:lvlOverride w:ilvl="3"/>
    <w:lvlOverride w:ilvl="4"/>
    <w:lvlOverride w:ilvl="5"/>
    <w:lvlOverride w:ilvl="6"/>
    <w:lvlOverride w:ilvl="7"/>
    <w:lvlOverride w:ilvl="8"/>
  </w:num>
  <w:num w:numId="41" w16cid:durableId="813910902">
    <w:abstractNumId w:val="7"/>
    <w:lvlOverride w:ilvl="0"/>
    <w:lvlOverride w:ilvl="1"/>
    <w:lvlOverride w:ilvl="2"/>
    <w:lvlOverride w:ilvl="3"/>
    <w:lvlOverride w:ilvl="4"/>
    <w:lvlOverride w:ilvl="5"/>
    <w:lvlOverride w:ilvl="6"/>
    <w:lvlOverride w:ilvl="7"/>
    <w:lvlOverride w:ilvl="8"/>
  </w:num>
  <w:num w:numId="42" w16cid:durableId="820736353">
    <w:abstractNumId w:val="4"/>
    <w:lvlOverride w:ilvl="0"/>
    <w:lvlOverride w:ilvl="1"/>
    <w:lvlOverride w:ilvl="2"/>
    <w:lvlOverride w:ilvl="3"/>
    <w:lvlOverride w:ilvl="4"/>
    <w:lvlOverride w:ilvl="5"/>
    <w:lvlOverride w:ilvl="6"/>
    <w:lvlOverride w:ilvl="7"/>
    <w:lvlOverride w:ilvl="8"/>
  </w:num>
  <w:num w:numId="43" w16cid:durableId="634918775">
    <w:abstractNumId w:val="33"/>
    <w:lvlOverride w:ilvl="0"/>
    <w:lvlOverride w:ilvl="1"/>
    <w:lvlOverride w:ilvl="2"/>
    <w:lvlOverride w:ilvl="3"/>
    <w:lvlOverride w:ilvl="4"/>
    <w:lvlOverride w:ilvl="5"/>
    <w:lvlOverride w:ilvl="6"/>
    <w:lvlOverride w:ilvl="7"/>
    <w:lvlOverride w:ilvl="8"/>
  </w:num>
  <w:num w:numId="44" w16cid:durableId="1259486703">
    <w:abstractNumId w:val="76"/>
    <w:lvlOverride w:ilvl="0"/>
    <w:lvlOverride w:ilvl="1"/>
    <w:lvlOverride w:ilvl="2"/>
    <w:lvlOverride w:ilvl="3"/>
    <w:lvlOverride w:ilvl="4"/>
    <w:lvlOverride w:ilvl="5"/>
    <w:lvlOverride w:ilvl="6"/>
    <w:lvlOverride w:ilvl="7"/>
    <w:lvlOverride w:ilvl="8"/>
  </w:num>
  <w:num w:numId="45" w16cid:durableId="39981218">
    <w:abstractNumId w:val="28"/>
    <w:lvlOverride w:ilvl="0"/>
    <w:lvlOverride w:ilvl="1"/>
    <w:lvlOverride w:ilvl="2"/>
    <w:lvlOverride w:ilvl="3"/>
    <w:lvlOverride w:ilvl="4"/>
    <w:lvlOverride w:ilvl="5"/>
    <w:lvlOverride w:ilvl="6"/>
    <w:lvlOverride w:ilvl="7"/>
    <w:lvlOverride w:ilvl="8"/>
  </w:num>
  <w:num w:numId="46" w16cid:durableId="1759864422">
    <w:abstractNumId w:val="56"/>
    <w:lvlOverride w:ilvl="0"/>
    <w:lvlOverride w:ilvl="1"/>
    <w:lvlOverride w:ilvl="2"/>
    <w:lvlOverride w:ilvl="3"/>
    <w:lvlOverride w:ilvl="4"/>
    <w:lvlOverride w:ilvl="5"/>
    <w:lvlOverride w:ilvl="6"/>
    <w:lvlOverride w:ilvl="7"/>
    <w:lvlOverride w:ilvl="8"/>
  </w:num>
  <w:num w:numId="47" w16cid:durableId="2108501638">
    <w:abstractNumId w:val="77"/>
    <w:lvlOverride w:ilvl="0"/>
    <w:lvlOverride w:ilvl="1"/>
    <w:lvlOverride w:ilvl="2"/>
    <w:lvlOverride w:ilvl="3"/>
    <w:lvlOverride w:ilvl="4"/>
    <w:lvlOverride w:ilvl="5"/>
    <w:lvlOverride w:ilvl="6"/>
    <w:lvlOverride w:ilvl="7"/>
    <w:lvlOverride w:ilvl="8"/>
  </w:num>
  <w:num w:numId="48" w16cid:durableId="777338987">
    <w:abstractNumId w:val="53"/>
    <w:lvlOverride w:ilvl="0"/>
    <w:lvlOverride w:ilvl="1"/>
    <w:lvlOverride w:ilvl="2"/>
    <w:lvlOverride w:ilvl="3"/>
    <w:lvlOverride w:ilvl="4"/>
    <w:lvlOverride w:ilvl="5"/>
    <w:lvlOverride w:ilvl="6"/>
    <w:lvlOverride w:ilvl="7"/>
    <w:lvlOverride w:ilvl="8"/>
  </w:num>
  <w:num w:numId="49" w16cid:durableId="743604091">
    <w:abstractNumId w:val="82"/>
    <w:lvlOverride w:ilvl="0"/>
    <w:lvlOverride w:ilvl="1"/>
    <w:lvlOverride w:ilvl="2"/>
    <w:lvlOverride w:ilvl="3"/>
    <w:lvlOverride w:ilvl="4"/>
    <w:lvlOverride w:ilvl="5"/>
    <w:lvlOverride w:ilvl="6"/>
    <w:lvlOverride w:ilvl="7"/>
    <w:lvlOverride w:ilvl="8"/>
  </w:num>
  <w:num w:numId="50" w16cid:durableId="499928243">
    <w:abstractNumId w:val="14"/>
    <w:lvlOverride w:ilvl="0"/>
    <w:lvlOverride w:ilvl="1"/>
    <w:lvlOverride w:ilvl="2"/>
    <w:lvlOverride w:ilvl="3"/>
    <w:lvlOverride w:ilvl="4"/>
    <w:lvlOverride w:ilvl="5"/>
    <w:lvlOverride w:ilvl="6"/>
    <w:lvlOverride w:ilvl="7"/>
    <w:lvlOverride w:ilvl="8"/>
  </w:num>
  <w:num w:numId="51" w16cid:durableId="1581603316">
    <w:abstractNumId w:val="42"/>
    <w:lvlOverride w:ilvl="0"/>
    <w:lvlOverride w:ilvl="1"/>
    <w:lvlOverride w:ilvl="2"/>
    <w:lvlOverride w:ilvl="3"/>
    <w:lvlOverride w:ilvl="4"/>
    <w:lvlOverride w:ilvl="5"/>
    <w:lvlOverride w:ilvl="6"/>
    <w:lvlOverride w:ilvl="7"/>
    <w:lvlOverride w:ilvl="8"/>
  </w:num>
  <w:num w:numId="52" w16cid:durableId="526142388">
    <w:abstractNumId w:val="23"/>
    <w:lvlOverride w:ilvl="0"/>
    <w:lvlOverride w:ilvl="1"/>
    <w:lvlOverride w:ilvl="2"/>
    <w:lvlOverride w:ilvl="3"/>
    <w:lvlOverride w:ilvl="4"/>
    <w:lvlOverride w:ilvl="5"/>
    <w:lvlOverride w:ilvl="6"/>
    <w:lvlOverride w:ilvl="7"/>
    <w:lvlOverride w:ilvl="8"/>
  </w:num>
  <w:num w:numId="53" w16cid:durableId="126944249">
    <w:abstractNumId w:val="84"/>
    <w:lvlOverride w:ilvl="0"/>
    <w:lvlOverride w:ilvl="1"/>
    <w:lvlOverride w:ilvl="2"/>
    <w:lvlOverride w:ilvl="3"/>
    <w:lvlOverride w:ilvl="4"/>
    <w:lvlOverride w:ilvl="5"/>
    <w:lvlOverride w:ilvl="6"/>
    <w:lvlOverride w:ilvl="7"/>
    <w:lvlOverride w:ilvl="8"/>
  </w:num>
  <w:num w:numId="54" w16cid:durableId="1615093756">
    <w:abstractNumId w:val="15"/>
    <w:lvlOverride w:ilvl="0"/>
    <w:lvlOverride w:ilvl="1"/>
    <w:lvlOverride w:ilvl="2"/>
    <w:lvlOverride w:ilvl="3"/>
    <w:lvlOverride w:ilvl="4"/>
    <w:lvlOverride w:ilvl="5"/>
    <w:lvlOverride w:ilvl="6"/>
    <w:lvlOverride w:ilvl="7"/>
    <w:lvlOverride w:ilvl="8"/>
  </w:num>
  <w:num w:numId="55" w16cid:durableId="1839149965">
    <w:abstractNumId w:val="0"/>
    <w:lvlOverride w:ilvl="0"/>
    <w:lvlOverride w:ilvl="1"/>
    <w:lvlOverride w:ilvl="2"/>
    <w:lvlOverride w:ilvl="3"/>
    <w:lvlOverride w:ilvl="4"/>
    <w:lvlOverride w:ilvl="5"/>
    <w:lvlOverride w:ilvl="6"/>
    <w:lvlOverride w:ilvl="7"/>
    <w:lvlOverride w:ilvl="8"/>
  </w:num>
  <w:num w:numId="56" w16cid:durableId="1578444571">
    <w:abstractNumId w:val="31"/>
    <w:lvlOverride w:ilvl="0"/>
    <w:lvlOverride w:ilvl="1"/>
    <w:lvlOverride w:ilvl="2"/>
    <w:lvlOverride w:ilvl="3"/>
    <w:lvlOverride w:ilvl="4"/>
    <w:lvlOverride w:ilvl="5"/>
    <w:lvlOverride w:ilvl="6"/>
    <w:lvlOverride w:ilvl="7"/>
    <w:lvlOverride w:ilvl="8"/>
  </w:num>
  <w:num w:numId="57" w16cid:durableId="140580494">
    <w:abstractNumId w:val="20"/>
    <w:lvlOverride w:ilvl="0"/>
    <w:lvlOverride w:ilvl="1"/>
    <w:lvlOverride w:ilvl="2"/>
    <w:lvlOverride w:ilvl="3"/>
    <w:lvlOverride w:ilvl="4"/>
    <w:lvlOverride w:ilvl="5"/>
    <w:lvlOverride w:ilvl="6"/>
    <w:lvlOverride w:ilvl="7"/>
    <w:lvlOverride w:ilvl="8"/>
  </w:num>
  <w:num w:numId="58" w16cid:durableId="561910165">
    <w:abstractNumId w:val="41"/>
    <w:lvlOverride w:ilvl="0"/>
    <w:lvlOverride w:ilvl="1"/>
    <w:lvlOverride w:ilvl="2"/>
    <w:lvlOverride w:ilvl="3"/>
    <w:lvlOverride w:ilvl="4"/>
    <w:lvlOverride w:ilvl="5"/>
    <w:lvlOverride w:ilvl="6"/>
    <w:lvlOverride w:ilvl="7"/>
    <w:lvlOverride w:ilvl="8"/>
  </w:num>
  <w:num w:numId="59" w16cid:durableId="586886150">
    <w:abstractNumId w:val="9"/>
    <w:lvlOverride w:ilvl="0"/>
    <w:lvlOverride w:ilvl="1"/>
    <w:lvlOverride w:ilvl="2"/>
    <w:lvlOverride w:ilvl="3"/>
    <w:lvlOverride w:ilvl="4"/>
    <w:lvlOverride w:ilvl="5"/>
    <w:lvlOverride w:ilvl="6"/>
    <w:lvlOverride w:ilvl="7"/>
    <w:lvlOverride w:ilvl="8"/>
  </w:num>
  <w:num w:numId="60" w16cid:durableId="1178037036">
    <w:abstractNumId w:val="46"/>
    <w:lvlOverride w:ilvl="0"/>
    <w:lvlOverride w:ilvl="1"/>
    <w:lvlOverride w:ilvl="2"/>
    <w:lvlOverride w:ilvl="3"/>
    <w:lvlOverride w:ilvl="4"/>
    <w:lvlOverride w:ilvl="5"/>
    <w:lvlOverride w:ilvl="6"/>
    <w:lvlOverride w:ilvl="7"/>
    <w:lvlOverride w:ilvl="8"/>
  </w:num>
  <w:num w:numId="61" w16cid:durableId="549418480">
    <w:abstractNumId w:val="17"/>
    <w:lvlOverride w:ilvl="0"/>
    <w:lvlOverride w:ilvl="1"/>
    <w:lvlOverride w:ilvl="2"/>
    <w:lvlOverride w:ilvl="3"/>
    <w:lvlOverride w:ilvl="4"/>
    <w:lvlOverride w:ilvl="5"/>
    <w:lvlOverride w:ilvl="6"/>
    <w:lvlOverride w:ilvl="7"/>
    <w:lvlOverride w:ilvl="8"/>
  </w:num>
  <w:num w:numId="62" w16cid:durableId="631247893">
    <w:abstractNumId w:val="52"/>
    <w:lvlOverride w:ilvl="0"/>
    <w:lvlOverride w:ilvl="1"/>
    <w:lvlOverride w:ilvl="2"/>
    <w:lvlOverride w:ilvl="3"/>
    <w:lvlOverride w:ilvl="4"/>
    <w:lvlOverride w:ilvl="5"/>
    <w:lvlOverride w:ilvl="6"/>
    <w:lvlOverride w:ilvl="7"/>
    <w:lvlOverride w:ilvl="8"/>
  </w:num>
  <w:num w:numId="63" w16cid:durableId="795370122">
    <w:abstractNumId w:val="49"/>
    <w:lvlOverride w:ilvl="0"/>
    <w:lvlOverride w:ilvl="1"/>
    <w:lvlOverride w:ilvl="2"/>
    <w:lvlOverride w:ilvl="3"/>
    <w:lvlOverride w:ilvl="4"/>
    <w:lvlOverride w:ilvl="5"/>
    <w:lvlOverride w:ilvl="6"/>
    <w:lvlOverride w:ilvl="7"/>
    <w:lvlOverride w:ilvl="8"/>
  </w:num>
  <w:num w:numId="64" w16cid:durableId="907420897">
    <w:abstractNumId w:val="18"/>
    <w:lvlOverride w:ilvl="0"/>
    <w:lvlOverride w:ilvl="1"/>
    <w:lvlOverride w:ilvl="2"/>
    <w:lvlOverride w:ilvl="3"/>
    <w:lvlOverride w:ilvl="4"/>
    <w:lvlOverride w:ilvl="5"/>
    <w:lvlOverride w:ilvl="6"/>
    <w:lvlOverride w:ilvl="7"/>
    <w:lvlOverride w:ilvl="8"/>
  </w:num>
  <w:num w:numId="65" w16cid:durableId="1336610507">
    <w:abstractNumId w:val="67"/>
    <w:lvlOverride w:ilvl="0"/>
    <w:lvlOverride w:ilvl="1"/>
    <w:lvlOverride w:ilvl="2"/>
    <w:lvlOverride w:ilvl="3"/>
    <w:lvlOverride w:ilvl="4"/>
    <w:lvlOverride w:ilvl="5"/>
    <w:lvlOverride w:ilvl="6"/>
    <w:lvlOverride w:ilvl="7"/>
    <w:lvlOverride w:ilvl="8"/>
  </w:num>
  <w:num w:numId="66" w16cid:durableId="1789624213">
    <w:abstractNumId w:val="32"/>
    <w:lvlOverride w:ilvl="0"/>
    <w:lvlOverride w:ilvl="1"/>
    <w:lvlOverride w:ilvl="2"/>
    <w:lvlOverride w:ilvl="3"/>
    <w:lvlOverride w:ilvl="4"/>
    <w:lvlOverride w:ilvl="5"/>
    <w:lvlOverride w:ilvl="6"/>
    <w:lvlOverride w:ilvl="7"/>
    <w:lvlOverride w:ilvl="8"/>
  </w:num>
  <w:num w:numId="67" w16cid:durableId="136147084">
    <w:abstractNumId w:val="35"/>
    <w:lvlOverride w:ilvl="0"/>
    <w:lvlOverride w:ilvl="1"/>
    <w:lvlOverride w:ilvl="2"/>
    <w:lvlOverride w:ilvl="3"/>
    <w:lvlOverride w:ilvl="4"/>
    <w:lvlOverride w:ilvl="5"/>
    <w:lvlOverride w:ilvl="6"/>
    <w:lvlOverride w:ilvl="7"/>
    <w:lvlOverride w:ilvl="8"/>
  </w:num>
  <w:num w:numId="68" w16cid:durableId="951084382">
    <w:abstractNumId w:val="78"/>
    <w:lvlOverride w:ilvl="0"/>
    <w:lvlOverride w:ilvl="1"/>
    <w:lvlOverride w:ilvl="2"/>
    <w:lvlOverride w:ilvl="3"/>
    <w:lvlOverride w:ilvl="4"/>
    <w:lvlOverride w:ilvl="5"/>
    <w:lvlOverride w:ilvl="6"/>
    <w:lvlOverride w:ilvl="7"/>
    <w:lvlOverride w:ilvl="8"/>
  </w:num>
  <w:num w:numId="69" w16cid:durableId="295183325">
    <w:abstractNumId w:val="50"/>
    <w:lvlOverride w:ilvl="0"/>
    <w:lvlOverride w:ilvl="1"/>
    <w:lvlOverride w:ilvl="2"/>
    <w:lvlOverride w:ilvl="3"/>
    <w:lvlOverride w:ilvl="4"/>
    <w:lvlOverride w:ilvl="5"/>
    <w:lvlOverride w:ilvl="6"/>
    <w:lvlOverride w:ilvl="7"/>
    <w:lvlOverride w:ilvl="8"/>
  </w:num>
  <w:num w:numId="70" w16cid:durableId="1216964057">
    <w:abstractNumId w:val="6"/>
    <w:lvlOverride w:ilvl="0"/>
    <w:lvlOverride w:ilvl="1"/>
    <w:lvlOverride w:ilvl="2"/>
    <w:lvlOverride w:ilvl="3"/>
    <w:lvlOverride w:ilvl="4"/>
    <w:lvlOverride w:ilvl="5"/>
    <w:lvlOverride w:ilvl="6"/>
    <w:lvlOverride w:ilvl="7"/>
    <w:lvlOverride w:ilvl="8"/>
  </w:num>
  <w:num w:numId="71" w16cid:durableId="1112433908">
    <w:abstractNumId w:val="80"/>
    <w:lvlOverride w:ilvl="0"/>
    <w:lvlOverride w:ilvl="1"/>
    <w:lvlOverride w:ilvl="2"/>
    <w:lvlOverride w:ilvl="3"/>
    <w:lvlOverride w:ilvl="4"/>
    <w:lvlOverride w:ilvl="5"/>
    <w:lvlOverride w:ilvl="6"/>
    <w:lvlOverride w:ilvl="7"/>
    <w:lvlOverride w:ilvl="8"/>
  </w:num>
  <w:num w:numId="72" w16cid:durableId="1128552230">
    <w:abstractNumId w:val="79"/>
    <w:lvlOverride w:ilvl="0"/>
    <w:lvlOverride w:ilvl="1"/>
    <w:lvlOverride w:ilvl="2"/>
    <w:lvlOverride w:ilvl="3"/>
    <w:lvlOverride w:ilvl="4"/>
    <w:lvlOverride w:ilvl="5"/>
    <w:lvlOverride w:ilvl="6"/>
    <w:lvlOverride w:ilvl="7"/>
    <w:lvlOverride w:ilvl="8"/>
  </w:num>
  <w:num w:numId="73" w16cid:durableId="102190260">
    <w:abstractNumId w:val="25"/>
    <w:lvlOverride w:ilvl="0"/>
    <w:lvlOverride w:ilvl="1"/>
    <w:lvlOverride w:ilvl="2"/>
    <w:lvlOverride w:ilvl="3"/>
    <w:lvlOverride w:ilvl="4"/>
    <w:lvlOverride w:ilvl="5"/>
    <w:lvlOverride w:ilvl="6"/>
    <w:lvlOverride w:ilvl="7"/>
    <w:lvlOverride w:ilvl="8"/>
  </w:num>
  <w:num w:numId="74" w16cid:durableId="1382243505">
    <w:abstractNumId w:val="2"/>
    <w:lvlOverride w:ilvl="0"/>
    <w:lvlOverride w:ilvl="1"/>
    <w:lvlOverride w:ilvl="2"/>
    <w:lvlOverride w:ilvl="3"/>
    <w:lvlOverride w:ilvl="4"/>
    <w:lvlOverride w:ilvl="5"/>
    <w:lvlOverride w:ilvl="6"/>
    <w:lvlOverride w:ilvl="7"/>
    <w:lvlOverride w:ilvl="8"/>
  </w:num>
  <w:num w:numId="75" w16cid:durableId="1925063542">
    <w:abstractNumId w:val="13"/>
    <w:lvlOverride w:ilvl="0"/>
    <w:lvlOverride w:ilvl="1"/>
    <w:lvlOverride w:ilvl="2"/>
    <w:lvlOverride w:ilvl="3"/>
    <w:lvlOverride w:ilvl="4"/>
    <w:lvlOverride w:ilvl="5"/>
    <w:lvlOverride w:ilvl="6"/>
    <w:lvlOverride w:ilvl="7"/>
    <w:lvlOverride w:ilvl="8"/>
  </w:num>
  <w:num w:numId="76" w16cid:durableId="1319579768">
    <w:abstractNumId w:val="12"/>
    <w:lvlOverride w:ilvl="0"/>
    <w:lvlOverride w:ilvl="1"/>
    <w:lvlOverride w:ilvl="2"/>
    <w:lvlOverride w:ilvl="3"/>
    <w:lvlOverride w:ilvl="4"/>
    <w:lvlOverride w:ilvl="5"/>
    <w:lvlOverride w:ilvl="6"/>
    <w:lvlOverride w:ilvl="7"/>
    <w:lvlOverride w:ilvl="8"/>
  </w:num>
  <w:num w:numId="77" w16cid:durableId="1145782249">
    <w:abstractNumId w:val="24"/>
    <w:lvlOverride w:ilvl="0"/>
    <w:lvlOverride w:ilvl="1"/>
    <w:lvlOverride w:ilvl="2"/>
    <w:lvlOverride w:ilvl="3"/>
    <w:lvlOverride w:ilvl="4"/>
    <w:lvlOverride w:ilvl="5"/>
    <w:lvlOverride w:ilvl="6"/>
    <w:lvlOverride w:ilvl="7"/>
    <w:lvlOverride w:ilvl="8"/>
  </w:num>
  <w:num w:numId="78" w16cid:durableId="1106072986">
    <w:abstractNumId w:val="83"/>
    <w:lvlOverride w:ilvl="0"/>
    <w:lvlOverride w:ilvl="1"/>
    <w:lvlOverride w:ilvl="2"/>
    <w:lvlOverride w:ilvl="3"/>
    <w:lvlOverride w:ilvl="4"/>
    <w:lvlOverride w:ilvl="5"/>
    <w:lvlOverride w:ilvl="6"/>
    <w:lvlOverride w:ilvl="7"/>
    <w:lvlOverride w:ilvl="8"/>
  </w:num>
  <w:num w:numId="79" w16cid:durableId="1240142171">
    <w:abstractNumId w:val="47"/>
    <w:lvlOverride w:ilvl="0"/>
    <w:lvlOverride w:ilvl="1"/>
    <w:lvlOverride w:ilvl="2"/>
    <w:lvlOverride w:ilvl="3"/>
    <w:lvlOverride w:ilvl="4"/>
    <w:lvlOverride w:ilvl="5"/>
    <w:lvlOverride w:ilvl="6"/>
    <w:lvlOverride w:ilvl="7"/>
    <w:lvlOverride w:ilvl="8"/>
  </w:num>
  <w:num w:numId="80" w16cid:durableId="803079656">
    <w:abstractNumId w:val="70"/>
    <w:lvlOverride w:ilvl="0"/>
    <w:lvlOverride w:ilvl="1"/>
    <w:lvlOverride w:ilvl="2"/>
    <w:lvlOverride w:ilvl="3"/>
    <w:lvlOverride w:ilvl="4"/>
    <w:lvlOverride w:ilvl="5"/>
    <w:lvlOverride w:ilvl="6"/>
    <w:lvlOverride w:ilvl="7"/>
    <w:lvlOverride w:ilvl="8"/>
  </w:num>
  <w:num w:numId="81" w16cid:durableId="1254783484">
    <w:abstractNumId w:val="64"/>
    <w:lvlOverride w:ilvl="0"/>
    <w:lvlOverride w:ilvl="1"/>
    <w:lvlOverride w:ilvl="2"/>
    <w:lvlOverride w:ilvl="3"/>
    <w:lvlOverride w:ilvl="4"/>
    <w:lvlOverride w:ilvl="5"/>
    <w:lvlOverride w:ilvl="6"/>
    <w:lvlOverride w:ilvl="7"/>
    <w:lvlOverride w:ilvl="8"/>
  </w:num>
  <w:num w:numId="82" w16cid:durableId="2104186215">
    <w:abstractNumId w:val="54"/>
    <w:lvlOverride w:ilvl="0"/>
    <w:lvlOverride w:ilvl="1"/>
    <w:lvlOverride w:ilvl="2"/>
    <w:lvlOverride w:ilvl="3"/>
    <w:lvlOverride w:ilvl="4"/>
    <w:lvlOverride w:ilvl="5"/>
    <w:lvlOverride w:ilvl="6"/>
    <w:lvlOverride w:ilvl="7"/>
    <w:lvlOverride w:ilvl="8"/>
  </w:num>
  <w:num w:numId="83" w16cid:durableId="969164716">
    <w:abstractNumId w:val="11"/>
    <w:lvlOverride w:ilvl="0"/>
    <w:lvlOverride w:ilvl="1"/>
    <w:lvlOverride w:ilvl="2"/>
    <w:lvlOverride w:ilvl="3"/>
    <w:lvlOverride w:ilvl="4"/>
    <w:lvlOverride w:ilvl="5"/>
    <w:lvlOverride w:ilvl="6"/>
    <w:lvlOverride w:ilvl="7"/>
    <w:lvlOverride w:ilvl="8"/>
  </w:num>
  <w:num w:numId="84" w16cid:durableId="22480333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81132123">
    <w:abstractNumId w:val="43"/>
    <w:lvlOverride w:ilvl="0"/>
    <w:lvlOverride w:ilvl="1"/>
    <w:lvlOverride w:ilvl="2"/>
    <w:lvlOverride w:ilvl="3"/>
    <w:lvlOverride w:ilvl="4"/>
    <w:lvlOverride w:ilvl="5"/>
    <w:lvlOverride w:ilvl="6"/>
    <w:lvlOverride w:ilvl="7"/>
    <w:lvlOverride w:ilvl="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720F"/>
    <w:rsid w:val="00513A83"/>
    <w:rsid w:val="00563070"/>
    <w:rsid w:val="0079720F"/>
    <w:rsid w:val="00DF7AE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1372C"/>
  <w15:chartTrackingRefBased/>
  <w15:docId w15:val="{699397AC-3221-7A48-8AFC-CFFC9224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70" w:after="120"/>
      <w:outlineLvl w:val="0"/>
    </w:pPr>
    <w:rPr>
      <w:b/>
      <w:bCs/>
      <w:kern w:val="36"/>
      <w:sz w:val="40"/>
      <w:szCs w:val="40"/>
    </w:rPr>
  </w:style>
  <w:style w:type="paragraph" w:styleId="Heading2">
    <w:name w:val="heading 2"/>
    <w:basedOn w:val="Normal"/>
    <w:link w:val="Heading2Char"/>
    <w:uiPriority w:val="9"/>
    <w:qFormat/>
    <w:pPr>
      <w:spacing w:before="240" w:after="120"/>
      <w:outlineLvl w:val="1"/>
    </w:pPr>
    <w:rPr>
      <w:b/>
      <w:bCs/>
      <w:sz w:val="32"/>
      <w:szCs w:val="32"/>
    </w:rPr>
  </w:style>
  <w:style w:type="paragraph" w:styleId="Heading3">
    <w:name w:val="heading 3"/>
    <w:basedOn w:val="Normal"/>
    <w:link w:val="Heading3Char"/>
    <w:uiPriority w:val="9"/>
    <w:qFormat/>
    <w:pPr>
      <w:spacing w:before="210" w:after="90"/>
      <w:outlineLvl w:val="2"/>
    </w:pPr>
    <w:rPr>
      <w:b/>
      <w:bCs/>
      <w:sz w:val="28"/>
      <w:szCs w:val="28"/>
    </w:rPr>
  </w:style>
  <w:style w:type="paragraph" w:styleId="Heading4">
    <w:name w:val="heading 4"/>
    <w:basedOn w:val="Normal"/>
    <w:link w:val="Heading4Char"/>
    <w:uiPriority w:val="9"/>
    <w:qFormat/>
    <w:pPr>
      <w:spacing w:before="180" w:after="90"/>
      <w:outlineLvl w:val="3"/>
    </w:pPr>
    <w:rPr>
      <w:b/>
      <w:bCs/>
    </w:rPr>
  </w:style>
  <w:style w:type="paragraph" w:styleId="Heading5">
    <w:name w:val="heading 5"/>
    <w:basedOn w:val="Normal"/>
    <w:link w:val="Heading5Char"/>
    <w:uiPriority w:val="9"/>
    <w:qFormat/>
    <w:pPr>
      <w:spacing w:before="180" w:after="90"/>
      <w:outlineLvl w:val="4"/>
    </w:pPr>
    <w:rPr>
      <w:b/>
      <w:bCs/>
      <w:sz w:val="20"/>
      <w:szCs w:val="20"/>
    </w:rPr>
  </w:style>
  <w:style w:type="paragraph" w:styleId="Heading6">
    <w:name w:val="heading 6"/>
    <w:basedOn w:val="Normal"/>
    <w:link w:val="Heading6Char"/>
    <w:uiPriority w:val="9"/>
    <w:qFormat/>
    <w:pPr>
      <w:spacing w:before="180" w:after="90"/>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A0DAB"/>
      <w:u w:val="single"/>
    </w:rPr>
  </w:style>
  <w:style w:type="character" w:styleId="FollowedHyperlink">
    <w:name w:val="FollowedHyperlink"/>
    <w:basedOn w:val="DefaultParagraphFont"/>
    <w:uiPriority w:val="99"/>
    <w:semiHidden/>
    <w:unhideWhenUsed/>
    <w:rPr>
      <w:color w:val="1A0DAB"/>
      <w:u w:val="single"/>
    </w:rPr>
  </w:style>
  <w:style w:type="character" w:styleId="HTMLCode">
    <w:name w:val="HTML Code"/>
    <w:basedOn w:val="DefaultParagraphFont"/>
    <w:uiPriority w:val="99"/>
    <w:semiHidden/>
    <w:unhideWhenUsed/>
    <w:rPr>
      <w:rFonts w:ascii="Menlo" w:eastAsiaTheme="minorEastAsia" w:hAnsi="Menlo" w:cs="Menlo" w:hint="default"/>
      <w:sz w:val="20"/>
      <w:szCs w:val="20"/>
      <w:shd w:val="clear" w:color="auto" w:fill="F6F8FA"/>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26"/>
      <w:szCs w:val="2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3763" w:themeColor="accent1" w:themeShade="7F"/>
      <w:sz w:val="24"/>
      <w:szCs w:val="24"/>
    </w:rPr>
  </w:style>
  <w:style w:type="character" w:customStyle="1" w:styleId="Heading4Char">
    <w:name w:val="Heading 4 Char"/>
    <w:basedOn w:val="DefaultParagraphFont"/>
    <w:link w:val="Heading4"/>
    <w:uiPriority w:val="9"/>
    <w:semiHidden/>
    <w:locked/>
    <w:rPr>
      <w:rFonts w:asciiTheme="majorHAnsi" w:eastAsiaTheme="majorEastAsia" w:hAnsiTheme="majorHAnsi" w:cstheme="majorBidi" w:hint="default"/>
      <w:i/>
      <w:iCs/>
      <w:color w:val="2F5496" w:themeColor="accent1" w:themeShade="BF"/>
      <w:sz w:val="24"/>
      <w:szCs w:val="24"/>
    </w:rPr>
  </w:style>
  <w:style w:type="character" w:customStyle="1" w:styleId="Heading5Char">
    <w:name w:val="Heading 5 Char"/>
    <w:basedOn w:val="DefaultParagraphFont"/>
    <w:link w:val="Heading5"/>
    <w:uiPriority w:val="9"/>
    <w:semiHidden/>
    <w:locked/>
    <w:rPr>
      <w:rFonts w:asciiTheme="majorHAnsi" w:eastAsiaTheme="majorEastAsia" w:hAnsiTheme="majorHAnsi" w:cstheme="majorBidi" w:hint="default"/>
      <w:color w:val="2F5496" w:themeColor="accent1" w:themeShade="BF"/>
      <w:sz w:val="24"/>
      <w:szCs w:val="24"/>
    </w:rPr>
  </w:style>
  <w:style w:type="character" w:customStyle="1" w:styleId="Heading6Char">
    <w:name w:val="Heading 6 Char"/>
    <w:basedOn w:val="DefaultParagraphFont"/>
    <w:link w:val="Heading6"/>
    <w:uiPriority w:val="9"/>
    <w:semiHidden/>
    <w:locked/>
    <w:rPr>
      <w:rFonts w:asciiTheme="majorHAnsi" w:eastAsiaTheme="majorEastAsia" w:hAnsiTheme="majorHAnsi" w:cstheme="majorBidi" w:hint="default"/>
      <w:color w:val="1F3763" w:themeColor="accent1" w:themeShade="7F"/>
      <w:sz w:val="24"/>
      <w:szCs w:val="24"/>
    </w:rPr>
  </w:style>
  <w:style w:type="paragraph" w:styleId="HTMLPreformatted">
    <w:name w:val="HTML Preformatted"/>
    <w:basedOn w:val="Normal"/>
    <w:link w:val="HTMLPreformattedChar"/>
    <w:uiPriority w:val="99"/>
    <w:semiHidden/>
    <w:unhideWhenUs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cs="Consolas" w:hint="default"/>
    </w:rPr>
  </w:style>
  <w:style w:type="paragraph" w:customStyle="1" w:styleId="msonormal0">
    <w:name w:val="msonormal"/>
    <w:basedOn w:val="Normal"/>
    <w:uiPriority w:val="99"/>
    <w:semiHidden/>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table" w:styleId="TableGrid">
    <w:name w:val="Table Grid"/>
    <w:basedOn w:val="TableNormal"/>
    <w:uiPriority w:val="39"/>
    <w:rsid w:val="00513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30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74591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hep.31060" TargetMode="External"/><Relationship Id="rId18" Type="http://schemas.openxmlformats.org/officeDocument/2006/relationships/hyperlink" Target="https://doi.org/10.1001/jama.2012.186" TargetMode="External"/><Relationship Id="rId26" Type="http://schemas.openxmlformats.org/officeDocument/2006/relationships/hyperlink" Target="https://doi.org/10.1002/hep.30145" TargetMode="External"/><Relationship Id="rId39" Type="http://schemas.openxmlformats.org/officeDocument/2006/relationships/hyperlink" Target="https://doi.org/10.1016/j.jhep.2025.03.017" TargetMode="External"/><Relationship Id="rId21" Type="http://schemas.openxmlformats.org/officeDocument/2006/relationships/hyperlink" Target="https://doi.org/10.1007/s12072-025-10894-4" TargetMode="External"/><Relationship Id="rId34" Type="http://schemas.openxmlformats.org/officeDocument/2006/relationships/hyperlink" Target="https://doi.org/10.1136/gutjnl-2024-333171" TargetMode="External"/><Relationship Id="rId42" Type="http://schemas.openxmlformats.org/officeDocument/2006/relationships/hyperlink" Target="https://doi.org/10.1038/s41392-024-02072-z" TargetMode="External"/><Relationship Id="rId7" Type="http://schemas.openxmlformats.org/officeDocument/2006/relationships/hyperlink" Target="https://doi.org/10.14309/ajg.0000000000001259" TargetMode="External"/><Relationship Id="rId2" Type="http://schemas.openxmlformats.org/officeDocument/2006/relationships/styles" Target="styles.xml"/><Relationship Id="rId16" Type="http://schemas.openxmlformats.org/officeDocument/2006/relationships/hyperlink" Target="https://doi.org/10.5694/mja2.70008" TargetMode="External"/><Relationship Id="rId29" Type="http://schemas.openxmlformats.org/officeDocument/2006/relationships/hyperlink" Target="https://doi.org/10.1136/gutjnl-2017-314924" TargetMode="External"/><Relationship Id="rId1" Type="http://schemas.openxmlformats.org/officeDocument/2006/relationships/numbering" Target="numbering.xml"/><Relationship Id="rId6" Type="http://schemas.openxmlformats.org/officeDocument/2006/relationships/hyperlink" Target="https://doi.org/10.1016/j.jhep.2025.03.017" TargetMode="External"/><Relationship Id="rId11" Type="http://schemas.openxmlformats.org/officeDocument/2006/relationships/hyperlink" Target="https://doi.org/10.1007/s12072-015-9675-4" TargetMode="External"/><Relationship Id="rId24" Type="http://schemas.openxmlformats.org/officeDocument/2006/relationships/hyperlink" Target="https://doi.org/10.1038/ajg.2017.469" TargetMode="External"/><Relationship Id="rId32" Type="http://schemas.openxmlformats.org/officeDocument/2006/relationships/hyperlink" Target="https://doi.org/10.1016/j.jhep.2025.03.018" TargetMode="External"/><Relationship Id="rId37" Type="http://schemas.openxmlformats.org/officeDocument/2006/relationships/hyperlink" Target="https://doi.org/10.1016/j.jhep.2024.04.031" TargetMode="External"/><Relationship Id="rId40" Type="http://schemas.openxmlformats.org/officeDocument/2006/relationships/hyperlink" Target="https://doi.org/10.1016/j.jhep.2021.05.025" TargetMode="External"/><Relationship Id="rId45" Type="http://schemas.openxmlformats.org/officeDocument/2006/relationships/theme" Target="theme/theme1.xml"/><Relationship Id="rId5" Type="http://schemas.openxmlformats.org/officeDocument/2006/relationships/hyperlink" Target="https://doi.org/10.1136/gutjnl-2017-314924" TargetMode="External"/><Relationship Id="rId15" Type="http://schemas.openxmlformats.org/officeDocument/2006/relationships/hyperlink" Target="https://doi.org/10.1016/j.jhep.2024.04.031" TargetMode="External"/><Relationship Id="rId23" Type="http://schemas.openxmlformats.org/officeDocument/2006/relationships/hyperlink" Target="https://doi.org/10.1111/liv.14086" TargetMode="External"/><Relationship Id="rId28" Type="http://schemas.openxmlformats.org/officeDocument/2006/relationships/hyperlink" Target="https://doi.org/10.1002/hep.31884" TargetMode="External"/><Relationship Id="rId36" Type="http://schemas.openxmlformats.org/officeDocument/2006/relationships/hyperlink" Target="https://doi.org/10.3350/cmh.2024.0506" TargetMode="External"/><Relationship Id="rId10" Type="http://schemas.openxmlformats.org/officeDocument/2006/relationships/hyperlink" Target="https://doi.org/10.1016/j.jhep.2025.03.018" TargetMode="External"/><Relationship Id="rId19" Type="http://schemas.openxmlformats.org/officeDocument/2006/relationships/hyperlink" Target="https://doi.org/10.1001/jama.2023.5997" TargetMode="External"/><Relationship Id="rId31" Type="http://schemas.openxmlformats.org/officeDocument/2006/relationships/hyperlink" Target="https://doi.org/10.14309/ajg.000000000000125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s41392-024-02072-z" TargetMode="External"/><Relationship Id="rId14" Type="http://schemas.openxmlformats.org/officeDocument/2006/relationships/hyperlink" Target="https://doi.org/10.1136/gutjnl-2024-333171" TargetMode="External"/><Relationship Id="rId22" Type="http://schemas.openxmlformats.org/officeDocument/2006/relationships/hyperlink" Target="https://doi.org/10.1002/hep.30866" TargetMode="External"/><Relationship Id="rId27" Type="http://schemas.openxmlformats.org/officeDocument/2006/relationships/hyperlink" Target="https://doi.org/10.1016/j.jhep.2024.11.007" TargetMode="External"/><Relationship Id="rId30" Type="http://schemas.openxmlformats.org/officeDocument/2006/relationships/hyperlink" Target="https://doi.org/10.1016/j.jhep.2025.03.017" TargetMode="External"/><Relationship Id="rId35" Type="http://schemas.openxmlformats.org/officeDocument/2006/relationships/hyperlink" Target="https://doi.org/10.1053/j.gastro.2021.07.049" TargetMode="External"/><Relationship Id="rId43" Type="http://schemas.openxmlformats.org/officeDocument/2006/relationships/hyperlink" Target="https://doi.org/10.1097/hep.0000000000001549" TargetMode="External"/><Relationship Id="rId8" Type="http://schemas.openxmlformats.org/officeDocument/2006/relationships/hyperlink" Target="https://doi.org/10.1111/anae.15956" TargetMode="External"/><Relationship Id="rId3" Type="http://schemas.openxmlformats.org/officeDocument/2006/relationships/settings" Target="settings.xml"/><Relationship Id="rId12" Type="http://schemas.openxmlformats.org/officeDocument/2006/relationships/hyperlink" Target="https://doi.org/10.1053/j.gastro.2026.03.006" TargetMode="External"/><Relationship Id="rId17" Type="http://schemas.openxmlformats.org/officeDocument/2006/relationships/hyperlink" Target="https://doi.org/10.1016/j.jhep.2019.08.008" TargetMode="External"/><Relationship Id="rId25" Type="http://schemas.openxmlformats.org/officeDocument/2006/relationships/hyperlink" Target="https://doi.org/10.3390/nu16071025" TargetMode="External"/><Relationship Id="rId33" Type="http://schemas.openxmlformats.org/officeDocument/2006/relationships/hyperlink" Target="https://doi.org/10.1007/s12072-015-9675-4" TargetMode="External"/><Relationship Id="rId38" Type="http://schemas.openxmlformats.org/officeDocument/2006/relationships/hyperlink" Target="https://doi.org/10.1016/j.jhep.2025.03.018" TargetMode="External"/><Relationship Id="rId20" Type="http://schemas.openxmlformats.org/officeDocument/2006/relationships/hyperlink" Target="https://doi.org/10.1136/gutjnl-2017-314924" TargetMode="External"/><Relationship Id="rId41" Type="http://schemas.openxmlformats.org/officeDocument/2006/relationships/hyperlink" Target="https://doi.org/10.1053/j.gastro.2026.03.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7740</Words>
  <Characters>44124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Vera Answer 2</vt:lpstr>
    </vt:vector>
  </TitlesOfParts>
  <Company/>
  <LinksUpToDate>false</LinksUpToDate>
  <CharactersWithSpaces>51761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 Answer 2</dc:title>
  <dc:subject/>
  <dc:creator>clinicalrythm</dc:creator>
  <cp:keywords/>
  <dc:description/>
  <cp:lastModifiedBy>clinicalrythm</cp:lastModifiedBy>
  <cp:revision>3</cp:revision>
  <dcterms:created xsi:type="dcterms:W3CDTF">2026-07-11T17:05:00Z</dcterms:created>
  <dcterms:modified xsi:type="dcterms:W3CDTF">2026-07-11T17:24:00Z</dcterms:modified>
</cp:coreProperties>
</file>