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00000">
      <w:pPr>
        <w:pStyle w:val="NormalWeb"/>
        <w:divId w:val="1134249569"/>
        <w:rPr>
          <w:rFonts w:ascii="Arial" w:hAnsi="Arial" w:cs="Arial"/>
          <w:color w:val="111111"/>
        </w:rPr>
      </w:pPr>
      <w:r>
        <w:rPr>
          <w:rFonts w:ascii="Arial" w:hAnsi="Arial" w:cs="Arial"/>
          <w:color w:val="111111"/>
        </w:rPr>
        <w:t xml:space="preserve">This patient with colon cancer presenting with urinary retention and lower limb weakness is a spinal cord/cauda equina emergency until proven otherwise. The most critical diagnosis is Metastatic Spinal Cord Compression (MSCC) or Cauda Equina Syndrome (CES) from spinal metastases.In a patient with colon cancer presenting with urinary retention and lower limb weakness, </w:t>
      </w:r>
      <w:r>
        <w:rPr>
          <w:rStyle w:val="Strong"/>
          <w:rFonts w:ascii="Arial" w:hAnsi="Arial" w:cs="Arial"/>
          <w:color w:val="111111"/>
        </w:rPr>
        <w:t>Metastatic Spinal Cord Compression (MSCC)</w:t>
      </w:r>
      <w:r>
        <w:rPr>
          <w:rFonts w:ascii="Arial" w:hAnsi="Arial" w:cs="Arial"/>
          <w:color w:val="111111"/>
        </w:rPr>
        <w:t xml:space="preserve"> or </w:t>
      </w:r>
      <w:r>
        <w:rPr>
          <w:rStyle w:val="Strong"/>
          <w:rFonts w:ascii="Arial" w:hAnsi="Arial" w:cs="Arial"/>
          <w:color w:val="111111"/>
        </w:rPr>
        <w:t>Cauda Equina Syndrome (CES)</w:t>
      </w:r>
      <w:r>
        <w:rPr>
          <w:rFonts w:ascii="Arial" w:hAnsi="Arial" w:cs="Arial"/>
          <w:color w:val="111111"/>
        </w:rPr>
        <w:t xml:space="preserve"> from spinal metastasis must be treated as an </w:t>
      </w:r>
      <w:r>
        <w:rPr>
          <w:rStyle w:val="Strong"/>
          <w:rFonts w:ascii="Arial" w:hAnsi="Arial" w:cs="Arial"/>
          <w:color w:val="111111"/>
        </w:rPr>
        <w:t>oncologic emergency</w:t>
      </w:r>
      <w:r>
        <w:rPr>
          <w:rFonts w:ascii="Arial" w:hAnsi="Arial" w:cs="Arial"/>
          <w:color w:val="111111"/>
        </w:rPr>
        <w:t xml:space="preserve"> until proven otherwise </w:t>
      </w:r>
      <w:hyperlink r:id="rId5" w:history="1">
        <w:r>
          <w:rPr>
            <w:rStyle w:val="Hyperlink"/>
            <w:rFonts w:ascii="Arial" w:hAnsi="Arial" w:cs="Arial"/>
          </w:rPr>
          <w:t>5</w:t>
        </w:r>
      </w:hyperlink>
      <w:r>
        <w:rPr>
          <w:rFonts w:ascii="Arial" w:hAnsi="Arial" w:cs="Arial"/>
          <w:color w:val="111111"/>
        </w:rPr>
        <w:t>.</w:t>
      </w:r>
    </w:p>
    <w:p w:rsidR="00000000" w:rsidRDefault="003D3CAA">
      <w:pPr>
        <w:divId w:val="1134249569"/>
        <w:rPr>
          <w:rFonts w:ascii="Arial" w:eastAsia="Times New Roman" w:hAnsi="Arial" w:cs="Arial"/>
          <w:color w:val="111111"/>
        </w:rPr>
      </w:pPr>
      <w:r>
        <w:rPr>
          <w:rFonts w:ascii="Arial" w:eastAsia="Times New Roman" w:hAnsi="Arial" w:cs="Arial"/>
          <w:noProof/>
          <w:color w:val="111111"/>
        </w:rPr>
        <w:pict>
          <v:rect id="_x0000_i1029" alt="" style="width:451.3pt;height:.05pt;mso-width-percent:0;mso-height-percent:0;mso-width-percent:0;mso-height-percent:0" o:hralign="center" o:hrstd="t" o:hr="t" fillcolor="#a0a0a0" stroked="f"/>
        </w:pict>
      </w:r>
    </w:p>
    <w:p w:rsidR="00000000" w:rsidRDefault="00000000">
      <w:pPr>
        <w:pStyle w:val="Heading2"/>
        <w:divId w:val="1134249569"/>
        <w:rPr>
          <w:rFonts w:ascii="Arial" w:eastAsia="Times New Roman" w:hAnsi="Arial" w:cs="Arial"/>
          <w:color w:val="111111"/>
        </w:rPr>
      </w:pPr>
      <w:r>
        <w:rPr>
          <w:rFonts w:ascii="Arial" w:eastAsia="Times New Roman" w:hAnsi="Arial" w:cs="Arial"/>
          <w:color w:val="111111"/>
        </w:rPr>
        <w:t>History</w:t>
      </w:r>
    </w:p>
    <w:p w:rsidR="00000000" w:rsidRDefault="00000000">
      <w:pPr>
        <w:pStyle w:val="NormalWeb"/>
        <w:divId w:val="1134249569"/>
        <w:rPr>
          <w:rFonts w:ascii="Arial" w:hAnsi="Arial" w:cs="Arial"/>
          <w:color w:val="111111"/>
        </w:rPr>
      </w:pPr>
      <w:r>
        <w:rPr>
          <w:rStyle w:val="Strong"/>
          <w:rFonts w:ascii="Arial" w:hAnsi="Arial" w:cs="Arial"/>
          <w:color w:val="111111"/>
        </w:rPr>
        <w:t>Onset and neurological timeline (most critical):</w:t>
      </w:r>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When did leg weakness begin? Rate of progression (hours vs. days)?</w:t>
      </w:r>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Onset and character of urinary symptoms: inability to initiate micturition, sensation of incomplete voiding, overflow incontinence, or painless retention?</w:t>
      </w:r>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 xml:space="preserve">New or worsening </w:t>
      </w:r>
      <w:r>
        <w:rPr>
          <w:rStyle w:val="Strong"/>
          <w:rFonts w:ascii="Arial" w:eastAsia="Times New Roman" w:hAnsi="Arial" w:cs="Arial"/>
          <w:color w:val="111111"/>
        </w:rPr>
        <w:t>back pain</w:t>
      </w:r>
      <w:r>
        <w:rPr>
          <w:rFonts w:ascii="Arial" w:eastAsia="Times New Roman" w:hAnsi="Arial" w:cs="Arial"/>
          <w:color w:val="111111"/>
        </w:rPr>
        <w:t xml:space="preserve"> (characteristically progressive, worse supine/at night) — preceding neurological symptoms in &gt;90% of MSCC</w:t>
      </w:r>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Bowel changes: fecal incontinence, loss of rectal fullness sensation</w:t>
      </w:r>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Saddle/perianal/perineal sensory disturbance</w:t>
      </w:r>
      <w:r>
        <w:rPr>
          <w:rFonts w:ascii="Arial" w:eastAsia="Times New Roman" w:hAnsi="Arial" w:cs="Arial"/>
          <w:color w:val="111111"/>
        </w:rPr>
        <w:t xml:space="preserve"> — key red flag for CES </w:t>
      </w:r>
      <w:hyperlink r:id="rId6" w:history="1">
        <w:r>
          <w:rPr>
            <w:rStyle w:val="Hyperlink"/>
            <w:rFonts w:ascii="Arial" w:eastAsia="Times New Roman" w:hAnsi="Arial" w:cs="Arial"/>
          </w:rPr>
          <w:t>3</w:t>
        </w:r>
      </w:hyperlink>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Bilateral vs. unilateral radicular/sciatic leg pain</w:t>
      </w:r>
    </w:p>
    <w:p w:rsidR="00000000" w:rsidRDefault="00000000">
      <w:pPr>
        <w:numPr>
          <w:ilvl w:val="0"/>
          <w:numId w:val="1"/>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Sexual dysfunction</w:t>
      </w:r>
    </w:p>
    <w:p w:rsidR="00000000" w:rsidRDefault="00000000">
      <w:pPr>
        <w:pStyle w:val="NormalWeb"/>
        <w:divId w:val="1134249569"/>
        <w:rPr>
          <w:rFonts w:ascii="Arial" w:hAnsi="Arial" w:cs="Arial"/>
          <w:color w:val="111111"/>
        </w:rPr>
      </w:pPr>
      <w:r>
        <w:rPr>
          <w:rStyle w:val="Strong"/>
          <w:rFonts w:ascii="Arial" w:hAnsi="Arial" w:cs="Arial"/>
          <w:color w:val="111111"/>
        </w:rPr>
        <w:t>Oncologic context:</w:t>
      </w:r>
    </w:p>
    <w:p w:rsidR="00000000" w:rsidRDefault="00000000">
      <w:pPr>
        <w:numPr>
          <w:ilvl w:val="0"/>
          <w:numId w:val="2"/>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Stage of colon cancer, known metastases (liver, lung, peritoneum, bone)</w:t>
      </w:r>
    </w:p>
    <w:p w:rsidR="00000000" w:rsidRDefault="00000000">
      <w:pPr>
        <w:numPr>
          <w:ilvl w:val="0"/>
          <w:numId w:val="2"/>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Prior surgery, chemotherapy, radiotherapy to spine</w:t>
      </w:r>
    </w:p>
    <w:p w:rsidR="00000000" w:rsidRDefault="00000000">
      <w:pPr>
        <w:numPr>
          <w:ilvl w:val="0"/>
          <w:numId w:val="2"/>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Recent systemic treatment changes</w:t>
      </w:r>
    </w:p>
    <w:p w:rsidR="00000000" w:rsidRDefault="00000000">
      <w:pPr>
        <w:numPr>
          <w:ilvl w:val="0"/>
          <w:numId w:val="2"/>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Constitutional symptoms: weight loss, fatigue</w:t>
      </w:r>
    </w:p>
    <w:p w:rsidR="00000000" w:rsidRDefault="003D3CAA">
      <w:pPr>
        <w:divId w:val="1134249569"/>
        <w:rPr>
          <w:rFonts w:ascii="Arial" w:eastAsia="Times New Roman" w:hAnsi="Arial" w:cs="Arial"/>
          <w:color w:val="111111"/>
        </w:rPr>
      </w:pPr>
      <w:r>
        <w:rPr>
          <w:rFonts w:ascii="Arial" w:eastAsia="Times New Roman" w:hAnsi="Arial" w:cs="Arial"/>
          <w:noProof/>
          <w:color w:val="111111"/>
        </w:rPr>
        <w:pict>
          <v:rect id="_x0000_i1028" alt="" style="width:451.3pt;height:.05pt;mso-width-percent:0;mso-height-percent:0;mso-width-percent:0;mso-height-percent:0" o:hralign="center" o:hrstd="t" o:hr="t" fillcolor="#a0a0a0" stroked="f"/>
        </w:pict>
      </w:r>
    </w:p>
    <w:p w:rsidR="00000000" w:rsidRDefault="00000000">
      <w:pPr>
        <w:pStyle w:val="Heading2"/>
        <w:divId w:val="1134249569"/>
        <w:rPr>
          <w:rFonts w:ascii="Arial" w:eastAsia="Times New Roman" w:hAnsi="Arial" w:cs="Arial"/>
          <w:color w:val="111111"/>
        </w:rPr>
      </w:pPr>
      <w:r>
        <w:rPr>
          <w:rFonts w:ascii="Arial" w:eastAsia="Times New Roman" w:hAnsi="Arial" w:cs="Arial"/>
          <w:color w:val="111111"/>
        </w:rPr>
        <w:t>Physical Examination</w:t>
      </w:r>
    </w:p>
    <w:p w:rsidR="00000000" w:rsidRDefault="00000000">
      <w:pPr>
        <w:pStyle w:val="NormalWeb"/>
        <w:divId w:val="1134249569"/>
        <w:rPr>
          <w:rFonts w:ascii="Arial" w:hAnsi="Arial" w:cs="Arial"/>
          <w:color w:val="111111"/>
        </w:rPr>
      </w:pPr>
      <w:r>
        <w:rPr>
          <w:rStyle w:val="Strong"/>
          <w:rFonts w:ascii="Arial" w:hAnsi="Arial" w:cs="Arial"/>
          <w:color w:val="111111"/>
        </w:rPr>
        <w:t>Neurological (ranked by urgency):</w:t>
      </w:r>
    </w:p>
    <w:tbl>
      <w:tblPr>
        <w:tblW w:w="5000" w:type="pct"/>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2683"/>
        <w:gridCol w:w="3967"/>
        <w:gridCol w:w="2360"/>
      </w:tblGrid>
      <w:tr w:rsidR="00000000">
        <w:trPr>
          <w:divId w:val="1134249569"/>
          <w:tblHeader/>
        </w:trPr>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000000" w:rsidRDefault="00000000">
            <w:pPr>
              <w:spacing w:before="150" w:after="150"/>
              <w:jc w:val="center"/>
              <w:rPr>
                <w:rFonts w:ascii="Arial" w:eastAsia="Times New Roman" w:hAnsi="Arial" w:cs="Arial"/>
                <w:b/>
                <w:bCs/>
                <w:color w:val="111111"/>
              </w:rPr>
            </w:pPr>
            <w:r>
              <w:rPr>
                <w:rFonts w:ascii="Arial" w:eastAsia="Times New Roman" w:hAnsi="Arial" w:cs="Arial"/>
                <w:b/>
                <w:bCs/>
                <w:color w:val="111111"/>
              </w:rPr>
              <w:t>Examination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000000" w:rsidRDefault="00000000">
            <w:pPr>
              <w:spacing w:before="150" w:after="150"/>
              <w:jc w:val="center"/>
              <w:rPr>
                <w:rFonts w:ascii="Arial" w:eastAsia="Times New Roman" w:hAnsi="Arial" w:cs="Arial"/>
                <w:b/>
                <w:bCs/>
                <w:color w:val="111111"/>
              </w:rPr>
            </w:pPr>
            <w:r>
              <w:rPr>
                <w:rFonts w:ascii="Arial" w:eastAsia="Times New Roman" w:hAnsi="Arial" w:cs="Arial"/>
                <w:b/>
                <w:bCs/>
                <w:color w:val="111111"/>
              </w:rPr>
              <w:t>Finding Suggesting MSCC/CES</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000000" w:rsidRDefault="00000000">
            <w:pPr>
              <w:spacing w:before="150" w:after="150"/>
              <w:jc w:val="center"/>
              <w:rPr>
                <w:rFonts w:ascii="Arial" w:eastAsia="Times New Roman" w:hAnsi="Arial" w:cs="Arial"/>
                <w:b/>
                <w:bCs/>
                <w:color w:val="111111"/>
              </w:rPr>
            </w:pPr>
            <w:r>
              <w:rPr>
                <w:rFonts w:ascii="Arial" w:eastAsia="Times New Roman" w:hAnsi="Arial" w:cs="Arial"/>
                <w:b/>
                <w:bCs/>
                <w:color w:val="111111"/>
              </w:rPr>
              <w:t>Clinical Evidence</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Lower limb motor</w:t>
            </w:r>
            <w:r>
              <w:rPr>
                <w:rFonts w:ascii="Arial" w:eastAsia="Times New Roman" w:hAnsi="Arial" w:cs="Arial"/>
                <w:color w:val="111111"/>
              </w:rPr>
              <w:t xml:space="preserve"> (MRC scale)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Weakness &lt;3/5, bilateral, or progressive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Key red flag; motor deficit predicts ambulatory outcome </w:t>
            </w:r>
            <w:hyperlink r:id="rId7" w:history="1">
              <w:r>
                <w:rPr>
                  <w:rStyle w:val="Hyperlink"/>
                  <w:rFonts w:ascii="Arial" w:eastAsia="Times New Roman" w:hAnsi="Arial" w:cs="Arial"/>
                </w:rPr>
                <w:t>5</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Sensory level</w:t>
            </w:r>
            <w:r>
              <w:rPr>
                <w:rFonts w:ascii="Arial" w:eastAsia="Times New Roman" w:hAnsi="Arial" w:cs="Arial"/>
                <w:color w:val="111111"/>
              </w:rPr>
              <w:t xml:space="preserve"> (dermatomal)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Sensory deficit below a spinal level; note: level may not match metastasis site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Whole-spine MRI required regardless </w:t>
            </w:r>
            <w:hyperlink r:id="rId8" w:history="1">
              <w:r>
                <w:rPr>
                  <w:rStyle w:val="Hyperlink"/>
                  <w:rFonts w:ascii="Arial" w:eastAsia="Times New Roman" w:hAnsi="Arial" w:cs="Arial"/>
                </w:rPr>
                <w:t>3</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lastRenderedPageBreak/>
              <w:t>Saddle/perineal sensation</w:t>
            </w:r>
            <w:r>
              <w:rPr>
                <w:rFonts w:ascii="Arial" w:eastAsia="Times New Roman" w:hAnsi="Arial" w:cs="Arial"/>
                <w:color w:val="111111"/>
              </w:rPr>
              <w:t xml:space="preserve"> (S2–S5, light touch &amp; pinprick)</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Reduced perianal/perineal/saddle sensation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Included in all 9 international CES guidelines </w:t>
            </w:r>
            <w:hyperlink r:id="rId9" w:history="1">
              <w:r>
                <w:rPr>
                  <w:rStyle w:val="Hyperlink"/>
                  <w:rFonts w:ascii="Arial" w:eastAsia="Times New Roman" w:hAnsi="Arial" w:cs="Arial"/>
                </w:rPr>
                <w:t>3</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Reflexes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Hyperreflexia + upgoing plantar = cord compression; hyporeflexia + absent plantar = cauda equina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Distinguishes UMN (cord) vs. LMN (CE) lesion</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Digital rectal examination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Reduced anal sphincter tone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Required in secondary care for CES </w:t>
            </w:r>
            <w:hyperlink r:id="rId10" w:history="1">
              <w:r>
                <w:rPr>
                  <w:rStyle w:val="Hyperlink"/>
                  <w:rFonts w:ascii="Arial" w:eastAsia="Times New Roman" w:hAnsi="Arial" w:cs="Arial"/>
                </w:rPr>
                <w:t>3</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Post-void residual (PVR)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&gt;400 mL strongly supports CES/neurogenic bladder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Included in 5/9 CES guidelines </w:t>
            </w:r>
            <w:hyperlink r:id="rId11" w:history="1">
              <w:r>
                <w:rPr>
                  <w:rStyle w:val="Hyperlink"/>
                  <w:rFonts w:ascii="Arial" w:eastAsia="Times New Roman" w:hAnsi="Arial" w:cs="Arial"/>
                </w:rPr>
                <w:t>3</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Spinal percussion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Tenderness over vertebrae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Suggests bony metastasis; absence does not exclude </w:t>
            </w:r>
            <w:hyperlink r:id="rId12" w:history="1">
              <w:r>
                <w:rPr>
                  <w:rStyle w:val="Hyperlink"/>
                  <w:rFonts w:ascii="Arial" w:eastAsia="Times New Roman" w:hAnsi="Arial" w:cs="Arial"/>
                </w:rPr>
                <w:t>3</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Gait assessment</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Ataxia, inability to walk</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Ambulatory status is primary outcome predictor </w:t>
            </w:r>
            <w:hyperlink r:id="rId13" w:history="1">
              <w:r>
                <w:rPr>
                  <w:rStyle w:val="Hyperlink"/>
                  <w:rFonts w:ascii="Arial" w:eastAsia="Times New Roman" w:hAnsi="Arial" w:cs="Arial"/>
                </w:rPr>
                <w:t>4</w:t>
              </w:r>
            </w:hyperlink>
          </w:p>
        </w:tc>
      </w:tr>
    </w:tbl>
    <w:p w:rsidR="00000000" w:rsidRDefault="003D3CAA">
      <w:pPr>
        <w:divId w:val="1134249569"/>
        <w:rPr>
          <w:rFonts w:ascii="Arial" w:eastAsia="Times New Roman" w:hAnsi="Arial" w:cs="Arial"/>
          <w:color w:val="111111"/>
        </w:rPr>
      </w:pPr>
      <w:r>
        <w:rPr>
          <w:rFonts w:ascii="Arial" w:eastAsia="Times New Roman" w:hAnsi="Arial" w:cs="Arial"/>
          <w:noProof/>
          <w:color w:val="111111"/>
        </w:rPr>
        <w:pict>
          <v:rect id="_x0000_i1027" alt="" style="width:451.3pt;height:.05pt;mso-width-percent:0;mso-height-percent:0;mso-width-percent:0;mso-height-percent:0" o:hralign="center" o:hrstd="t" o:hr="t" fillcolor="#a0a0a0" stroked="f"/>
        </w:pict>
      </w:r>
    </w:p>
    <w:p w:rsidR="00000000" w:rsidRDefault="00000000">
      <w:pPr>
        <w:pStyle w:val="Heading2"/>
        <w:divId w:val="1134249569"/>
        <w:rPr>
          <w:rFonts w:ascii="Arial" w:eastAsia="Times New Roman" w:hAnsi="Arial" w:cs="Arial"/>
          <w:color w:val="111111"/>
        </w:rPr>
      </w:pPr>
      <w:r>
        <w:rPr>
          <w:rFonts w:ascii="Arial" w:eastAsia="Times New Roman" w:hAnsi="Arial" w:cs="Arial"/>
          <w:color w:val="111111"/>
        </w:rPr>
        <w:t>Differential Diagnosis</w:t>
      </w:r>
    </w:p>
    <w:tbl>
      <w:tblPr>
        <w:tblW w:w="5000" w:type="pct"/>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2792"/>
        <w:gridCol w:w="4197"/>
        <w:gridCol w:w="2021"/>
      </w:tblGrid>
      <w:tr w:rsidR="00000000">
        <w:trPr>
          <w:divId w:val="1134249569"/>
          <w:tblHeader/>
        </w:trPr>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000000" w:rsidRDefault="00000000">
            <w:pPr>
              <w:spacing w:before="150" w:after="150"/>
              <w:jc w:val="center"/>
              <w:rPr>
                <w:rFonts w:ascii="Arial" w:eastAsia="Times New Roman" w:hAnsi="Arial" w:cs="Arial"/>
                <w:b/>
                <w:bCs/>
                <w:color w:val="111111"/>
              </w:rPr>
            </w:pPr>
            <w:r>
              <w:rPr>
                <w:rFonts w:ascii="Arial" w:eastAsia="Times New Roman" w:hAnsi="Arial" w:cs="Arial"/>
                <w:b/>
                <w:bCs/>
                <w:color w:val="111111"/>
              </w:rPr>
              <w:t>Diagnosis</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000000" w:rsidRDefault="00000000">
            <w:pPr>
              <w:spacing w:before="150" w:after="150"/>
              <w:jc w:val="center"/>
              <w:rPr>
                <w:rFonts w:ascii="Arial" w:eastAsia="Times New Roman" w:hAnsi="Arial" w:cs="Arial"/>
                <w:b/>
                <w:bCs/>
                <w:color w:val="111111"/>
              </w:rPr>
            </w:pPr>
            <w:r>
              <w:rPr>
                <w:rFonts w:ascii="Arial" w:eastAsia="Times New Roman" w:hAnsi="Arial" w:cs="Arial"/>
                <w:b/>
                <w:bCs/>
                <w:color w:val="111111"/>
              </w:rPr>
              <w:t>Key Features</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000000" w:rsidRDefault="00000000">
            <w:pPr>
              <w:spacing w:before="150" w:after="150"/>
              <w:jc w:val="center"/>
              <w:rPr>
                <w:rFonts w:ascii="Arial" w:eastAsia="Times New Roman" w:hAnsi="Arial" w:cs="Arial"/>
                <w:b/>
                <w:bCs/>
                <w:color w:val="111111"/>
              </w:rPr>
            </w:pPr>
            <w:r>
              <w:rPr>
                <w:rFonts w:ascii="Arial" w:eastAsia="Times New Roman" w:hAnsi="Arial" w:cs="Arial"/>
                <w:b/>
                <w:bCs/>
                <w:color w:val="111111"/>
              </w:rPr>
              <w:t>Priority</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MSCC (epidural spinal cord compression)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Thoracic cord level (70% of cases), UMN signs, progressive back pain, known/suspected bony metastasis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Most likely — highest priority</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Cauda Equina Syndrome from sacral/lumbar metastasis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LMN pattern, saddle anaesthesia, painless retention, bilateral radiculopathy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Most likely — spinal emergency</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lastRenderedPageBreak/>
              <w:t>Leptomeningeal metastasis (LM)</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Multifocal deficits, radicular signs, cauda equina involvement, headache, cranial nerve palsies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Must not miss </w:t>
            </w:r>
            <w:hyperlink r:id="rId14" w:history="1">
              <w:r>
                <w:rPr>
                  <w:rStyle w:val="Hyperlink"/>
                  <w:rFonts w:ascii="Arial" w:eastAsia="Times New Roman" w:hAnsi="Arial" w:cs="Arial"/>
                </w:rPr>
                <w:t>9</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Lumbosacral plexopathy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Colon Ca directly invades or compresses lumbosacral plexus via pelvic/retroperitoneal nodes; no sphincter involvement early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 xml:space="preserve">Important </w:t>
            </w:r>
            <w:hyperlink r:id="rId15" w:history="1">
              <w:r>
                <w:rPr>
                  <w:rStyle w:val="Hyperlink"/>
                  <w:rFonts w:ascii="Arial" w:eastAsia="Times New Roman" w:hAnsi="Arial" w:cs="Arial"/>
                </w:rPr>
                <w:t>6</w:t>
              </w:r>
            </w:hyperlink>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Local pelvic recurrence with direct neural invasion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Pelvic/sacral pain, prior rectal/sigmoid surgery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Consider in rectal-predominant disease</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Paraneoplastic myelopathy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Subacute, MRI may be subtle, CSF inflammatory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Rare, diagnosis of exclusion</w:t>
            </w:r>
          </w:p>
        </w:tc>
      </w:tr>
      <w:tr w:rsidR="00000000">
        <w:trPr>
          <w:divId w:val="1134249569"/>
        </w:trPr>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Style w:val="Strong"/>
                <w:rFonts w:ascii="Arial" w:eastAsia="Times New Roman" w:hAnsi="Arial" w:cs="Arial"/>
                <w:color w:val="111111"/>
              </w:rPr>
              <w:t>Epidural abscess or hematoma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r>
              <w:rPr>
                <w:rFonts w:ascii="Arial" w:eastAsia="Times New Roman" w:hAnsi="Arial" w:cs="Arial"/>
                <w:color w:val="111111"/>
              </w:rPr>
              <w:t>Fever, recent procedure, anticoagulation — less likely but don't miss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000000">
            <w:pPr>
              <w:spacing w:before="150" w:after="150"/>
              <w:rPr>
                <w:rFonts w:ascii="Arial" w:eastAsia="Times New Roman" w:hAnsi="Arial" w:cs="Arial"/>
                <w:color w:val="111111"/>
              </w:rPr>
            </w:pPr>
          </w:p>
        </w:tc>
      </w:tr>
    </w:tbl>
    <w:p w:rsidR="00000000" w:rsidRDefault="003D3CAA">
      <w:pPr>
        <w:divId w:val="1134249569"/>
        <w:rPr>
          <w:rFonts w:ascii="Arial" w:eastAsia="Times New Roman" w:hAnsi="Arial" w:cs="Arial"/>
          <w:color w:val="111111"/>
        </w:rPr>
      </w:pPr>
      <w:r>
        <w:rPr>
          <w:rFonts w:ascii="Arial" w:eastAsia="Times New Roman" w:hAnsi="Arial" w:cs="Arial"/>
          <w:noProof/>
          <w:color w:val="111111"/>
        </w:rPr>
        <w:pict>
          <v:rect id="_x0000_i1026" alt="" style="width:451.3pt;height:.05pt;mso-width-percent:0;mso-height-percent:0;mso-width-percent:0;mso-height-percent:0" o:hralign="center" o:hrstd="t" o:hr="t" fillcolor="#a0a0a0" stroked="f"/>
        </w:pict>
      </w:r>
    </w:p>
    <w:p w:rsidR="00000000" w:rsidRDefault="00000000">
      <w:pPr>
        <w:pStyle w:val="Heading2"/>
        <w:divId w:val="1134249569"/>
        <w:rPr>
          <w:rFonts w:ascii="Arial" w:eastAsia="Times New Roman" w:hAnsi="Arial" w:cs="Arial"/>
          <w:color w:val="111111"/>
        </w:rPr>
      </w:pPr>
      <w:r>
        <w:rPr>
          <w:rFonts w:ascii="Arial" w:eastAsia="Times New Roman" w:hAnsi="Arial" w:cs="Arial"/>
          <w:color w:val="111111"/>
        </w:rPr>
        <w:t>Investigations</w:t>
      </w:r>
    </w:p>
    <w:p w:rsidR="00000000" w:rsidRDefault="00000000">
      <w:pPr>
        <w:pStyle w:val="NormalWeb"/>
        <w:divId w:val="1134249569"/>
        <w:rPr>
          <w:rFonts w:ascii="Arial" w:hAnsi="Arial" w:cs="Arial"/>
          <w:color w:val="111111"/>
        </w:rPr>
      </w:pPr>
      <w:r>
        <w:rPr>
          <w:rStyle w:val="Strong"/>
          <w:rFonts w:ascii="Arial" w:hAnsi="Arial" w:cs="Arial"/>
          <w:color w:val="111111"/>
        </w:rPr>
        <w:t>Urgent (initiate within hours):</w:t>
      </w:r>
    </w:p>
    <w:p w:rsidR="00000000" w:rsidRDefault="00000000">
      <w:pPr>
        <w:numPr>
          <w:ilvl w:val="0"/>
          <w:numId w:val="3"/>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Whole-spine MRI with gadolinium</w:t>
      </w:r>
      <w:r>
        <w:rPr>
          <w:rFonts w:ascii="Arial" w:eastAsia="Times New Roman" w:hAnsi="Arial" w:cs="Arial"/>
          <w:color w:val="111111"/>
        </w:rPr>
        <w:t xml:space="preserve"> — gold standard; must image entire spine as metastases are multilevel in up to 30% and sensory level does not reliably localize the lesion </w:t>
      </w:r>
      <w:hyperlink r:id="rId16" w:history="1">
        <w:r>
          <w:rPr>
            <w:rStyle w:val="Hyperlink"/>
            <w:rFonts w:ascii="Arial" w:eastAsia="Times New Roman" w:hAnsi="Arial" w:cs="Arial"/>
          </w:rPr>
          <w:t>3</w:t>
        </w:r>
      </w:hyperlink>
      <w:r>
        <w:rPr>
          <w:rFonts w:ascii="Arial" w:eastAsia="Times New Roman" w:hAnsi="Arial" w:cs="Arial"/>
          <w:color w:val="111111"/>
        </w:rPr>
        <w:t xml:space="preserve"> </w:t>
      </w:r>
      <w:hyperlink r:id="rId17" w:history="1">
        <w:r>
          <w:rPr>
            <w:rStyle w:val="Hyperlink"/>
            <w:rFonts w:ascii="Arial" w:eastAsia="Times New Roman" w:hAnsi="Arial" w:cs="Arial"/>
          </w:rPr>
          <w:t>7</w:t>
        </w:r>
      </w:hyperlink>
      <w:r>
        <w:rPr>
          <w:rFonts w:ascii="Arial" w:eastAsia="Times New Roman" w:hAnsi="Arial" w:cs="Arial"/>
          <w:color w:val="111111"/>
        </w:rPr>
        <w:t xml:space="preserve"> </w:t>
      </w:r>
    </w:p>
    <w:p w:rsidR="00000000" w:rsidRDefault="00000000">
      <w:pPr>
        <w:numPr>
          <w:ilvl w:val="1"/>
          <w:numId w:val="3"/>
        </w:numPr>
        <w:spacing w:before="100" w:beforeAutospacing="1" w:after="100" w:afterAutospacing="1"/>
        <w:divId w:val="1134249569"/>
        <w:rPr>
          <w:rFonts w:ascii="Arial" w:eastAsia="Times New Roman" w:hAnsi="Arial" w:cs="Arial"/>
          <w:color w:val="111111"/>
        </w:rPr>
      </w:pPr>
      <w:r>
        <w:rPr>
          <w:rFonts w:ascii="Arial" w:eastAsia="Times New Roman" w:hAnsi="Arial" w:cs="Arial"/>
          <w:color w:val="111111"/>
        </w:rPr>
        <w:t>If MRI contraindicated: CT whole spine without/with IV contrast</w:t>
      </w:r>
    </w:p>
    <w:p w:rsidR="00000000" w:rsidRDefault="00000000">
      <w:pPr>
        <w:numPr>
          <w:ilvl w:val="0"/>
          <w:numId w:val="3"/>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Bladder scan (post-void residual)</w:t>
      </w:r>
      <w:r>
        <w:rPr>
          <w:rFonts w:ascii="Arial" w:eastAsia="Times New Roman" w:hAnsi="Arial" w:cs="Arial"/>
          <w:color w:val="111111"/>
        </w:rPr>
        <w:t xml:space="preserve"> — PVR &gt;400 mL supports neurogenic retention; insert urinary catheter if retention confirmed</w:t>
      </w:r>
    </w:p>
    <w:p w:rsidR="00000000" w:rsidRDefault="00000000">
      <w:pPr>
        <w:numPr>
          <w:ilvl w:val="0"/>
          <w:numId w:val="3"/>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Neurological examination documentation</w:t>
      </w:r>
      <w:r>
        <w:rPr>
          <w:rFonts w:ascii="Arial" w:eastAsia="Times New Roman" w:hAnsi="Arial" w:cs="Arial"/>
          <w:color w:val="111111"/>
        </w:rPr>
        <w:t xml:space="preserve"> using validated scale (ASIA or Frankel scale)</w:t>
      </w:r>
    </w:p>
    <w:p w:rsidR="00000000" w:rsidRDefault="00000000">
      <w:pPr>
        <w:pStyle w:val="NormalWeb"/>
        <w:divId w:val="1134249569"/>
        <w:rPr>
          <w:rFonts w:ascii="Arial" w:hAnsi="Arial" w:cs="Arial"/>
          <w:color w:val="111111"/>
        </w:rPr>
      </w:pPr>
      <w:r>
        <w:rPr>
          <w:rStyle w:val="Strong"/>
          <w:rFonts w:ascii="Arial" w:hAnsi="Arial" w:cs="Arial"/>
          <w:color w:val="111111"/>
        </w:rPr>
        <w:t>Concurrent oncologic workup:</w:t>
      </w:r>
    </w:p>
    <w:p w:rsidR="00000000" w:rsidRDefault="00000000">
      <w:pPr>
        <w:numPr>
          <w:ilvl w:val="0"/>
          <w:numId w:val="4"/>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CT chest/abdomen/pelvis</w:t>
      </w:r>
      <w:r>
        <w:rPr>
          <w:rFonts w:ascii="Arial" w:eastAsia="Times New Roman" w:hAnsi="Arial" w:cs="Arial"/>
          <w:color w:val="111111"/>
        </w:rPr>
        <w:t xml:space="preserve"> (contrast) — assess extent of systemic metastases, direct pelvic invasion, retroperitoneal lymphadenopathy </w:t>
      </w:r>
      <w:hyperlink r:id="rId18" w:history="1">
        <w:r>
          <w:rPr>
            <w:rStyle w:val="Hyperlink"/>
            <w:rFonts w:ascii="Arial" w:eastAsia="Times New Roman" w:hAnsi="Arial" w:cs="Arial"/>
          </w:rPr>
          <w:t>7</w:t>
        </w:r>
      </w:hyperlink>
    </w:p>
    <w:p w:rsidR="00000000" w:rsidRDefault="00000000">
      <w:pPr>
        <w:numPr>
          <w:ilvl w:val="0"/>
          <w:numId w:val="4"/>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Bloods</w:t>
      </w:r>
      <w:r>
        <w:rPr>
          <w:rFonts w:ascii="Arial" w:eastAsia="Times New Roman" w:hAnsi="Arial" w:cs="Arial"/>
          <w:color w:val="111111"/>
        </w:rPr>
        <w:t>: FBC, renal/liver function, CRP, ALP (bone), CEA, albumin</w:t>
      </w:r>
    </w:p>
    <w:p w:rsidR="00000000" w:rsidRDefault="00000000">
      <w:pPr>
        <w:numPr>
          <w:ilvl w:val="0"/>
          <w:numId w:val="4"/>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If MRI shows epidural disease without known primary</w:t>
      </w:r>
      <w:r>
        <w:rPr>
          <w:rFonts w:ascii="Arial" w:eastAsia="Times New Roman" w:hAnsi="Arial" w:cs="Arial"/>
          <w:color w:val="111111"/>
        </w:rPr>
        <w:t xml:space="preserve">: PSA, tissue biopsy under CT guidance or from accessible lesion </w:t>
      </w:r>
      <w:hyperlink r:id="rId19" w:history="1">
        <w:r>
          <w:rPr>
            <w:rStyle w:val="Hyperlink"/>
            <w:rFonts w:ascii="Arial" w:eastAsia="Times New Roman" w:hAnsi="Arial" w:cs="Arial"/>
          </w:rPr>
          <w:t>7</w:t>
        </w:r>
      </w:hyperlink>
    </w:p>
    <w:p w:rsidR="00000000" w:rsidRDefault="00000000">
      <w:pPr>
        <w:numPr>
          <w:ilvl w:val="0"/>
          <w:numId w:val="4"/>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lastRenderedPageBreak/>
        <w:t>CSF analysis (LP)</w:t>
      </w:r>
      <w:r>
        <w:rPr>
          <w:rFonts w:ascii="Arial" w:eastAsia="Times New Roman" w:hAnsi="Arial" w:cs="Arial"/>
          <w:color w:val="111111"/>
        </w:rPr>
        <w:t xml:space="preserve"> if leptomeningeal disease suspected after MRI: cytology, protein, glucose, opening pressure </w:t>
      </w:r>
      <w:hyperlink r:id="rId20" w:history="1">
        <w:r>
          <w:rPr>
            <w:rStyle w:val="Hyperlink"/>
            <w:rFonts w:ascii="Arial" w:eastAsia="Times New Roman" w:hAnsi="Arial" w:cs="Arial"/>
          </w:rPr>
          <w:t>9</w:t>
        </w:r>
      </w:hyperlink>
    </w:p>
    <w:p w:rsidR="00000000" w:rsidRDefault="00000000">
      <w:pPr>
        <w:numPr>
          <w:ilvl w:val="0"/>
          <w:numId w:val="4"/>
        </w:numPr>
        <w:spacing w:before="100" w:beforeAutospacing="1" w:after="100" w:afterAutospacing="1"/>
        <w:divId w:val="1134249569"/>
        <w:rPr>
          <w:rFonts w:ascii="Arial" w:eastAsia="Times New Roman" w:hAnsi="Arial" w:cs="Arial"/>
          <w:color w:val="111111"/>
        </w:rPr>
      </w:pPr>
      <w:r>
        <w:rPr>
          <w:rStyle w:val="Strong"/>
          <w:rFonts w:ascii="Arial" w:eastAsia="Times New Roman" w:hAnsi="Arial" w:cs="Arial"/>
          <w:color w:val="111111"/>
        </w:rPr>
        <w:t>MRI brain</w:t>
      </w:r>
      <w:r>
        <w:rPr>
          <w:rFonts w:ascii="Arial" w:eastAsia="Times New Roman" w:hAnsi="Arial" w:cs="Arial"/>
          <w:color w:val="111111"/>
        </w:rPr>
        <w:t xml:space="preserve"> if multifocal deficits or cranial nerve findings suggest LM</w:t>
      </w:r>
    </w:p>
    <w:p w:rsidR="00000000" w:rsidRDefault="003D3CAA">
      <w:pPr>
        <w:divId w:val="1134249569"/>
        <w:rPr>
          <w:rFonts w:ascii="Arial" w:eastAsia="Times New Roman" w:hAnsi="Arial" w:cs="Arial"/>
          <w:color w:val="111111"/>
        </w:rPr>
      </w:pPr>
      <w:r>
        <w:rPr>
          <w:rFonts w:ascii="Arial" w:eastAsia="Times New Roman" w:hAnsi="Arial" w:cs="Arial"/>
          <w:noProof/>
          <w:color w:val="111111"/>
        </w:rPr>
        <w:pict>
          <v:rect id="_x0000_i1025" alt="" style="width:451.3pt;height:.05pt;mso-width-percent:0;mso-height-percent:0;mso-width-percent:0;mso-height-percent:0" o:hralign="center" o:hrstd="t" o:hr="t" fillcolor="#a0a0a0" stroked="f"/>
        </w:pict>
      </w:r>
    </w:p>
    <w:p w:rsidR="00000000" w:rsidRDefault="00000000">
      <w:pPr>
        <w:pStyle w:val="NormalWeb"/>
        <w:divId w:val="1134249569"/>
        <w:rPr>
          <w:rFonts w:ascii="Arial" w:hAnsi="Arial" w:cs="Arial"/>
          <w:color w:val="111111"/>
        </w:rPr>
      </w:pPr>
      <w:r>
        <w:rPr>
          <w:rStyle w:val="Strong"/>
          <w:rFonts w:ascii="Arial" w:hAnsi="Arial" w:cs="Arial"/>
          <w:color w:val="111111"/>
        </w:rPr>
        <w:t>Critical clinical pearl:</w:t>
      </w:r>
      <w:r>
        <w:rPr>
          <w:rFonts w:ascii="Arial" w:hAnsi="Arial" w:cs="Arial"/>
          <w:color w:val="111111"/>
        </w:rPr>
        <w:t xml:space="preserve"> Ambulatory status at time of treatment is the strongest predictor of post-treatment function — patients who are ambulatory before radiotherapy/surgery are far more likely to remain so. Every hour of delay risks irreversible deficit. The SuCESS score (saddle anaesthesia, reduced perianal sensation, motor weakness, bilateral sciatica, PVR, catheterization) achieves 100% sensitivity for confirmed CES at threshold ≥3 across 703 patients and can guide urgency of MRI triage </w:t>
      </w:r>
      <w:hyperlink r:id="rId21" w:history="1">
        <w:r>
          <w:rPr>
            <w:rStyle w:val="Hyperlink"/>
            <w:rFonts w:ascii="Arial" w:hAnsi="Arial" w:cs="Arial"/>
          </w:rPr>
          <w:t>4</w:t>
        </w:r>
      </w:hyperlink>
      <w:r>
        <w:rPr>
          <w:rFonts w:ascii="Arial" w:hAnsi="Arial" w:cs="Arial"/>
          <w:color w:val="111111"/>
        </w:rPr>
        <w:t>.</w:t>
      </w:r>
    </w:p>
    <w:p w:rsidR="00000000" w:rsidRDefault="00000000">
      <w:pPr>
        <w:pStyle w:val="NormalWeb"/>
        <w:divId w:val="1134249569"/>
        <w:rPr>
          <w:rFonts w:ascii="Arial" w:hAnsi="Arial" w:cs="Arial"/>
          <w:color w:val="111111"/>
        </w:rPr>
      </w:pPr>
      <w:r>
        <w:rPr>
          <w:rStyle w:val="Strong"/>
          <w:rFonts w:ascii="Arial" w:hAnsi="Arial" w:cs="Arial"/>
          <w:color w:val="111111"/>
        </w:rPr>
        <w:t>References:</w:t>
      </w:r>
    </w:p>
    <w:p w:rsidR="00000000" w:rsidRDefault="00000000">
      <w:pPr>
        <w:pStyle w:val="NormalWeb"/>
        <w:divId w:val="1134249569"/>
        <w:rPr>
          <w:rFonts w:ascii="Arial" w:hAnsi="Arial" w:cs="Arial"/>
          <w:color w:val="111111"/>
        </w:rPr>
      </w:pPr>
      <w:r>
        <w:rPr>
          <w:rFonts w:ascii="Arial" w:hAnsi="Arial" w:cs="Arial"/>
          <w:color w:val="111111"/>
        </w:rPr>
        <w:t xml:space="preserve">1. </w:t>
      </w:r>
      <w:hyperlink r:id="rId22" w:history="1">
        <w:r>
          <w:rPr>
            <w:rStyle w:val="Hyperlink"/>
            <w:rFonts w:ascii="Arial" w:hAnsi="Arial" w:cs="Arial"/>
          </w:rPr>
          <w:t>Assessment and Management of Patients With Metastatic Spinal Cord Compression: A Multidisciplinary Review</w:t>
        </w:r>
      </w:hyperlink>
      <w:r>
        <w:rPr>
          <w:rFonts w:ascii="Arial" w:hAnsi="Arial" w:cs="Arial"/>
          <w:color w:val="111111"/>
        </w:rPr>
        <w:t xml:space="preserve"> 2018. DOI: 10.1200/jco.2018.78.1211</w:t>
      </w:r>
    </w:p>
    <w:p w:rsidR="00000000" w:rsidRDefault="00000000">
      <w:pPr>
        <w:pStyle w:val="NormalWeb"/>
        <w:divId w:val="1134249569"/>
        <w:rPr>
          <w:rFonts w:ascii="Arial" w:hAnsi="Arial" w:cs="Arial"/>
          <w:color w:val="111111"/>
        </w:rPr>
      </w:pPr>
      <w:r>
        <w:rPr>
          <w:rFonts w:ascii="Arial" w:hAnsi="Arial" w:cs="Arial"/>
          <w:color w:val="111111"/>
        </w:rPr>
        <w:t xml:space="preserve">2. </w:t>
      </w:r>
      <w:hyperlink r:id="rId23" w:history="1">
        <w:r>
          <w:rPr>
            <w:rStyle w:val="Hyperlink"/>
            <w:rFonts w:ascii="Arial" w:hAnsi="Arial" w:cs="Arial"/>
          </w:rPr>
          <w:t>Assessment and early investigation of cauda equina syndrome- a systematic review of existing international guidelines and summary of the current evidence.</w:t>
        </w:r>
      </w:hyperlink>
      <w:r>
        <w:rPr>
          <w:rFonts w:ascii="Arial" w:hAnsi="Arial" w:cs="Arial"/>
          <w:color w:val="111111"/>
        </w:rPr>
        <w:t xml:space="preserve"> 2025. DOI: 10.1007/s00586-025-08732-0</w:t>
      </w:r>
    </w:p>
    <w:p w:rsidR="00000000" w:rsidRDefault="00000000">
      <w:pPr>
        <w:pStyle w:val="NormalWeb"/>
        <w:divId w:val="1134249569"/>
        <w:rPr>
          <w:rFonts w:ascii="Arial" w:hAnsi="Arial" w:cs="Arial"/>
          <w:color w:val="111111"/>
        </w:rPr>
      </w:pPr>
      <w:r>
        <w:rPr>
          <w:rFonts w:ascii="Arial" w:hAnsi="Arial" w:cs="Arial"/>
          <w:color w:val="111111"/>
        </w:rPr>
        <w:t xml:space="preserve">3. </w:t>
      </w:r>
      <w:hyperlink r:id="rId24" w:history="1">
        <w:r>
          <w:rPr>
            <w:rStyle w:val="Hyperlink"/>
            <w:rFonts w:ascii="Arial" w:hAnsi="Arial" w:cs="Arial"/>
          </w:rPr>
          <w:t>International Framework for Red Flags for Potential Serious Spinal Pathologies</w:t>
        </w:r>
      </w:hyperlink>
      <w:r>
        <w:rPr>
          <w:rFonts w:ascii="Arial" w:hAnsi="Arial" w:cs="Arial"/>
          <w:color w:val="111111"/>
        </w:rPr>
        <w:t xml:space="preserve"> 2020. DOI: 10.2519/jospt.2020.9971</w:t>
      </w:r>
    </w:p>
    <w:p w:rsidR="00000000" w:rsidRDefault="00000000">
      <w:pPr>
        <w:pStyle w:val="NormalWeb"/>
        <w:divId w:val="1134249569"/>
        <w:rPr>
          <w:rFonts w:ascii="Arial" w:hAnsi="Arial" w:cs="Arial"/>
          <w:color w:val="111111"/>
        </w:rPr>
      </w:pPr>
      <w:r>
        <w:rPr>
          <w:rFonts w:ascii="Arial" w:hAnsi="Arial" w:cs="Arial"/>
          <w:color w:val="111111"/>
        </w:rPr>
        <w:t xml:space="preserve">4. </w:t>
      </w:r>
      <w:hyperlink r:id="rId25" w:history="1">
        <w:r>
          <w:rPr>
            <w:rStyle w:val="Hyperlink"/>
            <w:rFonts w:ascii="Arial" w:hAnsi="Arial" w:cs="Arial"/>
          </w:rPr>
          <w:t>Effect of Single-Fraction vs Multifraction Radiotherapy on Ambulatory Status Among Patients With Spinal Canal Compression From Metastatic Cancer</w:t>
        </w:r>
      </w:hyperlink>
      <w:r>
        <w:rPr>
          <w:rFonts w:ascii="Arial" w:hAnsi="Arial" w:cs="Arial"/>
          <w:color w:val="111111"/>
        </w:rPr>
        <w:t xml:space="preserve"> 2019. DOI: 10.1001/jama.2019.17913</w:t>
      </w:r>
    </w:p>
    <w:p w:rsidR="00000000" w:rsidRDefault="00000000">
      <w:pPr>
        <w:pStyle w:val="NormalWeb"/>
        <w:divId w:val="1134249569"/>
        <w:rPr>
          <w:rFonts w:ascii="Arial" w:hAnsi="Arial" w:cs="Arial"/>
          <w:color w:val="111111"/>
        </w:rPr>
      </w:pPr>
      <w:r>
        <w:rPr>
          <w:rFonts w:ascii="Arial" w:hAnsi="Arial" w:cs="Arial"/>
          <w:color w:val="111111"/>
        </w:rPr>
        <w:t xml:space="preserve">5. </w:t>
      </w:r>
      <w:hyperlink r:id="rId26" w:history="1">
        <w:r>
          <w:rPr>
            <w:rStyle w:val="Hyperlink"/>
            <w:rFonts w:ascii="Arial" w:hAnsi="Arial" w:cs="Arial"/>
          </w:rPr>
          <w:t>Leptomeningeal metastasis from solid tumours: EANO–ESMO Clinical Practice Guideline for diagnosis, treatment and follow-up</w:t>
        </w:r>
      </w:hyperlink>
      <w:r>
        <w:rPr>
          <w:rFonts w:ascii="Arial" w:hAnsi="Arial" w:cs="Arial"/>
          <w:color w:val="111111"/>
        </w:rPr>
        <w:t xml:space="preserve"> 2023. DOI: 10.1016/j.esmoop.2023.101624</w:t>
      </w:r>
    </w:p>
    <w:p w:rsidR="00000000" w:rsidRDefault="00000000">
      <w:pPr>
        <w:pStyle w:val="NormalWeb"/>
        <w:divId w:val="1134249569"/>
        <w:rPr>
          <w:rFonts w:ascii="Arial" w:hAnsi="Arial" w:cs="Arial"/>
          <w:color w:val="111111"/>
        </w:rPr>
      </w:pPr>
      <w:r>
        <w:rPr>
          <w:rFonts w:ascii="Arial" w:hAnsi="Arial" w:cs="Arial"/>
          <w:color w:val="111111"/>
        </w:rPr>
        <w:t xml:space="preserve">6. </w:t>
      </w:r>
      <w:hyperlink r:id="rId27" w:history="1">
        <w:r>
          <w:rPr>
            <w:rStyle w:val="Hyperlink"/>
            <w:rFonts w:ascii="Arial" w:hAnsi="Arial" w:cs="Arial"/>
          </w:rPr>
          <w:t>ACR Appropriateness Criteria® Plexopathy: 2021 Update</w:t>
        </w:r>
      </w:hyperlink>
      <w:r>
        <w:rPr>
          <w:rFonts w:ascii="Arial" w:hAnsi="Arial" w:cs="Arial"/>
          <w:color w:val="111111"/>
        </w:rPr>
        <w:t xml:space="preserve"> 2021. DOI: 10.1016/j.jacr.2021.08.014</w:t>
      </w:r>
    </w:p>
    <w:p w:rsidR="00000000" w:rsidRDefault="00000000">
      <w:pPr>
        <w:pStyle w:val="NormalWeb"/>
        <w:divId w:val="1134249569"/>
        <w:rPr>
          <w:rFonts w:ascii="Arial" w:hAnsi="Arial" w:cs="Arial"/>
          <w:color w:val="111111"/>
        </w:rPr>
      </w:pPr>
      <w:r>
        <w:rPr>
          <w:rFonts w:ascii="Arial" w:hAnsi="Arial" w:cs="Arial"/>
          <w:color w:val="111111"/>
        </w:rPr>
        <w:t xml:space="preserve">7. </w:t>
      </w:r>
      <w:hyperlink r:id="rId28" w:history="1">
        <w:r>
          <w:rPr>
            <w:rStyle w:val="Hyperlink"/>
            <w:rFonts w:ascii="Arial" w:hAnsi="Arial" w:cs="Arial"/>
          </w:rPr>
          <w:t>ESTRO ACROP guidelines for external beam radiotherapy of patients with complicated bone metastases</w:t>
        </w:r>
      </w:hyperlink>
      <w:r>
        <w:rPr>
          <w:rFonts w:ascii="Arial" w:hAnsi="Arial" w:cs="Arial"/>
          <w:color w:val="111111"/>
        </w:rPr>
        <w:t xml:space="preserve"> 2022. DOI: 10.1016/j.radonc.2022.06.002</w:t>
      </w:r>
    </w:p>
    <w:p w:rsidR="00000000" w:rsidRDefault="00000000">
      <w:pPr>
        <w:pStyle w:val="NormalWeb"/>
        <w:divId w:val="1134249569"/>
        <w:rPr>
          <w:rFonts w:ascii="Arial" w:hAnsi="Arial" w:cs="Arial"/>
          <w:color w:val="111111"/>
        </w:rPr>
      </w:pPr>
      <w:r>
        <w:rPr>
          <w:rFonts w:ascii="Arial" w:hAnsi="Arial" w:cs="Arial"/>
          <w:color w:val="111111"/>
        </w:rPr>
        <w:t xml:space="preserve">8. </w:t>
      </w:r>
      <w:hyperlink r:id="rId29" w:history="1">
        <w:r>
          <w:rPr>
            <w:rStyle w:val="Hyperlink"/>
            <w:rFonts w:ascii="Arial" w:hAnsi="Arial" w:cs="Arial"/>
          </w:rPr>
          <w:t>Localised colon cancer: ESMO Clinical Practice Guidelines for diagnosis, treatment and follow-up</w:t>
        </w:r>
      </w:hyperlink>
      <w:r>
        <w:rPr>
          <w:rFonts w:ascii="Arial" w:hAnsi="Arial" w:cs="Arial"/>
          <w:color w:val="111111"/>
        </w:rPr>
        <w:t xml:space="preserve"> 2020. DOI: 10.1016/j.annonc.2020.06.022</w:t>
      </w:r>
    </w:p>
    <w:p w:rsidR="003D3CAA" w:rsidRDefault="00000000">
      <w:pPr>
        <w:pStyle w:val="NormalWeb"/>
        <w:divId w:val="1134249569"/>
        <w:rPr>
          <w:rFonts w:ascii="Arial" w:hAnsi="Arial" w:cs="Arial"/>
          <w:color w:val="111111"/>
        </w:rPr>
      </w:pPr>
      <w:r>
        <w:rPr>
          <w:rFonts w:ascii="Arial" w:hAnsi="Arial" w:cs="Arial"/>
          <w:color w:val="111111"/>
        </w:rPr>
        <w:t xml:space="preserve">9. </w:t>
      </w:r>
      <w:hyperlink r:id="rId30" w:history="1">
        <w:r>
          <w:rPr>
            <w:rStyle w:val="Hyperlink"/>
            <w:rFonts w:ascii="Arial" w:hAnsi="Arial" w:cs="Arial"/>
          </w:rPr>
          <w:t>The Suspected Cauda Equina Syndrome Score (SuCESS) : development and validation of a clinical triage tool.</w:t>
        </w:r>
      </w:hyperlink>
      <w:r>
        <w:rPr>
          <w:rFonts w:ascii="Arial" w:hAnsi="Arial" w:cs="Arial"/>
          <w:color w:val="111111"/>
        </w:rPr>
        <w:t xml:space="preserve"> 2026. DOI: 10.1302/0301-620x.108b3.bjj-2025-0986.r2</w:t>
      </w:r>
    </w:p>
    <w:sectPr w:rsidR="003D3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33366"/>
    <w:multiLevelType w:val="multilevel"/>
    <w:tmpl w:val="369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01CFF"/>
    <w:multiLevelType w:val="multilevel"/>
    <w:tmpl w:val="2ADE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C372D"/>
    <w:multiLevelType w:val="multilevel"/>
    <w:tmpl w:val="E96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8206D"/>
    <w:multiLevelType w:val="multilevel"/>
    <w:tmpl w:val="810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133825">
    <w:abstractNumId w:val="3"/>
  </w:num>
  <w:num w:numId="2" w16cid:durableId="1656764835">
    <w:abstractNumId w:val="2"/>
  </w:num>
  <w:num w:numId="3" w16cid:durableId="775711918">
    <w:abstractNumId w:val="1"/>
  </w:num>
  <w:num w:numId="4" w16cid:durableId="63853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4893"/>
    <w:rsid w:val="003D3CAA"/>
    <w:rsid w:val="00714893"/>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E577F"/>
  <w15:chartTrackingRefBased/>
  <w15:docId w15:val="{E9D8B572-137D-C64E-A732-B66F85DE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70" w:after="120"/>
      <w:outlineLvl w:val="0"/>
    </w:pPr>
    <w:rPr>
      <w:b/>
      <w:bCs/>
      <w:kern w:val="36"/>
      <w:sz w:val="40"/>
      <w:szCs w:val="40"/>
    </w:rPr>
  </w:style>
  <w:style w:type="paragraph" w:styleId="Heading2">
    <w:name w:val="heading 2"/>
    <w:basedOn w:val="Normal"/>
    <w:link w:val="Heading2Char"/>
    <w:uiPriority w:val="9"/>
    <w:qFormat/>
    <w:pPr>
      <w:spacing w:before="240" w:after="120"/>
      <w:outlineLvl w:val="1"/>
    </w:pPr>
    <w:rPr>
      <w:b/>
      <w:bCs/>
      <w:sz w:val="32"/>
      <w:szCs w:val="32"/>
    </w:rPr>
  </w:style>
  <w:style w:type="paragraph" w:styleId="Heading3">
    <w:name w:val="heading 3"/>
    <w:basedOn w:val="Normal"/>
    <w:link w:val="Heading3Char"/>
    <w:uiPriority w:val="9"/>
    <w:qFormat/>
    <w:pPr>
      <w:spacing w:before="210" w:after="90"/>
      <w:outlineLvl w:val="2"/>
    </w:pPr>
    <w:rPr>
      <w:b/>
      <w:bCs/>
      <w:sz w:val="28"/>
      <w:szCs w:val="28"/>
    </w:rPr>
  </w:style>
  <w:style w:type="paragraph" w:styleId="Heading4">
    <w:name w:val="heading 4"/>
    <w:basedOn w:val="Normal"/>
    <w:link w:val="Heading4Char"/>
    <w:uiPriority w:val="9"/>
    <w:qFormat/>
    <w:pPr>
      <w:spacing w:before="180" w:after="90"/>
      <w:outlineLvl w:val="3"/>
    </w:pPr>
    <w:rPr>
      <w:b/>
      <w:bCs/>
    </w:rPr>
  </w:style>
  <w:style w:type="paragraph" w:styleId="Heading5">
    <w:name w:val="heading 5"/>
    <w:basedOn w:val="Normal"/>
    <w:link w:val="Heading5Char"/>
    <w:uiPriority w:val="9"/>
    <w:qFormat/>
    <w:pPr>
      <w:spacing w:before="180" w:after="90"/>
      <w:outlineLvl w:val="4"/>
    </w:pPr>
    <w:rPr>
      <w:b/>
      <w:bCs/>
      <w:sz w:val="20"/>
      <w:szCs w:val="20"/>
    </w:rPr>
  </w:style>
  <w:style w:type="paragraph" w:styleId="Heading6">
    <w:name w:val="heading 6"/>
    <w:basedOn w:val="Normal"/>
    <w:link w:val="Heading6Char"/>
    <w:uiPriority w:val="9"/>
    <w:qFormat/>
    <w:pPr>
      <w:spacing w:before="180" w:after="90"/>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A0DAB"/>
      <w:u w:val="single"/>
    </w:rPr>
  </w:style>
  <w:style w:type="character" w:styleId="FollowedHyperlink">
    <w:name w:val="FollowedHyperlink"/>
    <w:basedOn w:val="DefaultParagraphFont"/>
    <w:uiPriority w:val="99"/>
    <w:semiHidden/>
    <w:unhideWhenUsed/>
    <w:rPr>
      <w:color w:val="1A0DAB"/>
      <w:u w:val="single"/>
    </w:rPr>
  </w:style>
  <w:style w:type="character" w:styleId="HTMLCode">
    <w:name w:val="HTML Code"/>
    <w:basedOn w:val="DefaultParagraphFont"/>
    <w:uiPriority w:val="99"/>
    <w:semiHidden/>
    <w:unhideWhenUsed/>
    <w:rPr>
      <w:rFonts w:ascii="Menlo" w:eastAsiaTheme="minorEastAsia" w:hAnsi="Menlo" w:cs="Menlo" w:hint="default"/>
      <w:sz w:val="20"/>
      <w:szCs w:val="20"/>
      <w:shd w:val="clear" w:color="auto" w:fill="F6F8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24956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19/jospt.2020.9971" TargetMode="External"/><Relationship Id="rId13" Type="http://schemas.openxmlformats.org/officeDocument/2006/relationships/hyperlink" Target="https://doi.org/10.1001/jama.2019.17913" TargetMode="External"/><Relationship Id="rId18" Type="http://schemas.openxmlformats.org/officeDocument/2006/relationships/hyperlink" Target="https://doi.org/10.1016/j.annonc.2020.06.022" TargetMode="External"/><Relationship Id="rId26" Type="http://schemas.openxmlformats.org/officeDocument/2006/relationships/hyperlink" Target="https://doi.org/10.1016/j.esmoop.2023.101624" TargetMode="External"/><Relationship Id="rId3" Type="http://schemas.openxmlformats.org/officeDocument/2006/relationships/settings" Target="settings.xml"/><Relationship Id="rId21" Type="http://schemas.openxmlformats.org/officeDocument/2006/relationships/hyperlink" Target="https://doi.org/10.1302/0301-620x.108b3.bjj-2025-0986.r2" TargetMode="External"/><Relationship Id="rId7" Type="http://schemas.openxmlformats.org/officeDocument/2006/relationships/hyperlink" Target="https://doi.org/10.1200/jco.2018.78.1211" TargetMode="External"/><Relationship Id="rId12" Type="http://schemas.openxmlformats.org/officeDocument/2006/relationships/hyperlink" Target="https://doi.org/10.2519/jospt.2020.9971" TargetMode="External"/><Relationship Id="rId17" Type="http://schemas.openxmlformats.org/officeDocument/2006/relationships/hyperlink" Target="https://doi.org/10.1016/j.radonc.2022.06.002" TargetMode="External"/><Relationship Id="rId25" Type="http://schemas.openxmlformats.org/officeDocument/2006/relationships/hyperlink" Target="https://doi.org/10.1001/jama.2019.17913" TargetMode="External"/><Relationship Id="rId2" Type="http://schemas.openxmlformats.org/officeDocument/2006/relationships/styles" Target="styles.xml"/><Relationship Id="rId16" Type="http://schemas.openxmlformats.org/officeDocument/2006/relationships/hyperlink" Target="https://doi.org/10.2519/jospt.2020.9971" TargetMode="External"/><Relationship Id="rId20" Type="http://schemas.openxmlformats.org/officeDocument/2006/relationships/hyperlink" Target="https://doi.org/10.1016/j.esmoop.2023.101624" TargetMode="External"/><Relationship Id="rId29" Type="http://schemas.openxmlformats.org/officeDocument/2006/relationships/hyperlink" Target="https://doi.org/10.1016/j.annonc.2020.06.022" TargetMode="External"/><Relationship Id="rId1" Type="http://schemas.openxmlformats.org/officeDocument/2006/relationships/numbering" Target="numbering.xml"/><Relationship Id="rId6" Type="http://schemas.openxmlformats.org/officeDocument/2006/relationships/hyperlink" Target="https://doi.org/10.1007/s00586-025-08732-0" TargetMode="External"/><Relationship Id="rId11" Type="http://schemas.openxmlformats.org/officeDocument/2006/relationships/hyperlink" Target="https://doi.org/10.1007/s00586-025-08732-0" TargetMode="External"/><Relationship Id="rId24" Type="http://schemas.openxmlformats.org/officeDocument/2006/relationships/hyperlink" Target="https://doi.org/10.2519/jospt.2020.9971" TargetMode="External"/><Relationship Id="rId32" Type="http://schemas.openxmlformats.org/officeDocument/2006/relationships/theme" Target="theme/theme1.xml"/><Relationship Id="rId5" Type="http://schemas.openxmlformats.org/officeDocument/2006/relationships/hyperlink" Target="https://doi.org/10.1200/jco.2018.78.1211" TargetMode="External"/><Relationship Id="rId15" Type="http://schemas.openxmlformats.org/officeDocument/2006/relationships/hyperlink" Target="https://doi.org/10.1016/j.jacr.2021.08.014" TargetMode="External"/><Relationship Id="rId23" Type="http://schemas.openxmlformats.org/officeDocument/2006/relationships/hyperlink" Target="https://doi.org/10.1007/s00586-025-08732-0" TargetMode="External"/><Relationship Id="rId28" Type="http://schemas.openxmlformats.org/officeDocument/2006/relationships/hyperlink" Target="https://doi.org/10.1016/j.radonc.2022.06.002" TargetMode="External"/><Relationship Id="rId10" Type="http://schemas.openxmlformats.org/officeDocument/2006/relationships/hyperlink" Target="https://doi.org/10.2519/jospt.2020.9971" TargetMode="External"/><Relationship Id="rId19" Type="http://schemas.openxmlformats.org/officeDocument/2006/relationships/hyperlink" Target="https://doi.org/10.1016/j.radonc.2022.06.00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00586-025-08732-0" TargetMode="External"/><Relationship Id="rId14" Type="http://schemas.openxmlformats.org/officeDocument/2006/relationships/hyperlink" Target="https://doi.org/10.1016/j.esmoop.2023.101624" TargetMode="External"/><Relationship Id="rId22" Type="http://schemas.openxmlformats.org/officeDocument/2006/relationships/hyperlink" Target="https://doi.org/10.1200/jco.2018.78.1211" TargetMode="External"/><Relationship Id="rId27" Type="http://schemas.openxmlformats.org/officeDocument/2006/relationships/hyperlink" Target="https://doi.org/10.1016/j.jacr.2021.08.014" TargetMode="External"/><Relationship Id="rId30" Type="http://schemas.openxmlformats.org/officeDocument/2006/relationships/hyperlink" Target="https://doi.org/10.1302/0301-620x.108b3.bjj-2025-0986.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 Answer 1</dc:title>
  <dc:subject/>
  <dc:creator>clinicalrythm</dc:creator>
  <cp:keywords/>
  <dc:description/>
  <cp:lastModifiedBy>clinicalrythm</cp:lastModifiedBy>
  <cp:revision>2</cp:revision>
  <dcterms:created xsi:type="dcterms:W3CDTF">2026-08-15T07:21:00Z</dcterms:created>
  <dcterms:modified xsi:type="dcterms:W3CDTF">2026-08-15T07:21:00Z</dcterms:modified>
</cp:coreProperties>
</file>