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36"/>
          <w:szCs w:val="36"/>
        </w:rPr>
        <w:t xml:space="preserve">Adaptation report: Journal of Rare Diseases (Springer)</w:t>
      </w:r>
    </w:p>
    <w:p>
      <w:pPr>
        <w:spacing w:after="140" w:line="300"/>
      </w:pPr>
      <w:r>
        <w:rPr>
          <w:b/>
          <w:bCs/>
        </w:rPr>
        <w:t xml:space="preserve">Manuscript: </w:t>
      </w:r>
      <w:r>
        <w:t xml:space="preserve">Adult-onset pseudohypoparathyroidism presenting with tetany and trismus without Albright hereditary osteodystrophy in a Tanzanian woman: a case report (George, Rayner, Gamba, Masanja)</w:t>
      </w:r>
    </w:p>
    <w:p>
      <w:pPr>
        <w:spacing w:after="140" w:line="300"/>
      </w:pPr>
      <w:r>
        <w:rPr>
          <w:b/>
          <w:bCs/>
        </w:rPr>
        <w:t xml:space="preserve">Target journal: </w:t>
      </w:r>
      <w:r>
        <w:t xml:space="preserve">Journal of Rare Diseases (Springer; official journal of the Egyptian Medical Association; open access with no article processing charge; indexed in Scopus and DOAJ; median 15 days to first decision; single-blind review). Case reports are a listed article type and the journal's recent output is dominated by them.</w:t>
      </w:r>
    </w:p>
    <w:p>
      <w:pPr>
        <w:spacing w:after="140" w:line="300"/>
      </w:pPr>
      <w:r>
        <w:rPr>
          <w:b/>
          <w:bCs/>
        </w:rPr>
        <w:t xml:space="preserve">Date: </w:t>
      </w:r>
      <w:r>
        <w:t xml:space="preserve">30 September 2026</w:t>
      </w:r>
    </w:p>
    <w:p>
      <w:pPr>
        <w:spacing w:after="140" w:line="300"/>
      </w:pPr>
      <w:r>
        <w:rPr>
          <w:b/>
          <w:bCs/>
        </w:rPr>
        <w:t xml:space="preserve">Files delivered: </w:t>
      </w:r>
      <w:r>
        <w:t xml:space="preserve">(1) George_et_al_PHP_case_report_JRareDis_REVISED.docx, the manuscript in the journal's format; (2) George_et_al_PHP_case_report_JRareDis_EndNote_working_copy.docx, with EndNote temporary citations; (3) George_et_al_references_EndNote_JRareDis.ris, the 20 references in the alphabetical order of the list; (4) Online_Resource_1_CARE_checklist.docx, the supplementary CARE checklist the journal recommends; (5) Cover_letter_JRareDis.docx; (6) this report. The de-identified figures are in the earlier php_case_report/figures folder and are embedded in the manuscript.</w:t>
      </w:r>
    </w:p>
    <w:p>
      <w:pPr>
        <w:pStyle w:val="Heading1"/>
      </w:pPr>
      <w:r>
        <w:rPr>
          <w:rFonts w:ascii="Times New Roman" w:cs="Times New Roman" w:eastAsia="Times New Roman" w:hAnsi="Times New Roman"/>
          <w:b/>
          <w:bCs/>
          <w:color w:val="1F4E79"/>
          <w:sz w:val="28"/>
          <w:szCs w:val="28"/>
        </w:rPr>
        <w:t xml:space="preserve">1. Why this journal fits, and what its editors publish</w:t>
      </w:r>
    </w:p>
    <w:p>
      <w:pPr>
        <w:spacing w:after="140" w:line="300"/>
      </w:pPr>
      <w:r>
        <w:t xml:space="preserve">The journal's scope is rare and genetic diseases, and pseudohypoparathyroidism, PHP, sits squarely inside it: a prevalence of about 1 in 100,000, a GNAS-related mechanism, and an unmet diagnostic need in Africa. Its two most recent case reports (a bladder sarcoidosis case published 29 September 2026 and an ALDH18A1-related cutis laxa case published 18 September 2026) show what the editors accept: a case with a clear rare-disease angle, roughly 1,500 to 2,500 words, one or two tables, a small number of well-chosen figures, 12 to 20 references weighted towards consensus statements, registry data and recent case reports, an explicit statement that the CARE guideline was followed, a clinical timeline table, a 'Strengths and limitations' paragraph and a Data availability statement. The revised manuscript now has all of these. The first-decision median of 15 days and the absence of a publication fee are additional reasons to choose this journal over BMJ Case Reports, which requires a paid Fellowship.</w:t>
      </w:r>
    </w:p>
    <w:p>
      <w:pPr>
        <w:pStyle w:val="Heading1"/>
      </w:pPr>
      <w:r>
        <w:rPr>
          <w:rFonts w:ascii="Times New Roman" w:cs="Times New Roman" w:eastAsia="Times New Roman" w:hAnsi="Times New Roman"/>
          <w:b/>
          <w:bCs/>
          <w:color w:val="1F4E79"/>
          <w:sz w:val="28"/>
          <w:szCs w:val="28"/>
        </w:rPr>
        <w:t xml:space="preserve">2. What changed from the BMJ version</w:t>
      </w:r>
    </w:p>
    <w:p>
      <w:pPr>
        <w:pStyle w:val="ListParagraph"/>
        <w:numPr>
          <w:ilvl w:val="0"/>
          <w:numId w:val="2"/>
        </w:numPr>
        <w:spacing w:after="80" w:line="300"/>
      </w:pPr>
      <w:r>
        <w:t xml:space="preserve">Structure. The BMJ headings (Summary, Investigations, Differential diagnosis, Treatment, Outcome and follow-up, Learning points) have been replaced with the structure the journal publishes: Abstract (Background, Case presentation, Conclusions; 150 to 250 words; now 245), Background, Case presentation with the CARE sub-headings used in the journal's own case reports (Patient information and clinical findings; Diagnostic assessment; Therapeutic intervention; Follow-up and outcomes), Discussion with a Strengths and limitations paragraph, Conclusion, Statements and Declarations, References. Learning points, which the journal does not use, have been folded into the Conclusion.</w:t>
      </w:r>
    </w:p>
    <w:p>
      <w:pPr>
        <w:pStyle w:val="ListParagraph"/>
        <w:numPr>
          <w:ilvl w:val="0"/>
          <w:numId w:val="2"/>
        </w:numPr>
        <w:spacing w:after="80" w:line="300"/>
      </w:pPr>
      <w:r>
        <w:t xml:space="preserve">Clinical timeline. Table 1 is new: a CARE-style timeline of the kind the journal's recent case reports include. The former Tables 1 to 3 are now Tables 2 to 4.</w:t>
      </w:r>
    </w:p>
    <w:p>
      <w:pPr>
        <w:pStyle w:val="ListParagraph"/>
        <w:numPr>
          <w:ilvl w:val="0"/>
          <w:numId w:val="2"/>
        </w:numPr>
        <w:spacing w:after="80" w:line="300"/>
      </w:pPr>
      <w:r>
        <w:t xml:space="preserve">Figures. Figures are embedded in the text at first mention, as the journal's instructions require, and captions follow the Springer convention: 'Fig. 1' in bold, no punctuation after the number and none at the end of the caption. The Trousseau photograph and the de-identified ECG are unchanged.</w:t>
      </w:r>
    </w:p>
    <w:p>
      <w:pPr>
        <w:pStyle w:val="ListParagraph"/>
        <w:numPr>
          <w:ilvl w:val="0"/>
          <w:numId w:val="2"/>
        </w:numPr>
        <w:spacing w:after="80" w:line="300"/>
      </w:pPr>
      <w:r>
        <w:t xml:space="preserve">Tables. Captions read 'Table 1 Clinical timeline' (no punctuation after the number) and table footnotes use superscript lower-case letters (a, b) as the instructions specify, not asterisks.</w:t>
      </w:r>
    </w:p>
    <w:p>
      <w:pPr>
        <w:pStyle w:val="ListParagraph"/>
        <w:numPr>
          <w:ilvl w:val="0"/>
          <w:numId w:val="2"/>
        </w:numPr>
        <w:spacing w:after="80" w:line="300"/>
      </w:pPr>
      <w:r>
        <w:t xml:space="preserve">Citations and reference list. The journal's instructions ask for name-and-year citations in parentheses and an alphabetical reference list; entries follow the journal's own examples (journal abbreviations, volume without issue, abbreviated page ranges, DOI as a full https://doi.org link). The manuscript now cites, for example, '(Mantovani et al. 2018)' and lists 20 references alphabetically from Akın to Yen. Springer's production department converts to numbered brackets at typesetting, which is why published articles in the journal show numbers; either form is accepted at submission, but the written instructions were followed.</w:t>
      </w:r>
    </w:p>
    <w:p>
      <w:pPr>
        <w:pStyle w:val="ListParagraph"/>
        <w:numPr>
          <w:ilvl w:val="0"/>
          <w:numId w:val="2"/>
        </w:numPr>
        <w:spacing w:after="80" w:line="300"/>
      </w:pPr>
      <w:r>
        <w:t xml:space="preserve">Keywords. Six keywords (the instructions ask for four to six), including 'Rare diseases'.</w:t>
      </w:r>
    </w:p>
    <w:p>
      <w:pPr>
        <w:pStyle w:val="ListParagraph"/>
        <w:numPr>
          <w:ilvl w:val="0"/>
          <w:numId w:val="2"/>
        </w:numPr>
        <w:spacing w:after="80" w:line="300"/>
      </w:pPr>
      <w:r>
        <w:t xml:space="preserve">Rare-disease framing. The Background now states explicitly that PHP meets any definition of a rare disease and that no population data exist for sub-Saharan Africa; the Discussion closes with the implication for rare disease registries and access to molecular testing through international networks, which matches the journal's current calls for papers on rare disease registries and genomics.</w:t>
      </w:r>
    </w:p>
    <w:p>
      <w:pPr>
        <w:pStyle w:val="ListParagraph"/>
        <w:numPr>
          <w:ilvl w:val="0"/>
          <w:numId w:val="2"/>
        </w:numPr>
        <w:spacing w:after="80" w:line="300"/>
      </w:pPr>
      <w:r>
        <w:t xml:space="preserve">Two references added. Riley et al. 2017 (CARE guidelines, cited in the Background as the journal's own case reports do) and Trejo et al. 2018 (a Colombian series of four adults diagnosed late, which strengthens the adult-presentation argument). All 20 references remain verified.</w:t>
      </w:r>
    </w:p>
    <w:p>
      <w:pPr>
        <w:pStyle w:val="ListParagraph"/>
        <w:numPr>
          <w:ilvl w:val="0"/>
          <w:numId w:val="2"/>
        </w:numPr>
        <w:spacing w:after="80" w:line="300"/>
      </w:pPr>
      <w:r>
        <w:t xml:space="preserve">Declarations. The 'Statements and Declarations' section now carries every heading the journal requires or lists as possible: Acknowledgements, Funding, Author contributions (in the journal's free-text format), Ethics approval, Consent to participate, Consent to publish, Competing interests, Data availability, and a statement on the use of AI-assisted technologies modelled on the wording in the journal's September 2026 sarcoidosis case report.</w:t>
      </w:r>
    </w:p>
    <w:p>
      <w:pPr>
        <w:pStyle w:val="ListParagraph"/>
        <w:numPr>
          <w:ilvl w:val="0"/>
          <w:numId w:val="2"/>
        </w:numPr>
        <w:spacing w:after="80" w:line="300"/>
      </w:pPr>
      <w:r>
        <w:t xml:space="preserve">Supplementary material. A completed CARE checklist is supplied as Online Resource 1 and is cited in the Background, following the journal's recommendation that case reports adhere to the CARE reporting guideline.</w:t>
      </w:r>
    </w:p>
    <w:p>
      <w:pPr>
        <w:pStyle w:val="ListParagraph"/>
        <w:numPr>
          <w:ilvl w:val="0"/>
          <w:numId w:val="2"/>
        </w:numPr>
        <w:spacing w:after="80" w:line="300"/>
      </w:pPr>
      <w:r>
        <w:t xml:space="preserve">Language. British spelling, consistent with the earlier versions; the journal accepts either. No em dashes.</w:t>
      </w:r>
    </w:p>
    <w:p>
      <w:pPr>
        <w:pStyle w:val="Heading1"/>
      </w:pPr>
      <w:r>
        <w:rPr>
          <w:rFonts w:ascii="Times New Roman" w:cs="Times New Roman" w:eastAsia="Times New Roman" w:hAnsi="Times New Roman"/>
          <w:b/>
          <w:bCs/>
          <w:color w:val="1F4E79"/>
          <w:sz w:val="28"/>
          <w:szCs w:val="28"/>
        </w:rPr>
        <w:t xml:space="preserve">3. Compliance with the journal's instructions for authors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5200"/>
        <w:gridCol w:w="3826"/>
      </w:tblGrid>
      <w:tr>
        <w:trPr>
          <w:tblHeader/>
        </w:trPr>
        <w:tc>
          <w:tcPr>
            <w:tcW w:type="dxa" w:w="5200"/>
            <w:shd w:fill="DCE6F1" w:color="auto" w:val="clear"/>
            <w:tcMar>
              <w:top w:type="dxa" w:w="60"/>
              <w:left w:type="dxa" w:w="100"/>
              <w:bottom w:type="dxa" w:w="60"/>
              <w:right w:type="dxa" w:w="100"/>
            </w:tcMar>
          </w:tcPr>
          <w:p>
            <w:pPr>
              <w:spacing w:after="0" w:line="260"/>
            </w:pPr>
            <w:r>
              <w:rPr>
                <w:b/>
                <w:bCs/>
                <w:sz w:val="20"/>
                <w:szCs w:val="20"/>
              </w:rPr>
              <w:t xml:space="preserve">Requirement (Instructions for Authors)</w:t>
            </w:r>
          </w:p>
        </w:tc>
        <w:tc>
          <w:tcPr>
            <w:tcW w:type="dxa" w:w="3826"/>
            <w:shd w:fill="DCE6F1" w:color="auto" w:val="clear"/>
            <w:tcMar>
              <w:top w:type="dxa" w:w="60"/>
              <w:left w:type="dxa" w:w="100"/>
              <w:bottom w:type="dxa" w:w="60"/>
              <w:right w:type="dxa" w:w="100"/>
            </w:tcMar>
          </w:tcPr>
          <w:p>
            <w:pPr>
              <w:spacing w:after="0" w:line="260"/>
            </w:pPr>
            <w:r>
              <w:rPr>
                <w:b/>
                <w:bCs/>
                <w:sz w:val="20"/>
                <w:szCs w:val="20"/>
              </w:rPr>
              <w:t xml:space="preserve">Status</w:t>
            </w:r>
          </w:p>
        </w:tc>
      </w:tr>
      <w:tr>
        <w:tc>
          <w:tcPr>
            <w:tcW w:type="dxa" w:w="5200"/>
            <w:tcMar>
              <w:top w:type="dxa" w:w="60"/>
              <w:left w:type="dxa" w:w="100"/>
              <w:bottom w:type="dxa" w:w="60"/>
              <w:right w:type="dxa" w:w="100"/>
            </w:tcMar>
          </w:tcPr>
          <w:p>
            <w:pPr>
              <w:spacing w:after="0" w:line="260"/>
            </w:pPr>
            <w:r>
              <w:rPr>
                <w:b w:val="false"/>
                <w:bCs w:val="false"/>
                <w:sz w:val="20"/>
                <w:szCs w:val="20"/>
              </w:rPr>
              <w:t xml:space="preserve">Title concise and informative; author names, affiliations, corresponding author e-mail; ORCID if available</w:t>
            </w:r>
          </w:p>
        </w:tc>
        <w:tc>
          <w:tcPr>
            <w:tcW w:type="dxa" w:w="3826"/>
            <w:tcMar>
              <w:top w:type="dxa" w:w="60"/>
              <w:left w:type="dxa" w:w="100"/>
              <w:bottom w:type="dxa" w:w="60"/>
              <w:right w:type="dxa" w:w="100"/>
            </w:tcMar>
          </w:tcPr>
          <w:p>
            <w:pPr>
              <w:spacing w:after="0" w:line="260"/>
            </w:pPr>
            <w:r>
              <w:rPr>
                <w:b w:val="false"/>
                <w:bCs w:val="false"/>
                <w:sz w:val="20"/>
                <w:szCs w:val="20"/>
              </w:rPr>
              <w:t xml:space="preserve">Met; ORCID line on the title page to be completed by each author</w:t>
            </w:r>
          </w:p>
        </w:tc>
      </w:tr>
      <w:tr>
        <w:tc>
          <w:tcPr>
            <w:tcW w:type="dxa" w:w="5200"/>
            <w:tcMar>
              <w:top w:type="dxa" w:w="60"/>
              <w:left w:type="dxa" w:w="100"/>
              <w:bottom w:type="dxa" w:w="60"/>
              <w:right w:type="dxa" w:w="100"/>
            </w:tcMar>
          </w:tcPr>
          <w:p>
            <w:pPr>
              <w:spacing w:after="0" w:line="260"/>
            </w:pPr>
            <w:r>
              <w:rPr>
                <w:b w:val="false"/>
                <w:bCs w:val="false"/>
                <w:sz w:val="20"/>
                <w:szCs w:val="20"/>
              </w:rPr>
              <w:t xml:space="preserve">Abstract 150 to 250 words, structured</w:t>
            </w:r>
          </w:p>
        </w:tc>
        <w:tc>
          <w:tcPr>
            <w:tcW w:type="dxa" w:w="3826"/>
            <w:tcMar>
              <w:top w:type="dxa" w:w="60"/>
              <w:left w:type="dxa" w:w="100"/>
              <w:bottom w:type="dxa" w:w="60"/>
              <w:right w:type="dxa" w:w="100"/>
            </w:tcMar>
          </w:tcPr>
          <w:p>
            <w:pPr>
              <w:spacing w:after="0" w:line="260"/>
            </w:pPr>
            <w:r>
              <w:rPr>
                <w:b w:val="false"/>
                <w:bCs w:val="false"/>
                <w:sz w:val="20"/>
                <w:szCs w:val="20"/>
              </w:rPr>
              <w:t xml:space="preserve">Met (245 words; Background, Case presentation, Conclusions)</w:t>
            </w:r>
          </w:p>
        </w:tc>
      </w:tr>
      <w:tr>
        <w:tc>
          <w:tcPr>
            <w:tcW w:type="dxa" w:w="5200"/>
            <w:tcMar>
              <w:top w:type="dxa" w:w="60"/>
              <w:left w:type="dxa" w:w="100"/>
              <w:bottom w:type="dxa" w:w="60"/>
              <w:right w:type="dxa" w:w="100"/>
            </w:tcMar>
          </w:tcPr>
          <w:p>
            <w:pPr>
              <w:spacing w:after="0" w:line="260"/>
            </w:pPr>
            <w:r>
              <w:rPr>
                <w:b w:val="false"/>
                <w:bCs w:val="false"/>
                <w:sz w:val="20"/>
                <w:szCs w:val="20"/>
              </w:rPr>
              <w:t xml:space="preserve">4 to 6 keywords</w:t>
            </w:r>
          </w:p>
        </w:tc>
        <w:tc>
          <w:tcPr>
            <w:tcW w:type="dxa" w:w="3826"/>
            <w:tcMar>
              <w:top w:type="dxa" w:w="60"/>
              <w:left w:type="dxa" w:w="100"/>
              <w:bottom w:type="dxa" w:w="60"/>
              <w:right w:type="dxa" w:w="100"/>
            </w:tcMar>
          </w:tcPr>
          <w:p>
            <w:pPr>
              <w:spacing w:after="0" w:line="260"/>
            </w:pPr>
            <w:r>
              <w:rPr>
                <w:b w:val="false"/>
                <w:bCs w:val="false"/>
                <w:sz w:val="20"/>
                <w:szCs w:val="20"/>
              </w:rPr>
              <w:t xml:space="preserve">Met (6)</w:t>
            </w:r>
          </w:p>
        </w:tc>
      </w:tr>
      <w:tr>
        <w:tc>
          <w:tcPr>
            <w:tcW w:type="dxa" w:w="5200"/>
            <w:tcMar>
              <w:top w:type="dxa" w:w="60"/>
              <w:left w:type="dxa" w:w="100"/>
              <w:bottom w:type="dxa" w:w="60"/>
              <w:right w:type="dxa" w:w="100"/>
            </w:tcMar>
          </w:tcPr>
          <w:p>
            <w:pPr>
              <w:spacing w:after="0" w:line="260"/>
            </w:pPr>
            <w:r>
              <w:rPr>
                <w:b w:val="false"/>
                <w:bCs w:val="false"/>
                <w:sz w:val="20"/>
                <w:szCs w:val="20"/>
              </w:rPr>
              <w:t xml:space="preserve">Manuscript in Word, plain font, automatic page numbers, no field functions, tables made with the table function</w:t>
            </w:r>
          </w:p>
        </w:tc>
        <w:tc>
          <w:tcPr>
            <w:tcW w:type="dxa" w:w="3826"/>
            <w:tcMar>
              <w:top w:type="dxa" w:w="60"/>
              <w:left w:type="dxa" w:w="100"/>
              <w:bottom w:type="dxa" w:w="60"/>
              <w:right w:type="dxa" w:w="100"/>
            </w:tcMar>
          </w:tcPr>
          <w:p>
            <w:pPr>
              <w:spacing w:after="0" w:line="260"/>
            </w:pPr>
            <w:r>
              <w:rPr>
                <w:b w:val="false"/>
                <w:bCs w:val="false"/>
                <w:sz w:val="20"/>
                <w:szCs w:val="20"/>
              </w:rPr>
              <w:t xml:space="preserve">Met (Times New Roman 12 pt, 1.5 line spacing, page numbers, continuous line numbers for review)</w:t>
            </w:r>
          </w:p>
        </w:tc>
      </w:tr>
      <w:tr>
        <w:tc>
          <w:tcPr>
            <w:tcW w:type="dxa" w:w="5200"/>
            <w:tcMar>
              <w:top w:type="dxa" w:w="60"/>
              <w:left w:type="dxa" w:w="100"/>
              <w:bottom w:type="dxa" w:w="60"/>
              <w:right w:type="dxa" w:w="100"/>
            </w:tcMar>
          </w:tcPr>
          <w:p>
            <w:pPr>
              <w:spacing w:after="0" w:line="260"/>
            </w:pPr>
            <w:r>
              <w:rPr>
                <w:b w:val="false"/>
                <w:bCs w:val="false"/>
                <w:sz w:val="20"/>
                <w:szCs w:val="20"/>
              </w:rPr>
              <w:t xml:space="preserve">No more than three levels of headings</w:t>
            </w:r>
          </w:p>
        </w:tc>
        <w:tc>
          <w:tcPr>
            <w:tcW w:type="dxa" w:w="3826"/>
            <w:tcMar>
              <w:top w:type="dxa" w:w="60"/>
              <w:left w:type="dxa" w:w="100"/>
              <w:bottom w:type="dxa" w:w="60"/>
              <w:right w:type="dxa" w:w="100"/>
            </w:tcMar>
          </w:tcPr>
          <w:p>
            <w:pPr>
              <w:spacing w:after="0" w:line="260"/>
            </w:pPr>
            <w:r>
              <w:rPr>
                <w:b w:val="false"/>
                <w:bCs w:val="false"/>
                <w:sz w:val="20"/>
                <w:szCs w:val="20"/>
              </w:rPr>
              <w:t xml:space="preserve">Met (two levels used)</w:t>
            </w:r>
          </w:p>
        </w:tc>
      </w:tr>
      <w:tr>
        <w:tc>
          <w:tcPr>
            <w:tcW w:type="dxa" w:w="5200"/>
            <w:tcMar>
              <w:top w:type="dxa" w:w="60"/>
              <w:left w:type="dxa" w:w="100"/>
              <w:bottom w:type="dxa" w:w="60"/>
              <w:right w:type="dxa" w:w="100"/>
            </w:tcMar>
          </w:tcPr>
          <w:p>
            <w:pPr>
              <w:spacing w:after="0" w:line="260"/>
            </w:pPr>
            <w:r>
              <w:rPr>
                <w:b w:val="false"/>
                <w:bCs w:val="false"/>
                <w:sz w:val="20"/>
                <w:szCs w:val="20"/>
              </w:rPr>
              <w:t xml:space="preserve">Abbreviations defined at first mention</w:t>
            </w:r>
          </w:p>
        </w:tc>
        <w:tc>
          <w:tcPr>
            <w:tcW w:type="dxa" w:w="3826"/>
            <w:tcMar>
              <w:top w:type="dxa" w:w="60"/>
              <w:left w:type="dxa" w:w="100"/>
              <w:bottom w:type="dxa" w:w="60"/>
              <w:right w:type="dxa" w:w="100"/>
            </w:tcMar>
          </w:tcPr>
          <w:p>
            <w:pPr>
              <w:spacing w:after="0" w:line="260"/>
            </w:pPr>
            <w:r>
              <w:rPr>
                <w:b w:val="false"/>
                <w:bCs w:val="false"/>
                <w:sz w:val="20"/>
                <w:szCs w:val="20"/>
              </w:rPr>
              <w:t xml:space="preserve">Met</w:t>
            </w:r>
          </w:p>
        </w:tc>
      </w:tr>
      <w:tr>
        <w:tc>
          <w:tcPr>
            <w:tcW w:type="dxa" w:w="5200"/>
            <w:tcMar>
              <w:top w:type="dxa" w:w="60"/>
              <w:left w:type="dxa" w:w="100"/>
              <w:bottom w:type="dxa" w:w="60"/>
              <w:right w:type="dxa" w:w="100"/>
            </w:tcMar>
          </w:tcPr>
          <w:p>
            <w:pPr>
              <w:spacing w:after="0" w:line="260"/>
            </w:pPr>
            <w:r>
              <w:rPr>
                <w:b w:val="false"/>
                <w:bCs w:val="false"/>
                <w:sz w:val="20"/>
                <w:szCs w:val="20"/>
              </w:rPr>
              <w:t xml:space="preserve">Citations by name and year in parentheses; reference list alphabetical by first author; only cited works listed; journal abbreviations per LTWA; DOI given where available</w:t>
            </w:r>
          </w:p>
        </w:tc>
        <w:tc>
          <w:tcPr>
            <w:tcW w:type="dxa" w:w="3826"/>
            <w:tcMar>
              <w:top w:type="dxa" w:w="60"/>
              <w:left w:type="dxa" w:w="100"/>
              <w:bottom w:type="dxa" w:w="60"/>
              <w:right w:type="dxa" w:w="100"/>
            </w:tcMar>
          </w:tcPr>
          <w:p>
            <w:pPr>
              <w:spacing w:after="0" w:line="260"/>
            </w:pPr>
            <w:r>
              <w:rPr>
                <w:b w:val="false"/>
                <w:bCs w:val="false"/>
                <w:sz w:val="20"/>
                <w:szCs w:val="20"/>
              </w:rPr>
              <w:t xml:space="preserve">Met</w:t>
            </w:r>
          </w:p>
        </w:tc>
      </w:tr>
      <w:tr>
        <w:tc>
          <w:tcPr>
            <w:tcW w:type="dxa" w:w="5200"/>
            <w:tcMar>
              <w:top w:type="dxa" w:w="60"/>
              <w:left w:type="dxa" w:w="100"/>
              <w:bottom w:type="dxa" w:w="60"/>
              <w:right w:type="dxa" w:w="100"/>
            </w:tcMar>
          </w:tcPr>
          <w:p>
            <w:pPr>
              <w:spacing w:after="0" w:line="260"/>
            </w:pPr>
            <w:r>
              <w:rPr>
                <w:b w:val="false"/>
                <w:bCs w:val="false"/>
                <w:sz w:val="20"/>
                <w:szCs w:val="20"/>
              </w:rPr>
              <w:t xml:space="preserve">Tables numbered, cited consecutively, each with a caption; footnotes with superscript lower-case letters</w:t>
            </w:r>
          </w:p>
        </w:tc>
        <w:tc>
          <w:tcPr>
            <w:tcW w:type="dxa" w:w="3826"/>
            <w:tcMar>
              <w:top w:type="dxa" w:w="60"/>
              <w:left w:type="dxa" w:w="100"/>
              <w:bottom w:type="dxa" w:w="60"/>
              <w:right w:type="dxa" w:w="100"/>
            </w:tcMar>
          </w:tcPr>
          <w:p>
            <w:pPr>
              <w:spacing w:after="0" w:line="260"/>
            </w:pPr>
            <w:r>
              <w:rPr>
                <w:b w:val="false"/>
                <w:bCs w:val="false"/>
                <w:sz w:val="20"/>
                <w:szCs w:val="20"/>
              </w:rPr>
              <w:t xml:space="preserve">Met</w:t>
            </w:r>
          </w:p>
        </w:tc>
      </w:tr>
      <w:tr>
        <w:tc>
          <w:tcPr>
            <w:tcW w:type="dxa" w:w="5200"/>
            <w:tcMar>
              <w:top w:type="dxa" w:w="60"/>
              <w:left w:type="dxa" w:w="100"/>
              <w:bottom w:type="dxa" w:w="60"/>
              <w:right w:type="dxa" w:w="100"/>
            </w:tcMar>
          </w:tcPr>
          <w:p>
            <w:pPr>
              <w:spacing w:after="0" w:line="260"/>
            </w:pPr>
            <w:r>
              <w:rPr>
                <w:b w:val="false"/>
                <w:bCs w:val="false"/>
                <w:sz w:val="20"/>
                <w:szCs w:val="20"/>
              </w:rPr>
              <w:t xml:space="preserve">Figures numbered, cited consecutively, submitted within the body of the text; captions begin 'Fig.' in bold, no punctuation after number or at end; halftones at least 300 dpi</w:t>
            </w:r>
          </w:p>
        </w:tc>
        <w:tc>
          <w:tcPr>
            <w:tcW w:type="dxa" w:w="3826"/>
            <w:tcMar>
              <w:top w:type="dxa" w:w="60"/>
              <w:left w:type="dxa" w:w="100"/>
              <w:bottom w:type="dxa" w:w="60"/>
              <w:right w:type="dxa" w:w="100"/>
            </w:tcMar>
          </w:tcPr>
          <w:p>
            <w:pPr>
              <w:spacing w:after="0" w:line="260"/>
            </w:pPr>
            <w:r>
              <w:rPr>
                <w:b w:val="false"/>
                <w:bCs w:val="false"/>
                <w:sz w:val="20"/>
                <w:szCs w:val="20"/>
              </w:rPr>
              <w:t xml:space="preserve">Met for placement and captions. Resolution: Fig. 1 is 810 × 1080 px and Fig. 2 is 1235 × 905 px; both exceed 300 dpi at a single-column width of about 8 cm but a higher-resolution export of the ECG is preferable if available</w:t>
            </w:r>
          </w:p>
        </w:tc>
      </w:tr>
      <w:tr>
        <w:tc>
          <w:tcPr>
            <w:tcW w:type="dxa" w:w="5200"/>
            <w:tcMar>
              <w:top w:type="dxa" w:w="60"/>
              <w:left w:type="dxa" w:w="100"/>
              <w:bottom w:type="dxa" w:w="60"/>
              <w:right w:type="dxa" w:w="100"/>
            </w:tcMar>
          </w:tcPr>
          <w:p>
            <w:pPr>
              <w:spacing w:after="0" w:line="260"/>
            </w:pPr>
            <w:r>
              <w:rPr>
                <w:b w:val="false"/>
                <w:bCs w:val="false"/>
                <w:sz w:val="20"/>
                <w:szCs w:val="20"/>
              </w:rPr>
              <w:t xml:space="preserve">Statements and Declarations section before the reference list (Funding, Competing interests, Ethics approval, Consent, Data availability, Author contributions)</w:t>
            </w:r>
          </w:p>
        </w:tc>
        <w:tc>
          <w:tcPr>
            <w:tcW w:type="dxa" w:w="3826"/>
            <w:tcMar>
              <w:top w:type="dxa" w:w="60"/>
              <w:left w:type="dxa" w:w="100"/>
              <w:bottom w:type="dxa" w:w="60"/>
              <w:right w:type="dxa" w:w="100"/>
            </w:tcMar>
          </w:tcPr>
          <w:p>
            <w:pPr>
              <w:spacing w:after="0" w:line="260"/>
            </w:pPr>
            <w:r>
              <w:rPr>
                <w:b w:val="false"/>
                <w:bCs w:val="false"/>
                <w:sz w:val="20"/>
                <w:szCs w:val="20"/>
              </w:rPr>
              <w:t xml:space="preserve">Met; ethics wording to be confirmed (see Section 4)</w:t>
            </w:r>
          </w:p>
        </w:tc>
      </w:tr>
      <w:tr>
        <w:tc>
          <w:tcPr>
            <w:tcW w:type="dxa" w:w="5200"/>
            <w:tcMar>
              <w:top w:type="dxa" w:w="60"/>
              <w:left w:type="dxa" w:w="100"/>
              <w:bottom w:type="dxa" w:w="60"/>
              <w:right w:type="dxa" w:w="100"/>
            </w:tcMar>
          </w:tcPr>
          <w:p>
            <w:pPr>
              <w:spacing w:after="0" w:line="260"/>
            </w:pPr>
            <w:r>
              <w:rPr>
                <w:b w:val="false"/>
                <w:bCs w:val="false"/>
                <w:sz w:val="20"/>
                <w:szCs w:val="20"/>
              </w:rPr>
              <w:t xml:space="preserve">Case reports require ethics approval or a documented exemption; informed consent to publish, with Springer's consent form available</w:t>
            </w:r>
          </w:p>
        </w:tc>
        <w:tc>
          <w:tcPr>
            <w:tcW w:type="dxa" w:w="3826"/>
            <w:tcMar>
              <w:top w:type="dxa" w:w="60"/>
              <w:left w:type="dxa" w:w="100"/>
              <w:bottom w:type="dxa" w:w="60"/>
              <w:right w:type="dxa" w:w="100"/>
            </w:tcMar>
          </w:tcPr>
          <w:p>
            <w:pPr>
              <w:spacing w:after="0" w:line="260"/>
            </w:pPr>
            <w:r>
              <w:rPr>
                <w:b w:val="false"/>
                <w:bCs w:val="false"/>
                <w:sz w:val="20"/>
                <w:szCs w:val="20"/>
              </w:rPr>
              <w:t xml:space="preserve">Statement drafted; institutional confirmation needed (Section 4)</w:t>
            </w:r>
          </w:p>
        </w:tc>
      </w:tr>
      <w:tr>
        <w:tc>
          <w:tcPr>
            <w:tcW w:type="dxa" w:w="5200"/>
            <w:tcMar>
              <w:top w:type="dxa" w:w="60"/>
              <w:left w:type="dxa" w:w="100"/>
              <w:bottom w:type="dxa" w:w="60"/>
              <w:right w:type="dxa" w:w="100"/>
            </w:tcMar>
          </w:tcPr>
          <w:p>
            <w:pPr>
              <w:spacing w:after="0" w:line="260"/>
            </w:pPr>
            <w:r>
              <w:rPr>
                <w:b w:val="false"/>
                <w:bCs w:val="false"/>
                <w:sz w:val="20"/>
                <w:szCs w:val="20"/>
              </w:rPr>
              <w:t xml:space="preserve">Reporting guideline (CARE) recommended</w:t>
            </w:r>
          </w:p>
        </w:tc>
        <w:tc>
          <w:tcPr>
            <w:tcW w:type="dxa" w:w="3826"/>
            <w:tcMar>
              <w:top w:type="dxa" w:w="60"/>
              <w:left w:type="dxa" w:w="100"/>
              <w:bottom w:type="dxa" w:w="60"/>
              <w:right w:type="dxa" w:w="100"/>
            </w:tcMar>
          </w:tcPr>
          <w:p>
            <w:pPr>
              <w:spacing w:after="0" w:line="260"/>
            </w:pPr>
            <w:r>
              <w:rPr>
                <w:b w:val="false"/>
                <w:bCs w:val="false"/>
                <w:sz w:val="20"/>
                <w:szCs w:val="20"/>
              </w:rPr>
              <w:t xml:space="preserve">Met; Online Resource 1</w:t>
            </w:r>
          </w:p>
        </w:tc>
      </w:tr>
      <w:tr>
        <w:tc>
          <w:tcPr>
            <w:tcW w:type="dxa" w:w="5200"/>
            <w:tcMar>
              <w:top w:type="dxa" w:w="60"/>
              <w:left w:type="dxa" w:w="100"/>
              <w:bottom w:type="dxa" w:w="60"/>
              <w:right w:type="dxa" w:w="100"/>
            </w:tcMar>
          </w:tcPr>
          <w:p>
            <w:pPr>
              <w:spacing w:after="0" w:line="260"/>
            </w:pPr>
            <w:r>
              <w:rPr>
                <w:b w:val="false"/>
                <w:bCs w:val="false"/>
                <w:sz w:val="20"/>
                <w:szCs w:val="20"/>
              </w:rPr>
              <w:t xml:space="preserve">Source files (editable .docx) at submission</w:t>
            </w:r>
          </w:p>
        </w:tc>
        <w:tc>
          <w:tcPr>
            <w:tcW w:type="dxa" w:w="3826"/>
            <w:tcMar>
              <w:top w:type="dxa" w:w="60"/>
              <w:left w:type="dxa" w:w="100"/>
              <w:bottom w:type="dxa" w:w="60"/>
              <w:right w:type="dxa" w:w="100"/>
            </w:tcMar>
          </w:tcPr>
          <w:p>
            <w:pPr>
              <w:spacing w:after="0" w:line="260"/>
            </w:pPr>
            <w:r>
              <w:rPr>
                <w:b w:val="false"/>
                <w:bCs w:val="false"/>
                <w:sz w:val="20"/>
                <w:szCs w:val="20"/>
              </w:rPr>
              <w:t xml:space="preserve">Met</w:t>
            </w:r>
          </w:p>
        </w:tc>
      </w:tr>
      <w:tr>
        <w:tc>
          <w:tcPr>
            <w:tcW w:type="dxa" w:w="5200"/>
            <w:tcMar>
              <w:top w:type="dxa" w:w="60"/>
              <w:left w:type="dxa" w:w="100"/>
              <w:bottom w:type="dxa" w:w="60"/>
              <w:right w:type="dxa" w:w="100"/>
            </w:tcMar>
          </w:tcPr>
          <w:p>
            <w:pPr>
              <w:spacing w:after="0" w:line="260"/>
            </w:pPr>
            <w:r>
              <w:rPr>
                <w:b w:val="false"/>
                <w:bCs w:val="false"/>
                <w:sz w:val="20"/>
                <w:szCs w:val="20"/>
              </w:rPr>
              <w:t xml:space="preserve">Declarations also entered in the submission interface (author contributions, competing interests, funding)</w:t>
            </w:r>
          </w:p>
        </w:tc>
        <w:tc>
          <w:tcPr>
            <w:tcW w:type="dxa" w:w="3826"/>
            <w:tcMar>
              <w:top w:type="dxa" w:w="60"/>
              <w:left w:type="dxa" w:w="100"/>
              <w:bottom w:type="dxa" w:w="60"/>
              <w:right w:type="dxa" w:w="100"/>
            </w:tcMar>
          </w:tcPr>
          <w:p>
            <w:pPr>
              <w:spacing w:after="0" w:line="260"/>
            </w:pPr>
            <w:r>
              <w:rPr>
                <w:b w:val="false"/>
                <w:bCs w:val="false"/>
                <w:sz w:val="20"/>
                <w:szCs w:val="20"/>
              </w:rPr>
              <w:t xml:space="preserve">To be entered by the corresponding author during online submission</w:t>
            </w:r>
          </w:p>
        </w:tc>
      </w:tr>
    </w:tbl>
    <w:p>
      <w:pPr>
        <w:pStyle w:val="Heading1"/>
      </w:pPr>
      <w:r>
        <w:rPr>
          <w:rFonts w:ascii="Times New Roman" w:cs="Times New Roman" w:eastAsia="Times New Roman" w:hAnsi="Times New Roman"/>
          <w:b/>
          <w:bCs/>
          <w:color w:val="1F4E79"/>
          <w:sz w:val="28"/>
          <w:szCs w:val="28"/>
        </w:rPr>
        <w:t xml:space="preserve">4. Items to complete before submission</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2800"/>
        <w:gridCol w:w="5726"/>
      </w:tblGrid>
      <w:tr>
        <w:trPr>
          <w:tblHeader/>
        </w:trPr>
        <w:tc>
          <w:tcPr>
            <w:tcW w:type="dxa" w:w="500"/>
            <w:shd w:fill="DCE6F1" w:color="auto" w:val="clear"/>
            <w:tcMar>
              <w:top w:type="dxa" w:w="60"/>
              <w:left w:type="dxa" w:w="100"/>
              <w:bottom w:type="dxa" w:w="60"/>
              <w:right w:type="dxa" w:w="100"/>
            </w:tcMar>
          </w:tcPr>
          <w:p>
            <w:pPr>
              <w:spacing w:after="0" w:line="260"/>
            </w:pPr>
            <w:r>
              <w:rPr>
                <w:b/>
                <w:bCs/>
                <w:sz w:val="20"/>
                <w:szCs w:val="20"/>
              </w:rPr>
              <w:t xml:space="preserve">#</w:t>
            </w:r>
          </w:p>
        </w:tc>
        <w:tc>
          <w:tcPr>
            <w:tcW w:type="dxa" w:w="2800"/>
            <w:shd w:fill="DCE6F1" w:color="auto" w:val="clear"/>
            <w:tcMar>
              <w:top w:type="dxa" w:w="60"/>
              <w:left w:type="dxa" w:w="100"/>
              <w:bottom w:type="dxa" w:w="60"/>
              <w:right w:type="dxa" w:w="100"/>
            </w:tcMar>
          </w:tcPr>
          <w:p>
            <w:pPr>
              <w:spacing w:after="0" w:line="260"/>
            </w:pPr>
            <w:r>
              <w:rPr>
                <w:b/>
                <w:bCs/>
                <w:sz w:val="20"/>
                <w:szCs w:val="20"/>
              </w:rPr>
              <w:t xml:space="preserve">Item</w:t>
            </w:r>
          </w:p>
        </w:tc>
        <w:tc>
          <w:tcPr>
            <w:tcW w:type="dxa" w:w="5726"/>
            <w:shd w:fill="DCE6F1" w:color="auto" w:val="clear"/>
            <w:tcMar>
              <w:top w:type="dxa" w:w="60"/>
              <w:left w:type="dxa" w:w="100"/>
              <w:bottom w:type="dxa" w:w="60"/>
              <w:right w:type="dxa" w:w="100"/>
            </w:tcMar>
          </w:tcPr>
          <w:p>
            <w:pPr>
              <w:spacing w:after="0" w:line="260"/>
            </w:pPr>
            <w:r>
              <w:rPr>
                <w:b/>
                <w:bCs/>
                <w:sz w:val="20"/>
                <w:szCs w:val="20"/>
              </w:rPr>
              <w:t xml:space="preserve">Action</w:t>
            </w:r>
          </w:p>
        </w:tc>
      </w:tr>
      <w:tr>
        <w:tc>
          <w:tcPr>
            <w:tcW w:type="dxa" w:w="500"/>
            <w:tcMar>
              <w:top w:type="dxa" w:w="60"/>
              <w:left w:type="dxa" w:w="100"/>
              <w:bottom w:type="dxa" w:w="60"/>
              <w:right w:type="dxa" w:w="100"/>
            </w:tcMar>
          </w:tcPr>
          <w:p>
            <w:pPr>
              <w:spacing w:after="0" w:line="260"/>
            </w:pPr>
            <w:r>
              <w:rPr>
                <w:b w:val="false"/>
                <w:bCs w:val="false"/>
                <w:sz w:val="20"/>
                <w:szCs w:val="20"/>
              </w:rPr>
              <w:t xml:space="preserve">1</w:t>
            </w:r>
          </w:p>
        </w:tc>
        <w:tc>
          <w:tcPr>
            <w:tcW w:type="dxa" w:w="2800"/>
            <w:tcMar>
              <w:top w:type="dxa" w:w="60"/>
              <w:left w:type="dxa" w:w="100"/>
              <w:bottom w:type="dxa" w:w="60"/>
              <w:right w:type="dxa" w:w="100"/>
            </w:tcMar>
          </w:tcPr>
          <w:p>
            <w:pPr>
              <w:spacing w:after="0" w:line="260"/>
            </w:pPr>
            <w:r>
              <w:rPr>
                <w:b w:val="false"/>
                <w:bCs w:val="false"/>
                <w:sz w:val="20"/>
                <w:szCs w:val="20"/>
              </w:rPr>
              <w:t xml:space="preserve">Ethics approval statement</w:t>
            </w:r>
          </w:p>
        </w:tc>
        <w:tc>
          <w:tcPr>
            <w:tcW w:type="dxa" w:w="5726"/>
            <w:tcMar>
              <w:top w:type="dxa" w:w="60"/>
              <w:left w:type="dxa" w:w="100"/>
              <w:bottom w:type="dxa" w:w="60"/>
              <w:right w:type="dxa" w:w="100"/>
            </w:tcMar>
          </w:tcPr>
          <w:p>
            <w:pPr>
              <w:spacing w:after="0" w:line="260"/>
            </w:pPr>
            <w:r>
              <w:rPr>
                <w:b w:val="false"/>
                <w:bCs w:val="false"/>
                <w:sz w:val="20"/>
                <w:szCs w:val="20"/>
              </w:rPr>
              <w:t xml:space="preserve">The journal states that case reports require ethics approval or a documented exemption naming the committee. The drafted wording says institutional permission was obtained under Muhimbili National Hospital policy. Replace it with the exact wording and reference number from the MNH or MUHAS research and publications committee, or with a written exemption; without one the editor may return the submission.</w:t>
            </w:r>
          </w:p>
        </w:tc>
      </w:tr>
      <w:tr>
        <w:tc>
          <w:tcPr>
            <w:tcW w:type="dxa" w:w="500"/>
            <w:tcMar>
              <w:top w:type="dxa" w:w="60"/>
              <w:left w:type="dxa" w:w="100"/>
              <w:bottom w:type="dxa" w:w="60"/>
              <w:right w:type="dxa" w:w="100"/>
            </w:tcMar>
          </w:tcPr>
          <w:p>
            <w:pPr>
              <w:spacing w:after="0" w:line="260"/>
            </w:pPr>
            <w:r>
              <w:rPr>
                <w:b w:val="false"/>
                <w:bCs w:val="false"/>
                <w:sz w:val="20"/>
                <w:szCs w:val="20"/>
              </w:rPr>
              <w:t xml:space="preserve">2</w:t>
            </w:r>
          </w:p>
        </w:tc>
        <w:tc>
          <w:tcPr>
            <w:tcW w:type="dxa" w:w="2800"/>
            <w:tcMar>
              <w:top w:type="dxa" w:w="60"/>
              <w:left w:type="dxa" w:w="100"/>
              <w:bottom w:type="dxa" w:w="60"/>
              <w:right w:type="dxa" w:w="100"/>
            </w:tcMar>
          </w:tcPr>
          <w:p>
            <w:pPr>
              <w:spacing w:after="0" w:line="260"/>
            </w:pPr>
            <w:r>
              <w:rPr>
                <w:b w:val="false"/>
                <w:bCs w:val="false"/>
                <w:sz w:val="20"/>
                <w:szCs w:val="20"/>
              </w:rPr>
              <w:t xml:space="preserve">Consent to publish</w:t>
            </w:r>
          </w:p>
        </w:tc>
        <w:tc>
          <w:tcPr>
            <w:tcW w:type="dxa" w:w="5726"/>
            <w:tcMar>
              <w:top w:type="dxa" w:w="60"/>
              <w:left w:type="dxa" w:w="100"/>
              <w:bottom w:type="dxa" w:w="60"/>
              <w:right w:type="dxa" w:w="100"/>
            </w:tcMar>
          </w:tcPr>
          <w:p>
            <w:pPr>
              <w:spacing w:after="0" w:line="260"/>
            </w:pPr>
            <w:r>
              <w:rPr>
                <w:b w:val="false"/>
                <w:bCs w:val="false"/>
                <w:sz w:val="20"/>
                <w:szCs w:val="20"/>
              </w:rPr>
              <w:t xml:space="preserve">Have the patient sign Springer Nature's consent form (downloadable from the journal's submission guidelines) in addition to the local form, and keep it available; the journal may request it.</w:t>
            </w:r>
          </w:p>
        </w:tc>
      </w:tr>
      <w:tr>
        <w:tc>
          <w:tcPr>
            <w:tcW w:type="dxa" w:w="500"/>
            <w:tcMar>
              <w:top w:type="dxa" w:w="60"/>
              <w:left w:type="dxa" w:w="100"/>
              <w:bottom w:type="dxa" w:w="60"/>
              <w:right w:type="dxa" w:w="100"/>
            </w:tcMar>
          </w:tcPr>
          <w:p>
            <w:pPr>
              <w:spacing w:after="0" w:line="260"/>
            </w:pPr>
            <w:r>
              <w:rPr>
                <w:b w:val="false"/>
                <w:bCs w:val="false"/>
                <w:sz w:val="20"/>
                <w:szCs w:val="20"/>
              </w:rPr>
              <w:t xml:space="preserve">3</w:t>
            </w:r>
          </w:p>
        </w:tc>
        <w:tc>
          <w:tcPr>
            <w:tcW w:type="dxa" w:w="2800"/>
            <w:tcMar>
              <w:top w:type="dxa" w:w="60"/>
              <w:left w:type="dxa" w:w="100"/>
              <w:bottom w:type="dxa" w:w="60"/>
              <w:right w:type="dxa" w:w="100"/>
            </w:tcMar>
          </w:tcPr>
          <w:p>
            <w:pPr>
              <w:spacing w:after="0" w:line="260"/>
            </w:pPr>
            <w:r>
              <w:rPr>
                <w:b w:val="false"/>
                <w:bCs w:val="false"/>
                <w:sz w:val="20"/>
                <w:szCs w:val="20"/>
              </w:rPr>
              <w:t xml:space="preserve">ORCID identifiers</w:t>
            </w:r>
          </w:p>
        </w:tc>
        <w:tc>
          <w:tcPr>
            <w:tcW w:type="dxa" w:w="5726"/>
            <w:tcMar>
              <w:top w:type="dxa" w:w="60"/>
              <w:left w:type="dxa" w:w="100"/>
              <w:bottom w:type="dxa" w:w="60"/>
              <w:right w:type="dxa" w:w="100"/>
            </w:tcMar>
          </w:tcPr>
          <w:p>
            <w:pPr>
              <w:spacing w:after="0" w:line="260"/>
            </w:pPr>
            <w:r>
              <w:rPr>
                <w:b w:val="false"/>
                <w:bCs w:val="false"/>
                <w:sz w:val="20"/>
                <w:szCs w:val="20"/>
              </w:rPr>
              <w:t xml:space="preserve">Recommended by the journal; each author can create one free of charge in minutes.</w:t>
            </w:r>
          </w:p>
        </w:tc>
      </w:tr>
      <w:tr>
        <w:tc>
          <w:tcPr>
            <w:tcW w:type="dxa" w:w="500"/>
            <w:tcMar>
              <w:top w:type="dxa" w:w="60"/>
              <w:left w:type="dxa" w:w="100"/>
              <w:bottom w:type="dxa" w:w="60"/>
              <w:right w:type="dxa" w:w="100"/>
            </w:tcMar>
          </w:tcPr>
          <w:p>
            <w:pPr>
              <w:spacing w:after="0" w:line="260"/>
            </w:pPr>
            <w:r>
              <w:rPr>
                <w:b w:val="false"/>
                <w:bCs w:val="false"/>
                <w:sz w:val="20"/>
                <w:szCs w:val="20"/>
              </w:rPr>
              <w:t xml:space="preserve">4</w:t>
            </w:r>
          </w:p>
        </w:tc>
        <w:tc>
          <w:tcPr>
            <w:tcW w:type="dxa" w:w="2800"/>
            <w:tcMar>
              <w:top w:type="dxa" w:w="60"/>
              <w:left w:type="dxa" w:w="100"/>
              <w:bottom w:type="dxa" w:w="60"/>
              <w:right w:type="dxa" w:w="100"/>
            </w:tcMar>
          </w:tcPr>
          <w:p>
            <w:pPr>
              <w:spacing w:after="0" w:line="260"/>
            </w:pPr>
            <w:r>
              <w:rPr>
                <w:b w:val="false"/>
                <w:bCs w:val="false"/>
                <w:sz w:val="20"/>
                <w:szCs w:val="20"/>
              </w:rPr>
              <w:t xml:space="preserve">Ionised calcium 0.43 mmol/L</w:t>
            </w:r>
          </w:p>
        </w:tc>
        <w:tc>
          <w:tcPr>
            <w:tcW w:type="dxa" w:w="5726"/>
            <w:tcMar>
              <w:top w:type="dxa" w:w="60"/>
              <w:left w:type="dxa" w:w="100"/>
              <w:bottom w:type="dxa" w:w="60"/>
              <w:right w:type="dxa" w:w="100"/>
            </w:tcMar>
          </w:tcPr>
          <w:p>
            <w:pPr>
              <w:spacing w:after="0" w:line="260"/>
            </w:pPr>
            <w:r>
              <w:rPr>
                <w:b w:val="false"/>
                <w:bCs w:val="false"/>
                <w:sz w:val="20"/>
                <w:szCs w:val="20"/>
              </w:rPr>
              <w:t xml:space="preserve">Unchanged from the earlier review: confirm against the laboratory record; if it is a transcription or analyser error, correct the Abstract, Diagnostic assessment, Table 2 and the Strengths and limitations paragraph.</w:t>
            </w:r>
          </w:p>
        </w:tc>
      </w:tr>
      <w:tr>
        <w:tc>
          <w:tcPr>
            <w:tcW w:type="dxa" w:w="500"/>
            <w:tcMar>
              <w:top w:type="dxa" w:w="60"/>
              <w:left w:type="dxa" w:w="100"/>
              <w:bottom w:type="dxa" w:w="60"/>
              <w:right w:type="dxa" w:w="100"/>
            </w:tcMar>
          </w:tcPr>
          <w:p>
            <w:pPr>
              <w:spacing w:after="0" w:line="260"/>
            </w:pPr>
            <w:r>
              <w:rPr>
                <w:b w:val="false"/>
                <w:bCs w:val="false"/>
                <w:sz w:val="20"/>
                <w:szCs w:val="20"/>
              </w:rPr>
              <w:t xml:space="preserve">5</w:t>
            </w:r>
          </w:p>
        </w:tc>
        <w:tc>
          <w:tcPr>
            <w:tcW w:type="dxa" w:w="2800"/>
            <w:tcMar>
              <w:top w:type="dxa" w:w="60"/>
              <w:left w:type="dxa" w:w="100"/>
              <w:bottom w:type="dxa" w:w="60"/>
              <w:right w:type="dxa" w:w="100"/>
            </w:tcMar>
          </w:tcPr>
          <w:p>
            <w:pPr>
              <w:spacing w:after="0" w:line="260"/>
            </w:pPr>
            <w:r>
              <w:rPr>
                <w:b w:val="false"/>
                <w:bCs w:val="false"/>
                <w:sz w:val="20"/>
                <w:szCs w:val="20"/>
              </w:rPr>
              <w:t xml:space="preserve">Thyroid function and other 'within reference range' rows</w:t>
            </w:r>
          </w:p>
        </w:tc>
        <w:tc>
          <w:tcPr>
            <w:tcW w:type="dxa" w:w="5726"/>
            <w:tcMar>
              <w:top w:type="dxa" w:w="60"/>
              <w:left w:type="dxa" w:w="100"/>
              <w:bottom w:type="dxa" w:w="60"/>
              <w:right w:type="dxa" w:w="100"/>
            </w:tcMar>
          </w:tcPr>
          <w:p>
            <w:pPr>
              <w:spacing w:after="0" w:line="260"/>
            </w:pPr>
            <w:r>
              <w:rPr>
                <w:b w:val="false"/>
                <w:bCs w:val="false"/>
                <w:sz w:val="20"/>
                <w:szCs w:val="20"/>
              </w:rPr>
              <w:t xml:space="preserve">Insert the actual values in Table 2; TSH and free T4 support the PHP type 1B argument.</w:t>
            </w:r>
          </w:p>
        </w:tc>
      </w:tr>
      <w:tr>
        <w:tc>
          <w:tcPr>
            <w:tcW w:type="dxa" w:w="500"/>
            <w:tcMar>
              <w:top w:type="dxa" w:w="60"/>
              <w:left w:type="dxa" w:w="100"/>
              <w:bottom w:type="dxa" w:w="60"/>
              <w:right w:type="dxa" w:w="100"/>
            </w:tcMar>
          </w:tcPr>
          <w:p>
            <w:pPr>
              <w:spacing w:after="0" w:line="260"/>
            </w:pPr>
            <w:r>
              <w:rPr>
                <w:b w:val="false"/>
                <w:bCs w:val="false"/>
                <w:sz w:val="20"/>
                <w:szCs w:val="20"/>
              </w:rPr>
              <w:t xml:space="preserve">6</w:t>
            </w:r>
          </w:p>
        </w:tc>
        <w:tc>
          <w:tcPr>
            <w:tcW w:type="dxa" w:w="2800"/>
            <w:tcMar>
              <w:top w:type="dxa" w:w="60"/>
              <w:left w:type="dxa" w:w="100"/>
              <w:bottom w:type="dxa" w:w="60"/>
              <w:right w:type="dxa" w:w="100"/>
            </w:tcMar>
          </w:tcPr>
          <w:p>
            <w:pPr>
              <w:spacing w:after="0" w:line="260"/>
            </w:pPr>
            <w:r>
              <w:rPr>
                <w:b w:val="false"/>
                <w:bCs w:val="false"/>
                <w:sz w:val="20"/>
                <w:szCs w:val="20"/>
              </w:rPr>
              <w:t xml:space="preserve">Laboratory reference ranges</w:t>
            </w:r>
          </w:p>
        </w:tc>
        <w:tc>
          <w:tcPr>
            <w:tcW w:type="dxa" w:w="5726"/>
            <w:tcMar>
              <w:top w:type="dxa" w:w="60"/>
              <w:left w:type="dxa" w:w="100"/>
              <w:bottom w:type="dxa" w:w="60"/>
              <w:right w:type="dxa" w:w="100"/>
            </w:tcMar>
          </w:tcPr>
          <w:p>
            <w:pPr>
              <w:spacing w:after="0" w:line="260"/>
            </w:pPr>
            <w:r>
              <w:rPr>
                <w:b w:val="false"/>
                <w:bCs w:val="false"/>
                <w:sz w:val="20"/>
                <w:szCs w:val="20"/>
              </w:rPr>
              <w:t xml:space="preserve">Replace the typical ranges in Table 2 with the laboratory's own where the draft gave none.</w:t>
            </w:r>
          </w:p>
        </w:tc>
      </w:tr>
      <w:tr>
        <w:tc>
          <w:tcPr>
            <w:tcW w:type="dxa" w:w="500"/>
            <w:tcMar>
              <w:top w:type="dxa" w:w="60"/>
              <w:left w:type="dxa" w:w="100"/>
              <w:bottom w:type="dxa" w:w="60"/>
              <w:right w:type="dxa" w:w="100"/>
            </w:tcMar>
          </w:tcPr>
          <w:p>
            <w:pPr>
              <w:spacing w:after="0" w:line="260"/>
            </w:pPr>
            <w:r>
              <w:rPr>
                <w:b w:val="false"/>
                <w:bCs w:val="false"/>
                <w:sz w:val="20"/>
                <w:szCs w:val="20"/>
              </w:rPr>
              <w:t xml:space="preserve">7</w:t>
            </w:r>
          </w:p>
        </w:tc>
        <w:tc>
          <w:tcPr>
            <w:tcW w:type="dxa" w:w="2800"/>
            <w:tcMar>
              <w:top w:type="dxa" w:w="60"/>
              <w:left w:type="dxa" w:w="100"/>
              <w:bottom w:type="dxa" w:w="60"/>
              <w:right w:type="dxa" w:w="100"/>
            </w:tcMar>
          </w:tcPr>
          <w:p>
            <w:pPr>
              <w:spacing w:after="0" w:line="260"/>
            </w:pPr>
            <w:r>
              <w:rPr>
                <w:b w:val="false"/>
                <w:bCs w:val="false"/>
                <w:sz w:val="20"/>
                <w:szCs w:val="20"/>
              </w:rPr>
              <w:t xml:space="preserve">Calcium carbonate dose and intravenous calcium details</w:t>
            </w:r>
          </w:p>
        </w:tc>
        <w:tc>
          <w:tcPr>
            <w:tcW w:type="dxa" w:w="5726"/>
            <w:tcMar>
              <w:top w:type="dxa" w:w="60"/>
              <w:left w:type="dxa" w:w="100"/>
              <w:bottom w:type="dxa" w:w="60"/>
              <w:right w:type="dxa" w:w="100"/>
            </w:tcMar>
          </w:tcPr>
          <w:p>
            <w:pPr>
              <w:spacing w:after="0" w:line="260"/>
            </w:pPr>
            <w:r>
              <w:rPr>
                <w:b w:val="false"/>
                <w:bCs w:val="false"/>
                <w:sz w:val="20"/>
                <w:szCs w:val="20"/>
              </w:rPr>
              <w:t xml:space="preserve">State elemental calcium content and the number of boluses given.</w:t>
            </w:r>
          </w:p>
        </w:tc>
      </w:tr>
      <w:tr>
        <w:tc>
          <w:tcPr>
            <w:tcW w:type="dxa" w:w="500"/>
            <w:tcMar>
              <w:top w:type="dxa" w:w="60"/>
              <w:left w:type="dxa" w:w="100"/>
              <w:bottom w:type="dxa" w:w="60"/>
              <w:right w:type="dxa" w:w="100"/>
            </w:tcMar>
          </w:tcPr>
          <w:p>
            <w:pPr>
              <w:spacing w:after="0" w:line="260"/>
            </w:pPr>
            <w:r>
              <w:rPr>
                <w:b w:val="false"/>
                <w:bCs w:val="false"/>
                <w:sz w:val="20"/>
                <w:szCs w:val="20"/>
              </w:rPr>
              <w:t xml:space="preserve">8</w:t>
            </w:r>
          </w:p>
        </w:tc>
        <w:tc>
          <w:tcPr>
            <w:tcW w:type="dxa" w:w="2800"/>
            <w:tcMar>
              <w:top w:type="dxa" w:w="60"/>
              <w:left w:type="dxa" w:w="100"/>
              <w:bottom w:type="dxa" w:w="60"/>
              <w:right w:type="dxa" w:w="100"/>
            </w:tcMar>
          </w:tcPr>
          <w:p>
            <w:pPr>
              <w:spacing w:after="0" w:line="260"/>
            </w:pPr>
            <w:r>
              <w:rPr>
                <w:b w:val="false"/>
                <w:bCs w:val="false"/>
                <w:sz w:val="20"/>
                <w:szCs w:val="20"/>
              </w:rPr>
              <w:t xml:space="preserve">Follow-up biochemistry</w:t>
            </w:r>
          </w:p>
        </w:tc>
        <w:tc>
          <w:tcPr>
            <w:tcW w:type="dxa" w:w="5726"/>
            <w:tcMar>
              <w:top w:type="dxa" w:w="60"/>
              <w:left w:type="dxa" w:w="100"/>
              <w:bottom w:type="dxa" w:w="60"/>
              <w:right w:type="dxa" w:w="100"/>
            </w:tcMar>
          </w:tcPr>
          <w:p>
            <w:pPr>
              <w:spacing w:after="0" w:line="260"/>
            </w:pPr>
            <w:r>
              <w:rPr>
                <w:b w:val="false"/>
                <w:bCs w:val="false"/>
                <w:sz w:val="20"/>
                <w:szCs w:val="20"/>
              </w:rPr>
              <w:t xml:space="preserve">Add calcium, phosphate and PTH values at three months if available (CARE item 10b).</w:t>
            </w:r>
          </w:p>
        </w:tc>
      </w:tr>
      <w:tr>
        <w:tc>
          <w:tcPr>
            <w:tcW w:type="dxa" w:w="500"/>
            <w:tcMar>
              <w:top w:type="dxa" w:w="60"/>
              <w:left w:type="dxa" w:w="100"/>
              <w:bottom w:type="dxa" w:w="60"/>
              <w:right w:type="dxa" w:w="100"/>
            </w:tcMar>
          </w:tcPr>
          <w:p>
            <w:pPr>
              <w:spacing w:after="0" w:line="260"/>
            </w:pPr>
            <w:r>
              <w:rPr>
                <w:b w:val="false"/>
                <w:bCs w:val="false"/>
                <w:sz w:val="20"/>
                <w:szCs w:val="20"/>
              </w:rPr>
              <w:t xml:space="preserve">9</w:t>
            </w:r>
          </w:p>
        </w:tc>
        <w:tc>
          <w:tcPr>
            <w:tcW w:type="dxa" w:w="2800"/>
            <w:tcMar>
              <w:top w:type="dxa" w:w="60"/>
              <w:left w:type="dxa" w:w="100"/>
              <w:bottom w:type="dxa" w:w="60"/>
              <w:right w:type="dxa" w:w="100"/>
            </w:tcMar>
          </w:tcPr>
          <w:p>
            <w:pPr>
              <w:spacing w:after="0" w:line="260"/>
            </w:pPr>
            <w:r>
              <w:rPr>
                <w:b w:val="false"/>
                <w:bCs w:val="false"/>
                <w:sz w:val="20"/>
                <w:szCs w:val="20"/>
              </w:rPr>
              <w:t xml:space="preserve">First Tanzanian case claim</w:t>
            </w:r>
          </w:p>
        </w:tc>
        <w:tc>
          <w:tcPr>
            <w:tcW w:type="dxa" w:w="5726"/>
            <w:tcMar>
              <w:top w:type="dxa" w:w="60"/>
              <w:left w:type="dxa" w:w="100"/>
              <w:bottom w:type="dxa" w:w="60"/>
              <w:right w:type="dxa" w:w="100"/>
            </w:tcMar>
          </w:tcPr>
          <w:p>
            <w:pPr>
              <w:spacing w:after="0" w:line="260"/>
            </w:pPr>
            <w:r>
              <w:rPr>
                <w:b w:val="false"/>
                <w:bCs w:val="false"/>
                <w:sz w:val="20"/>
                <w:szCs w:val="20"/>
              </w:rPr>
              <w:t xml:space="preserve">The manuscript says the authors are not aware of a previously published case from Tanzania; a search of PubMed, African Journals Online and the Tanzania Journal of Health Research found none, but confirm before submission.</w:t>
            </w:r>
          </w:p>
        </w:tc>
      </w:tr>
      <w:tr>
        <w:tc>
          <w:tcPr>
            <w:tcW w:type="dxa" w:w="500"/>
            <w:tcMar>
              <w:top w:type="dxa" w:w="60"/>
              <w:left w:type="dxa" w:w="100"/>
              <w:bottom w:type="dxa" w:w="60"/>
              <w:right w:type="dxa" w:w="100"/>
            </w:tcMar>
          </w:tcPr>
          <w:p>
            <w:pPr>
              <w:spacing w:after="0" w:line="260"/>
            </w:pPr>
            <w:r>
              <w:rPr>
                <w:b w:val="false"/>
                <w:bCs w:val="false"/>
                <w:sz w:val="20"/>
                <w:szCs w:val="20"/>
              </w:rPr>
              <w:t xml:space="preserve">10</w:t>
            </w:r>
          </w:p>
        </w:tc>
        <w:tc>
          <w:tcPr>
            <w:tcW w:type="dxa" w:w="2800"/>
            <w:tcMar>
              <w:top w:type="dxa" w:w="60"/>
              <w:left w:type="dxa" w:w="100"/>
              <w:bottom w:type="dxa" w:w="60"/>
              <w:right w:type="dxa" w:w="100"/>
            </w:tcMar>
          </w:tcPr>
          <w:p>
            <w:pPr>
              <w:spacing w:after="0" w:line="260"/>
            </w:pPr>
            <w:r>
              <w:rPr>
                <w:b w:val="false"/>
                <w:bCs w:val="false"/>
                <w:sz w:val="20"/>
                <w:szCs w:val="20"/>
              </w:rPr>
              <w:t xml:space="preserve">AI-use statement</w:t>
            </w:r>
          </w:p>
        </w:tc>
        <w:tc>
          <w:tcPr>
            <w:tcW w:type="dxa" w:w="5726"/>
            <w:tcMar>
              <w:top w:type="dxa" w:w="60"/>
              <w:left w:type="dxa" w:w="100"/>
              <w:bottom w:type="dxa" w:w="60"/>
              <w:right w:type="dxa" w:w="100"/>
            </w:tcMar>
          </w:tcPr>
          <w:p>
            <w:pPr>
              <w:spacing w:after="0" w:line="260"/>
            </w:pPr>
            <w:r>
              <w:rPr>
                <w:b w:val="false"/>
                <w:bCs w:val="false"/>
                <w:sz w:val="20"/>
                <w:szCs w:val="20"/>
              </w:rPr>
              <w:t xml:space="preserve">Springer does not require a declaration for AI-assisted copy editing, but the journal's most recent case report included one and the statement drafted here is transparent; keep or delete as the authors prefer.</w:t>
            </w:r>
          </w:p>
        </w:tc>
      </w:tr>
      <w:tr>
        <w:tc>
          <w:tcPr>
            <w:tcW w:type="dxa" w:w="500"/>
            <w:tcMar>
              <w:top w:type="dxa" w:w="60"/>
              <w:left w:type="dxa" w:w="100"/>
              <w:bottom w:type="dxa" w:w="60"/>
              <w:right w:type="dxa" w:w="100"/>
            </w:tcMar>
          </w:tcPr>
          <w:p>
            <w:pPr>
              <w:spacing w:after="0" w:line="260"/>
            </w:pPr>
            <w:r>
              <w:rPr>
                <w:b w:val="false"/>
                <w:bCs w:val="false"/>
                <w:sz w:val="20"/>
                <w:szCs w:val="20"/>
              </w:rPr>
              <w:t xml:space="preserve">11</w:t>
            </w:r>
          </w:p>
        </w:tc>
        <w:tc>
          <w:tcPr>
            <w:tcW w:type="dxa" w:w="2800"/>
            <w:tcMar>
              <w:top w:type="dxa" w:w="60"/>
              <w:left w:type="dxa" w:w="100"/>
              <w:bottom w:type="dxa" w:w="60"/>
              <w:right w:type="dxa" w:w="100"/>
            </w:tcMar>
          </w:tcPr>
          <w:p>
            <w:pPr>
              <w:spacing w:after="0" w:line="260"/>
            </w:pPr>
            <w:r>
              <w:rPr>
                <w:b w:val="false"/>
                <w:bCs w:val="false"/>
                <w:sz w:val="20"/>
                <w:szCs w:val="20"/>
              </w:rPr>
              <w:t xml:space="preserve">Patient's perspective</w:t>
            </w:r>
          </w:p>
        </w:tc>
        <w:tc>
          <w:tcPr>
            <w:tcW w:type="dxa" w:w="5726"/>
            <w:tcMar>
              <w:top w:type="dxa" w:w="60"/>
              <w:left w:type="dxa" w:w="100"/>
              <w:bottom w:type="dxa" w:w="60"/>
              <w:right w:type="dxa" w:w="100"/>
            </w:tcMar>
          </w:tcPr>
          <w:p>
            <w:pPr>
              <w:spacing w:after="0" w:line="260"/>
            </w:pPr>
            <w:r>
              <w:rPr>
                <w:b w:val="false"/>
                <w:bCs w:val="false"/>
                <w:sz w:val="20"/>
                <w:szCs w:val="20"/>
              </w:rPr>
              <w:t xml:space="preserve">Optional under CARE (item 12); a short paragraph in the patient's words would strengthen the report if she agrees.</w:t>
            </w:r>
          </w:p>
        </w:tc>
      </w:tr>
      <w:tr>
        <w:tc>
          <w:tcPr>
            <w:tcW w:type="dxa" w:w="500"/>
            <w:tcMar>
              <w:top w:type="dxa" w:w="60"/>
              <w:left w:type="dxa" w:w="100"/>
              <w:bottom w:type="dxa" w:w="60"/>
              <w:right w:type="dxa" w:w="100"/>
            </w:tcMar>
          </w:tcPr>
          <w:p>
            <w:pPr>
              <w:spacing w:after="0" w:line="260"/>
            </w:pPr>
            <w:r>
              <w:rPr>
                <w:b w:val="false"/>
                <w:bCs w:val="false"/>
                <w:sz w:val="20"/>
                <w:szCs w:val="20"/>
              </w:rPr>
              <w:t xml:space="preserve">12</w:t>
            </w:r>
          </w:p>
        </w:tc>
        <w:tc>
          <w:tcPr>
            <w:tcW w:type="dxa" w:w="2800"/>
            <w:tcMar>
              <w:top w:type="dxa" w:w="60"/>
              <w:left w:type="dxa" w:w="100"/>
              <w:bottom w:type="dxa" w:w="60"/>
              <w:right w:type="dxa" w:w="100"/>
            </w:tcMar>
          </w:tcPr>
          <w:p>
            <w:pPr>
              <w:spacing w:after="0" w:line="260"/>
            </w:pPr>
            <w:r>
              <w:rPr>
                <w:b w:val="false"/>
                <w:bCs w:val="false"/>
                <w:sz w:val="20"/>
                <w:szCs w:val="20"/>
              </w:rPr>
              <w:t xml:space="preserve">Cover letter</w:t>
            </w:r>
          </w:p>
        </w:tc>
        <w:tc>
          <w:tcPr>
            <w:tcW w:type="dxa" w:w="5726"/>
            <w:tcMar>
              <w:top w:type="dxa" w:w="60"/>
              <w:left w:type="dxa" w:w="100"/>
              <w:bottom w:type="dxa" w:w="60"/>
              <w:right w:type="dxa" w:w="100"/>
            </w:tcMar>
          </w:tcPr>
          <w:p>
            <w:pPr>
              <w:spacing w:after="0" w:line="260"/>
            </w:pPr>
            <w:r>
              <w:rPr>
                <w:b w:val="false"/>
                <w:bCs w:val="false"/>
                <w:sz w:val="20"/>
                <w:szCs w:val="20"/>
              </w:rPr>
              <w:t xml:space="preserve">A draft is supplied (Cover_letter_JRareDis.docx); insert the date and sign.</w:t>
            </w:r>
          </w:p>
        </w:tc>
      </w:tr>
    </w:tbl>
    <w:p>
      <w:pPr>
        <w:pStyle w:val="Heading1"/>
      </w:pPr>
      <w:r>
        <w:rPr>
          <w:rFonts w:ascii="Times New Roman" w:cs="Times New Roman" w:eastAsia="Times New Roman" w:hAnsi="Times New Roman"/>
          <w:b/>
          <w:bCs/>
          <w:color w:val="1F4E79"/>
          <w:sz w:val="28"/>
          <w:szCs w:val="28"/>
        </w:rPr>
        <w:t xml:space="preserve">5. Reference list as it will appear (alphabetical, Springer format)</w:t>
      </w:r>
    </w:p>
    <w:p>
      <w:pPr>
        <w:spacing w:after="140" w:line="300"/>
      </w:pPr>
      <w:r>
        <w:t xml:space="preserve">All 20 references are cited in the text, verified against the source record, and formatted to the journal's examples. The list below is the order in which EndNote will number them if the journal's production style converts to numbered citations.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50"/>
        <w:gridCol w:w="4200"/>
        <w:gridCol w:w="4376"/>
      </w:tblGrid>
      <w:tr>
        <w:trPr>
          <w:tblHeader/>
        </w:trPr>
        <w:tc>
          <w:tcPr>
            <w:tcW w:type="dxa" w:w="450"/>
            <w:shd w:fill="DCE6F1" w:color="auto" w:val="clear"/>
            <w:tcMar>
              <w:top w:type="dxa" w:w="60"/>
              <w:left w:type="dxa" w:w="100"/>
              <w:bottom w:type="dxa" w:w="60"/>
              <w:right w:type="dxa" w:w="100"/>
            </w:tcMar>
          </w:tcPr>
          <w:p>
            <w:pPr>
              <w:spacing w:after="0" w:line="260"/>
            </w:pPr>
            <w:r>
              <w:rPr>
                <w:b/>
                <w:bCs/>
                <w:sz w:val="20"/>
                <w:szCs w:val="20"/>
              </w:rPr>
              <w:t xml:space="preserve">#</w:t>
            </w:r>
          </w:p>
        </w:tc>
        <w:tc>
          <w:tcPr>
            <w:tcW w:type="dxa" w:w="4200"/>
            <w:shd w:fill="DCE6F1" w:color="auto" w:val="clear"/>
            <w:tcMar>
              <w:top w:type="dxa" w:w="60"/>
              <w:left w:type="dxa" w:w="100"/>
              <w:bottom w:type="dxa" w:w="60"/>
              <w:right w:type="dxa" w:w="100"/>
            </w:tcMar>
          </w:tcPr>
          <w:p>
            <w:pPr>
              <w:spacing w:after="0" w:line="260"/>
            </w:pPr>
            <w:r>
              <w:rPr>
                <w:b/>
                <w:bCs/>
                <w:sz w:val="20"/>
                <w:szCs w:val="20"/>
              </w:rPr>
              <w:t xml:space="preserve">Reference</w:t>
            </w:r>
          </w:p>
        </w:tc>
        <w:tc>
          <w:tcPr>
            <w:tcW w:type="dxa" w:w="4376"/>
            <w:shd w:fill="DCE6F1" w:color="auto" w:val="clear"/>
            <w:tcMar>
              <w:top w:type="dxa" w:w="60"/>
              <w:left w:type="dxa" w:w="100"/>
              <w:bottom w:type="dxa" w:w="60"/>
              <w:right w:type="dxa" w:w="100"/>
            </w:tcMar>
          </w:tcPr>
          <w:p>
            <w:pPr>
              <w:spacing w:after="0" w:line="260"/>
            </w:pPr>
            <w:r>
              <w:rPr>
                <w:b/>
                <w:bCs/>
                <w:sz w:val="20"/>
                <w:szCs w:val="20"/>
              </w:rPr>
              <w:t xml:space="preserve">Role in the argument</w:t>
            </w:r>
          </w:p>
        </w:tc>
      </w:tr>
      <w:tr>
        <w:tc>
          <w:tcPr>
            <w:tcW w:type="dxa" w:w="450"/>
            <w:tcMar>
              <w:top w:type="dxa" w:w="60"/>
              <w:left w:type="dxa" w:w="100"/>
              <w:bottom w:type="dxa" w:w="60"/>
              <w:right w:type="dxa" w:w="100"/>
            </w:tcMar>
          </w:tcPr>
          <w:p>
            <w:pPr>
              <w:spacing w:after="0" w:line="260"/>
            </w:pPr>
            <w:r>
              <w:rPr>
                <w:b w:val="false"/>
                <w:bCs w:val="false"/>
                <w:sz w:val="20"/>
                <w:szCs w:val="20"/>
              </w:rPr>
              <w:t xml:space="preserve">1</w:t>
            </w:r>
          </w:p>
        </w:tc>
        <w:tc>
          <w:tcPr>
            <w:tcW w:type="dxa" w:w="4200"/>
            <w:tcMar>
              <w:top w:type="dxa" w:w="60"/>
              <w:left w:type="dxa" w:w="100"/>
              <w:bottom w:type="dxa" w:w="60"/>
              <w:right w:type="dxa" w:w="100"/>
            </w:tcMar>
          </w:tcPr>
          <w:p>
            <w:pPr>
              <w:spacing w:after="0" w:line="260"/>
            </w:pPr>
            <w:r>
              <w:rPr>
                <w:b w:val="false"/>
                <w:bCs w:val="false"/>
                <w:sz w:val="20"/>
                <w:szCs w:val="20"/>
              </w:rPr>
              <w:t xml:space="preserve">Akın et al. 2010. J Clin Res Pediatr Endocrinol</w:t>
            </w:r>
          </w:p>
        </w:tc>
        <w:tc>
          <w:tcPr>
            <w:tcW w:type="dxa" w:w="4376"/>
            <w:tcMar>
              <w:top w:type="dxa" w:w="60"/>
              <w:left w:type="dxa" w:w="100"/>
              <w:bottom w:type="dxa" w:w="60"/>
              <w:right w:type="dxa" w:w="100"/>
            </w:tcMar>
          </w:tcPr>
          <w:p>
            <w:pPr>
              <w:spacing w:after="0" w:line="260"/>
            </w:pPr>
            <w:r>
              <w:rPr>
                <w:b w:val="false"/>
                <w:bCs w:val="false"/>
                <w:sz w:val="20"/>
                <w:szCs w:val="20"/>
              </w:rPr>
              <w:t xml:space="preserve">Vitamin D deficiency mimicking PHP (differential diagnosis)</w:t>
            </w:r>
          </w:p>
        </w:tc>
      </w:tr>
      <w:tr>
        <w:tc>
          <w:tcPr>
            <w:tcW w:type="dxa" w:w="450"/>
            <w:tcMar>
              <w:top w:type="dxa" w:w="60"/>
              <w:left w:type="dxa" w:w="100"/>
              <w:bottom w:type="dxa" w:w="60"/>
              <w:right w:type="dxa" w:w="100"/>
            </w:tcMar>
          </w:tcPr>
          <w:p>
            <w:pPr>
              <w:spacing w:after="0" w:line="260"/>
            </w:pPr>
            <w:r>
              <w:rPr>
                <w:b w:val="false"/>
                <w:bCs w:val="false"/>
                <w:sz w:val="20"/>
                <w:szCs w:val="20"/>
              </w:rPr>
              <w:t xml:space="preserve">2</w:t>
            </w:r>
          </w:p>
        </w:tc>
        <w:tc>
          <w:tcPr>
            <w:tcW w:type="dxa" w:w="4200"/>
            <w:tcMar>
              <w:top w:type="dxa" w:w="60"/>
              <w:left w:type="dxa" w:w="100"/>
              <w:bottom w:type="dxa" w:w="60"/>
              <w:right w:type="dxa" w:w="100"/>
            </w:tcMar>
          </w:tcPr>
          <w:p>
            <w:pPr>
              <w:spacing w:after="0" w:line="260"/>
            </w:pPr>
            <w:r>
              <w:rPr>
                <w:b w:val="false"/>
                <w:bCs w:val="false"/>
                <w:sz w:val="20"/>
                <w:szCs w:val="20"/>
              </w:rPr>
              <w:t xml:space="preserve">Akpalu et al. 2023. West Afr J Med</w:t>
            </w:r>
          </w:p>
        </w:tc>
        <w:tc>
          <w:tcPr>
            <w:tcW w:type="dxa" w:w="4376"/>
            <w:tcMar>
              <w:top w:type="dxa" w:w="60"/>
              <w:left w:type="dxa" w:w="100"/>
              <w:bottom w:type="dxa" w:w="60"/>
              <w:right w:type="dxa" w:w="100"/>
            </w:tcMar>
          </w:tcPr>
          <w:p>
            <w:pPr>
              <w:spacing w:after="0" w:line="260"/>
            </w:pPr>
            <w:r>
              <w:rPr>
                <w:b w:val="false"/>
                <w:bCs w:val="false"/>
                <w:sz w:val="20"/>
                <w:szCs w:val="20"/>
              </w:rPr>
              <w:t xml:space="preserve">Ghanaian adult case with AHO and basal ganglia calcification</w:t>
            </w:r>
          </w:p>
        </w:tc>
      </w:tr>
      <w:tr>
        <w:tc>
          <w:tcPr>
            <w:tcW w:type="dxa" w:w="450"/>
            <w:tcMar>
              <w:top w:type="dxa" w:w="60"/>
              <w:left w:type="dxa" w:w="100"/>
              <w:bottom w:type="dxa" w:w="60"/>
              <w:right w:type="dxa" w:w="100"/>
            </w:tcMar>
          </w:tcPr>
          <w:p>
            <w:pPr>
              <w:spacing w:after="0" w:line="260"/>
            </w:pPr>
            <w:r>
              <w:rPr>
                <w:b w:val="false"/>
                <w:bCs w:val="false"/>
                <w:sz w:val="20"/>
                <w:szCs w:val="20"/>
              </w:rPr>
              <w:t xml:space="preserve">3</w:t>
            </w:r>
          </w:p>
        </w:tc>
        <w:tc>
          <w:tcPr>
            <w:tcW w:type="dxa" w:w="4200"/>
            <w:tcMar>
              <w:top w:type="dxa" w:w="60"/>
              <w:left w:type="dxa" w:w="100"/>
              <w:bottom w:type="dxa" w:w="60"/>
              <w:right w:type="dxa" w:w="100"/>
            </w:tcMar>
          </w:tcPr>
          <w:p>
            <w:pPr>
              <w:spacing w:after="0" w:line="260"/>
            </w:pPr>
            <w:r>
              <w:rPr>
                <w:b w:val="false"/>
                <w:bCs w:val="false"/>
                <w:sz w:val="20"/>
                <w:szCs w:val="20"/>
              </w:rPr>
              <w:t xml:space="preserve">Cooper et al. 2008. BMJ</w:t>
            </w:r>
          </w:p>
        </w:tc>
        <w:tc>
          <w:tcPr>
            <w:tcW w:type="dxa" w:w="4376"/>
            <w:tcMar>
              <w:top w:type="dxa" w:w="60"/>
              <w:left w:type="dxa" w:w="100"/>
              <w:bottom w:type="dxa" w:w="60"/>
              <w:right w:type="dxa" w:w="100"/>
            </w:tcMar>
          </w:tcPr>
          <w:p>
            <w:pPr>
              <w:spacing w:after="0" w:line="260"/>
            </w:pPr>
            <w:r>
              <w:rPr>
                <w:b w:val="false"/>
                <w:bCs w:val="false"/>
                <w:sz w:val="20"/>
                <w:szCs w:val="20"/>
              </w:rPr>
              <w:t xml:space="preserve">Physiology and biochemical patterns of hypocalcaemia; Tables 3 and 4</w:t>
            </w:r>
          </w:p>
        </w:tc>
      </w:tr>
      <w:tr>
        <w:tc>
          <w:tcPr>
            <w:tcW w:type="dxa" w:w="450"/>
            <w:tcMar>
              <w:top w:type="dxa" w:w="60"/>
              <w:left w:type="dxa" w:w="100"/>
              <w:bottom w:type="dxa" w:w="60"/>
              <w:right w:type="dxa" w:w="100"/>
            </w:tcMar>
          </w:tcPr>
          <w:p>
            <w:pPr>
              <w:spacing w:after="0" w:line="260"/>
            </w:pPr>
            <w:r>
              <w:rPr>
                <w:b w:val="false"/>
                <w:bCs w:val="false"/>
                <w:sz w:val="20"/>
                <w:szCs w:val="20"/>
              </w:rPr>
              <w:t xml:space="preserve">4</w:t>
            </w:r>
          </w:p>
        </w:tc>
        <w:tc>
          <w:tcPr>
            <w:tcW w:type="dxa" w:w="4200"/>
            <w:tcMar>
              <w:top w:type="dxa" w:w="60"/>
              <w:left w:type="dxa" w:w="100"/>
              <w:bottom w:type="dxa" w:w="60"/>
              <w:right w:type="dxa" w:w="100"/>
            </w:tcMar>
          </w:tcPr>
          <w:p>
            <w:pPr>
              <w:spacing w:after="0" w:line="260"/>
            </w:pPr>
            <w:r>
              <w:rPr>
                <w:b w:val="false"/>
                <w:bCs w:val="false"/>
                <w:sz w:val="20"/>
                <w:szCs w:val="20"/>
              </w:rPr>
              <w:t xml:space="preserve">Ebrahim et al. 2025. Cureus</w:t>
            </w:r>
          </w:p>
        </w:tc>
        <w:tc>
          <w:tcPr>
            <w:tcW w:type="dxa" w:w="4376"/>
            <w:tcMar>
              <w:top w:type="dxa" w:w="60"/>
              <w:left w:type="dxa" w:w="100"/>
              <w:bottom w:type="dxa" w:w="60"/>
              <w:right w:type="dxa" w:w="100"/>
            </w:tcMar>
          </w:tcPr>
          <w:p>
            <w:pPr>
              <w:spacing w:after="0" w:line="260"/>
            </w:pPr>
            <w:r>
              <w:rPr>
                <w:b w:val="false"/>
                <w:bCs w:val="false"/>
                <w:sz w:val="20"/>
                <w:szCs w:val="20"/>
              </w:rPr>
              <w:t xml:space="preserve">Recent adult first presentation (Qatar)</w:t>
            </w:r>
          </w:p>
        </w:tc>
      </w:tr>
      <w:tr>
        <w:tc>
          <w:tcPr>
            <w:tcW w:type="dxa" w:w="450"/>
            <w:tcMar>
              <w:top w:type="dxa" w:w="60"/>
              <w:left w:type="dxa" w:w="100"/>
              <w:bottom w:type="dxa" w:w="60"/>
              <w:right w:type="dxa" w:w="100"/>
            </w:tcMar>
          </w:tcPr>
          <w:p>
            <w:pPr>
              <w:spacing w:after="0" w:line="260"/>
            </w:pPr>
            <w:r>
              <w:rPr>
                <w:b w:val="false"/>
                <w:bCs w:val="false"/>
                <w:sz w:val="20"/>
                <w:szCs w:val="20"/>
              </w:rPr>
              <w:t xml:space="preserve">5</w:t>
            </w:r>
          </w:p>
        </w:tc>
        <w:tc>
          <w:tcPr>
            <w:tcW w:type="dxa" w:w="4200"/>
            <w:tcMar>
              <w:top w:type="dxa" w:w="60"/>
              <w:left w:type="dxa" w:w="100"/>
              <w:bottom w:type="dxa" w:w="60"/>
              <w:right w:type="dxa" w:w="100"/>
            </w:tcMar>
          </w:tcPr>
          <w:p>
            <w:pPr>
              <w:spacing w:after="0" w:line="260"/>
            </w:pPr>
            <w:r>
              <w:rPr>
                <w:b w:val="false"/>
                <w:bCs w:val="false"/>
                <w:sz w:val="20"/>
                <w:szCs w:val="20"/>
              </w:rPr>
              <w:t xml:space="preserve">Gicheru et al. 1983. East Afr Med J</w:t>
            </w:r>
          </w:p>
        </w:tc>
        <w:tc>
          <w:tcPr>
            <w:tcW w:type="dxa" w:w="4376"/>
            <w:tcMar>
              <w:top w:type="dxa" w:w="60"/>
              <w:left w:type="dxa" w:w="100"/>
              <w:bottom w:type="dxa" w:w="60"/>
              <w:right w:type="dxa" w:w="100"/>
            </w:tcMar>
          </w:tcPr>
          <w:p>
            <w:pPr>
              <w:spacing w:after="0" w:line="260"/>
            </w:pPr>
            <w:r>
              <w:rPr>
                <w:b w:val="false"/>
                <w:bCs w:val="false"/>
                <w:sz w:val="20"/>
                <w:szCs w:val="20"/>
              </w:rPr>
              <w:t xml:space="preserve">Kenyan case, the only East African report found; PMID to be confirmed</w:t>
            </w:r>
          </w:p>
        </w:tc>
      </w:tr>
      <w:tr>
        <w:tc>
          <w:tcPr>
            <w:tcW w:type="dxa" w:w="450"/>
            <w:tcMar>
              <w:top w:type="dxa" w:w="60"/>
              <w:left w:type="dxa" w:w="100"/>
              <w:bottom w:type="dxa" w:w="60"/>
              <w:right w:type="dxa" w:w="100"/>
            </w:tcMar>
          </w:tcPr>
          <w:p>
            <w:pPr>
              <w:spacing w:after="0" w:line="260"/>
            </w:pPr>
            <w:r>
              <w:rPr>
                <w:b w:val="false"/>
                <w:bCs w:val="false"/>
                <w:sz w:val="20"/>
                <w:szCs w:val="20"/>
              </w:rPr>
              <w:t xml:space="preserve">6</w:t>
            </w:r>
          </w:p>
        </w:tc>
        <w:tc>
          <w:tcPr>
            <w:tcW w:type="dxa" w:w="4200"/>
            <w:tcMar>
              <w:top w:type="dxa" w:w="60"/>
              <w:left w:type="dxa" w:w="100"/>
              <w:bottom w:type="dxa" w:w="60"/>
              <w:right w:type="dxa" w:w="100"/>
            </w:tcMar>
          </w:tcPr>
          <w:p>
            <w:pPr>
              <w:spacing w:after="0" w:line="260"/>
            </w:pPr>
            <w:r>
              <w:rPr>
                <w:b w:val="false"/>
                <w:bCs w:val="false"/>
                <w:sz w:val="20"/>
                <w:szCs w:val="20"/>
              </w:rPr>
              <w:t xml:space="preserve">Jüppner 2021. J Clin Endocrinol Metab</w:t>
            </w:r>
          </w:p>
        </w:tc>
        <w:tc>
          <w:tcPr>
            <w:tcW w:type="dxa" w:w="4376"/>
            <w:tcMar>
              <w:top w:type="dxa" w:w="60"/>
              <w:left w:type="dxa" w:w="100"/>
              <w:bottom w:type="dxa" w:w="60"/>
              <w:right w:type="dxa" w:w="100"/>
            </w:tcMar>
          </w:tcPr>
          <w:p>
            <w:pPr>
              <w:spacing w:after="0" w:line="260"/>
            </w:pPr>
            <w:r>
              <w:rPr>
                <w:b w:val="false"/>
                <w:bCs w:val="false"/>
                <w:sz w:val="20"/>
                <w:szCs w:val="20"/>
              </w:rPr>
              <w:t xml:space="preserve">Molecular basis of PHP1A and PHP1B; sporadic PHP1B commonest</w:t>
            </w:r>
          </w:p>
        </w:tc>
      </w:tr>
      <w:tr>
        <w:tc>
          <w:tcPr>
            <w:tcW w:type="dxa" w:w="450"/>
            <w:tcMar>
              <w:top w:type="dxa" w:w="60"/>
              <w:left w:type="dxa" w:w="100"/>
              <w:bottom w:type="dxa" w:w="60"/>
              <w:right w:type="dxa" w:w="100"/>
            </w:tcMar>
          </w:tcPr>
          <w:p>
            <w:pPr>
              <w:spacing w:after="0" w:line="260"/>
            </w:pPr>
            <w:r>
              <w:rPr>
                <w:b w:val="false"/>
                <w:bCs w:val="false"/>
                <w:sz w:val="20"/>
                <w:szCs w:val="20"/>
              </w:rPr>
              <w:t xml:space="preserve">7</w:t>
            </w:r>
          </w:p>
        </w:tc>
        <w:tc>
          <w:tcPr>
            <w:tcW w:type="dxa" w:w="4200"/>
            <w:tcMar>
              <w:top w:type="dxa" w:w="60"/>
              <w:left w:type="dxa" w:w="100"/>
              <w:bottom w:type="dxa" w:w="60"/>
              <w:right w:type="dxa" w:w="100"/>
            </w:tcMar>
          </w:tcPr>
          <w:p>
            <w:pPr>
              <w:spacing w:after="0" w:line="260"/>
            </w:pPr>
            <w:r>
              <w:rPr>
                <w:b w:val="false"/>
                <w:bCs w:val="false"/>
                <w:sz w:val="20"/>
                <w:szCs w:val="20"/>
              </w:rPr>
              <w:t xml:space="preserve">Khan et al. 2022. J Bone Miner Res</w:t>
            </w:r>
          </w:p>
        </w:tc>
        <w:tc>
          <w:tcPr>
            <w:tcW w:type="dxa" w:w="4376"/>
            <w:tcMar>
              <w:top w:type="dxa" w:w="60"/>
              <w:left w:type="dxa" w:w="100"/>
              <w:bottom w:type="dxa" w:w="60"/>
              <w:right w:type="dxa" w:w="100"/>
            </w:tcMar>
          </w:tcPr>
          <w:p>
            <w:pPr>
              <w:spacing w:after="0" w:line="260"/>
            </w:pPr>
            <w:r>
              <w:rPr>
                <w:b w:val="false"/>
                <w:bCs w:val="false"/>
                <w:sz w:val="20"/>
                <w:szCs w:val="20"/>
              </w:rPr>
              <w:t xml:space="preserve">Hypoparathyroidism guideline, contrasted with PHP treatment targets</w:t>
            </w:r>
          </w:p>
        </w:tc>
      </w:tr>
      <w:tr>
        <w:tc>
          <w:tcPr>
            <w:tcW w:type="dxa" w:w="450"/>
            <w:tcMar>
              <w:top w:type="dxa" w:w="60"/>
              <w:left w:type="dxa" w:w="100"/>
              <w:bottom w:type="dxa" w:w="60"/>
              <w:right w:type="dxa" w:w="100"/>
            </w:tcMar>
          </w:tcPr>
          <w:p>
            <w:pPr>
              <w:spacing w:after="0" w:line="260"/>
            </w:pPr>
            <w:r>
              <w:rPr>
                <w:b w:val="false"/>
                <w:bCs w:val="false"/>
                <w:sz w:val="20"/>
                <w:szCs w:val="20"/>
              </w:rPr>
              <w:t xml:space="preserve">8</w:t>
            </w:r>
          </w:p>
        </w:tc>
        <w:tc>
          <w:tcPr>
            <w:tcW w:type="dxa" w:w="4200"/>
            <w:tcMar>
              <w:top w:type="dxa" w:w="60"/>
              <w:left w:type="dxa" w:w="100"/>
              <w:bottom w:type="dxa" w:w="60"/>
              <w:right w:type="dxa" w:w="100"/>
            </w:tcMar>
          </w:tcPr>
          <w:p>
            <w:pPr>
              <w:spacing w:after="0" w:line="260"/>
            </w:pPr>
            <w:r>
              <w:rPr>
                <w:b w:val="false"/>
                <w:bCs w:val="false"/>
                <w:sz w:val="20"/>
                <w:szCs w:val="20"/>
              </w:rPr>
              <w:t xml:space="preserve">Mantovani et al. 2018. Nat Rev Endocrinol</w:t>
            </w:r>
          </w:p>
        </w:tc>
        <w:tc>
          <w:tcPr>
            <w:tcW w:type="dxa" w:w="4376"/>
            <w:tcMar>
              <w:top w:type="dxa" w:w="60"/>
              <w:left w:type="dxa" w:w="100"/>
              <w:bottom w:type="dxa" w:w="60"/>
              <w:right w:type="dxa" w:w="100"/>
            </w:tcMar>
          </w:tcPr>
          <w:p>
            <w:pPr>
              <w:spacing w:after="0" w:line="260"/>
            </w:pPr>
            <w:r>
              <w:rPr>
                <w:b w:val="false"/>
                <w:bCs w:val="false"/>
                <w:sz w:val="20"/>
                <w:szCs w:val="20"/>
              </w:rPr>
              <w:t xml:space="preserve">First international consensus statement; diagnosis, targets, family assessment</w:t>
            </w:r>
          </w:p>
        </w:tc>
      </w:tr>
      <w:tr>
        <w:tc>
          <w:tcPr>
            <w:tcW w:type="dxa" w:w="450"/>
            <w:tcMar>
              <w:top w:type="dxa" w:w="60"/>
              <w:left w:type="dxa" w:w="100"/>
              <w:bottom w:type="dxa" w:w="60"/>
              <w:right w:type="dxa" w:w="100"/>
            </w:tcMar>
          </w:tcPr>
          <w:p>
            <w:pPr>
              <w:spacing w:after="0" w:line="260"/>
            </w:pPr>
            <w:r>
              <w:rPr>
                <w:b w:val="false"/>
                <w:bCs w:val="false"/>
                <w:sz w:val="20"/>
                <w:szCs w:val="20"/>
              </w:rPr>
              <w:t xml:space="preserve">9</w:t>
            </w:r>
          </w:p>
        </w:tc>
        <w:tc>
          <w:tcPr>
            <w:tcW w:type="dxa" w:w="4200"/>
            <w:tcMar>
              <w:top w:type="dxa" w:w="60"/>
              <w:left w:type="dxa" w:w="100"/>
              <w:bottom w:type="dxa" w:w="60"/>
              <w:right w:type="dxa" w:w="100"/>
            </w:tcMar>
          </w:tcPr>
          <w:p>
            <w:pPr>
              <w:spacing w:after="0" w:line="260"/>
            </w:pPr>
            <w:r>
              <w:rPr>
                <w:b w:val="false"/>
                <w:bCs w:val="false"/>
                <w:sz w:val="20"/>
                <w:szCs w:val="20"/>
              </w:rPr>
              <w:t xml:space="preserve">Mantovani et al. 2020. Horm Res Paediatr</w:t>
            </w:r>
          </w:p>
        </w:tc>
        <w:tc>
          <w:tcPr>
            <w:tcW w:type="dxa" w:w="4376"/>
            <w:tcMar>
              <w:top w:type="dxa" w:w="60"/>
              <w:left w:type="dxa" w:w="100"/>
              <w:bottom w:type="dxa" w:w="60"/>
              <w:right w:type="dxa" w:w="100"/>
            </w:tcMar>
          </w:tcPr>
          <w:p>
            <w:pPr>
              <w:spacing w:after="0" w:line="260"/>
            </w:pPr>
            <w:r>
              <w:rPr>
                <w:b w:val="false"/>
                <w:bCs w:val="false"/>
                <w:sz w:val="20"/>
                <w:szCs w:val="20"/>
              </w:rPr>
              <w:t xml:space="preserve">Updated practical recommendations</w:t>
            </w:r>
          </w:p>
        </w:tc>
      </w:tr>
      <w:tr>
        <w:tc>
          <w:tcPr>
            <w:tcW w:type="dxa" w:w="450"/>
            <w:tcMar>
              <w:top w:type="dxa" w:w="60"/>
              <w:left w:type="dxa" w:w="100"/>
              <w:bottom w:type="dxa" w:w="60"/>
              <w:right w:type="dxa" w:w="100"/>
            </w:tcMar>
          </w:tcPr>
          <w:p>
            <w:pPr>
              <w:spacing w:after="0" w:line="260"/>
            </w:pPr>
            <w:r>
              <w:rPr>
                <w:b w:val="false"/>
                <w:bCs w:val="false"/>
                <w:sz w:val="20"/>
                <w:szCs w:val="20"/>
              </w:rPr>
              <w:t xml:space="preserve">10</w:t>
            </w:r>
          </w:p>
        </w:tc>
        <w:tc>
          <w:tcPr>
            <w:tcW w:type="dxa" w:w="4200"/>
            <w:tcMar>
              <w:top w:type="dxa" w:w="60"/>
              <w:left w:type="dxa" w:w="100"/>
              <w:bottom w:type="dxa" w:w="60"/>
              <w:right w:type="dxa" w:w="100"/>
            </w:tcMar>
          </w:tcPr>
          <w:p>
            <w:pPr>
              <w:spacing w:after="0" w:line="260"/>
            </w:pPr>
            <w:r>
              <w:rPr>
                <w:b w:val="false"/>
                <w:bCs w:val="false"/>
                <w:sz w:val="20"/>
                <w:szCs w:val="20"/>
              </w:rPr>
              <w:t xml:space="preserve">Najim et al. 2020. Intractable Rare Dis Res</w:t>
            </w:r>
          </w:p>
        </w:tc>
        <w:tc>
          <w:tcPr>
            <w:tcW w:type="dxa" w:w="4376"/>
            <w:tcMar>
              <w:top w:type="dxa" w:w="60"/>
              <w:left w:type="dxa" w:w="100"/>
              <w:bottom w:type="dxa" w:w="60"/>
              <w:right w:type="dxa" w:w="100"/>
            </w:tcMar>
          </w:tcPr>
          <w:p>
            <w:pPr>
              <w:spacing w:after="0" w:line="260"/>
            </w:pPr>
            <w:r>
              <w:rPr>
                <w:b w:val="false"/>
                <w:bCs w:val="false"/>
                <w:sz w:val="20"/>
                <w:szCs w:val="20"/>
              </w:rPr>
              <w:t xml:space="preserve">Adult presentation with seizures; ECG as pointer</w:t>
            </w:r>
          </w:p>
        </w:tc>
      </w:tr>
      <w:tr>
        <w:tc>
          <w:tcPr>
            <w:tcW w:type="dxa" w:w="450"/>
            <w:tcMar>
              <w:top w:type="dxa" w:w="60"/>
              <w:left w:type="dxa" w:w="100"/>
              <w:bottom w:type="dxa" w:w="60"/>
              <w:right w:type="dxa" w:w="100"/>
            </w:tcMar>
          </w:tcPr>
          <w:p>
            <w:pPr>
              <w:spacing w:after="0" w:line="260"/>
            </w:pPr>
            <w:r>
              <w:rPr>
                <w:b w:val="false"/>
                <w:bCs w:val="false"/>
                <w:sz w:val="20"/>
                <w:szCs w:val="20"/>
              </w:rPr>
              <w:t xml:space="preserve">11</w:t>
            </w:r>
          </w:p>
        </w:tc>
        <w:tc>
          <w:tcPr>
            <w:tcW w:type="dxa" w:w="4200"/>
            <w:tcMar>
              <w:top w:type="dxa" w:w="60"/>
              <w:left w:type="dxa" w:w="100"/>
              <w:bottom w:type="dxa" w:w="60"/>
              <w:right w:type="dxa" w:w="100"/>
            </w:tcMar>
          </w:tcPr>
          <w:p>
            <w:pPr>
              <w:spacing w:after="0" w:line="260"/>
            </w:pPr>
            <w:r>
              <w:rPr>
                <w:b w:val="false"/>
                <w:bCs w:val="false"/>
                <w:sz w:val="20"/>
                <w:szCs w:val="20"/>
              </w:rPr>
              <w:t xml:space="preserve">Riley et al. 2017. J Clin Epidemiol</w:t>
            </w:r>
          </w:p>
        </w:tc>
        <w:tc>
          <w:tcPr>
            <w:tcW w:type="dxa" w:w="4376"/>
            <w:tcMar>
              <w:top w:type="dxa" w:w="60"/>
              <w:left w:type="dxa" w:w="100"/>
              <w:bottom w:type="dxa" w:w="60"/>
              <w:right w:type="dxa" w:w="100"/>
            </w:tcMar>
          </w:tcPr>
          <w:p>
            <w:pPr>
              <w:spacing w:after="0" w:line="260"/>
            </w:pPr>
            <w:r>
              <w:rPr>
                <w:b w:val="false"/>
                <w:bCs w:val="false"/>
                <w:sz w:val="20"/>
                <w:szCs w:val="20"/>
              </w:rPr>
              <w:t xml:space="preserve">CARE guideline</w:t>
            </w:r>
          </w:p>
        </w:tc>
      </w:tr>
      <w:tr>
        <w:tc>
          <w:tcPr>
            <w:tcW w:type="dxa" w:w="450"/>
            <w:tcMar>
              <w:top w:type="dxa" w:w="60"/>
              <w:left w:type="dxa" w:w="100"/>
              <w:bottom w:type="dxa" w:w="60"/>
              <w:right w:type="dxa" w:w="100"/>
            </w:tcMar>
          </w:tcPr>
          <w:p>
            <w:pPr>
              <w:spacing w:after="0" w:line="260"/>
            </w:pPr>
            <w:r>
              <w:rPr>
                <w:b w:val="false"/>
                <w:bCs w:val="false"/>
                <w:sz w:val="20"/>
                <w:szCs w:val="20"/>
              </w:rPr>
              <w:t xml:space="preserve">12</w:t>
            </w:r>
          </w:p>
        </w:tc>
        <w:tc>
          <w:tcPr>
            <w:tcW w:type="dxa" w:w="4200"/>
            <w:tcMar>
              <w:top w:type="dxa" w:w="60"/>
              <w:left w:type="dxa" w:w="100"/>
              <w:bottom w:type="dxa" w:w="60"/>
              <w:right w:type="dxa" w:w="100"/>
            </w:tcMar>
          </w:tcPr>
          <w:p>
            <w:pPr>
              <w:spacing w:after="0" w:line="260"/>
            </w:pPr>
            <w:r>
              <w:rPr>
                <w:b w:val="false"/>
                <w:bCs w:val="false"/>
                <w:sz w:val="20"/>
                <w:szCs w:val="20"/>
              </w:rPr>
              <w:t xml:space="preserve">Seki et al. 2010. Endocr J</w:t>
            </w:r>
          </w:p>
        </w:tc>
        <w:tc>
          <w:tcPr>
            <w:tcW w:type="dxa" w:w="4376"/>
            <w:tcMar>
              <w:top w:type="dxa" w:w="60"/>
              <w:left w:type="dxa" w:w="100"/>
              <w:bottom w:type="dxa" w:w="60"/>
              <w:right w:type="dxa" w:w="100"/>
            </w:tcMar>
          </w:tcPr>
          <w:p>
            <w:pPr>
              <w:spacing w:after="0" w:line="260"/>
            </w:pPr>
            <w:r>
              <w:rPr>
                <w:b w:val="false"/>
                <w:bCs w:val="false"/>
                <w:sz w:val="20"/>
                <w:szCs w:val="20"/>
              </w:rPr>
              <w:t xml:space="preserve">Vitamin D deficiency resembling PHP types I and II</w:t>
            </w:r>
          </w:p>
        </w:tc>
      </w:tr>
      <w:tr>
        <w:tc>
          <w:tcPr>
            <w:tcW w:type="dxa" w:w="450"/>
            <w:tcMar>
              <w:top w:type="dxa" w:w="60"/>
              <w:left w:type="dxa" w:w="100"/>
              <w:bottom w:type="dxa" w:w="60"/>
              <w:right w:type="dxa" w:w="100"/>
            </w:tcMar>
          </w:tcPr>
          <w:p>
            <w:pPr>
              <w:spacing w:after="0" w:line="260"/>
            </w:pPr>
            <w:r>
              <w:rPr>
                <w:b w:val="false"/>
                <w:bCs w:val="false"/>
                <w:sz w:val="20"/>
                <w:szCs w:val="20"/>
              </w:rPr>
              <w:t xml:space="preserve">13</w:t>
            </w:r>
          </w:p>
        </w:tc>
        <w:tc>
          <w:tcPr>
            <w:tcW w:type="dxa" w:w="4200"/>
            <w:tcMar>
              <w:top w:type="dxa" w:w="60"/>
              <w:left w:type="dxa" w:w="100"/>
              <w:bottom w:type="dxa" w:w="60"/>
              <w:right w:type="dxa" w:w="100"/>
            </w:tcMar>
          </w:tcPr>
          <w:p>
            <w:pPr>
              <w:spacing w:after="0" w:line="260"/>
            </w:pPr>
            <w:r>
              <w:rPr>
                <w:b w:val="false"/>
                <w:bCs w:val="false"/>
                <w:sz w:val="20"/>
                <w:szCs w:val="20"/>
              </w:rPr>
              <w:t xml:space="preserve">Shah et al. 2021. Cureus</w:t>
            </w:r>
          </w:p>
        </w:tc>
        <w:tc>
          <w:tcPr>
            <w:tcW w:type="dxa" w:w="4376"/>
            <w:tcMar>
              <w:top w:type="dxa" w:w="60"/>
              <w:left w:type="dxa" w:w="100"/>
              <w:bottom w:type="dxa" w:w="60"/>
              <w:right w:type="dxa" w:w="100"/>
            </w:tcMar>
          </w:tcPr>
          <w:p>
            <w:pPr>
              <w:spacing w:after="0" w:line="260"/>
            </w:pPr>
            <w:r>
              <w:rPr>
                <w:b w:val="false"/>
                <w:bCs w:val="false"/>
                <w:sz w:val="20"/>
                <w:szCs w:val="20"/>
              </w:rPr>
              <w:t xml:space="preserve">Adult PHP without AHO</w:t>
            </w:r>
          </w:p>
        </w:tc>
      </w:tr>
      <w:tr>
        <w:tc>
          <w:tcPr>
            <w:tcW w:type="dxa" w:w="450"/>
            <w:tcMar>
              <w:top w:type="dxa" w:w="60"/>
              <w:left w:type="dxa" w:w="100"/>
              <w:bottom w:type="dxa" w:w="60"/>
              <w:right w:type="dxa" w:w="100"/>
            </w:tcMar>
          </w:tcPr>
          <w:p>
            <w:pPr>
              <w:spacing w:after="0" w:line="260"/>
            </w:pPr>
            <w:r>
              <w:rPr>
                <w:b w:val="false"/>
                <w:bCs w:val="false"/>
                <w:sz w:val="20"/>
                <w:szCs w:val="20"/>
              </w:rPr>
              <w:t xml:space="preserve">14</w:t>
            </w:r>
          </w:p>
        </w:tc>
        <w:tc>
          <w:tcPr>
            <w:tcW w:type="dxa" w:w="4200"/>
            <w:tcMar>
              <w:top w:type="dxa" w:w="60"/>
              <w:left w:type="dxa" w:w="100"/>
              <w:bottom w:type="dxa" w:w="60"/>
              <w:right w:type="dxa" w:w="100"/>
            </w:tcMar>
          </w:tcPr>
          <w:p>
            <w:pPr>
              <w:spacing w:after="0" w:line="260"/>
            </w:pPr>
            <w:r>
              <w:rPr>
                <w:b w:val="false"/>
                <w:bCs w:val="false"/>
                <w:sz w:val="20"/>
                <w:szCs w:val="20"/>
              </w:rPr>
              <w:t xml:space="preserve">Takatani et al. 2023. J Epidemiol</w:t>
            </w:r>
          </w:p>
        </w:tc>
        <w:tc>
          <w:tcPr>
            <w:tcW w:type="dxa" w:w="4376"/>
            <w:tcMar>
              <w:top w:type="dxa" w:w="60"/>
              <w:left w:type="dxa" w:w="100"/>
              <w:bottom w:type="dxa" w:w="60"/>
              <w:right w:type="dxa" w:w="100"/>
            </w:tcMar>
          </w:tcPr>
          <w:p>
            <w:pPr>
              <w:spacing w:after="0" w:line="260"/>
            </w:pPr>
            <w:r>
              <w:rPr>
                <w:b w:val="false"/>
                <w:bCs w:val="false"/>
                <w:sz w:val="20"/>
                <w:szCs w:val="20"/>
              </w:rPr>
              <w:t xml:space="preserve">Japanese prevalence 1.2 per 100,000</w:t>
            </w:r>
          </w:p>
        </w:tc>
      </w:tr>
      <w:tr>
        <w:tc>
          <w:tcPr>
            <w:tcW w:type="dxa" w:w="450"/>
            <w:tcMar>
              <w:top w:type="dxa" w:w="60"/>
              <w:left w:type="dxa" w:w="100"/>
              <w:bottom w:type="dxa" w:w="60"/>
              <w:right w:type="dxa" w:w="100"/>
            </w:tcMar>
          </w:tcPr>
          <w:p>
            <w:pPr>
              <w:spacing w:after="0" w:line="260"/>
            </w:pPr>
            <w:r>
              <w:rPr>
                <w:b w:val="false"/>
                <w:bCs w:val="false"/>
                <w:sz w:val="20"/>
                <w:szCs w:val="20"/>
              </w:rPr>
              <w:t xml:space="preserve">15</w:t>
            </w:r>
          </w:p>
        </w:tc>
        <w:tc>
          <w:tcPr>
            <w:tcW w:type="dxa" w:w="4200"/>
            <w:tcMar>
              <w:top w:type="dxa" w:w="60"/>
              <w:left w:type="dxa" w:w="100"/>
              <w:bottom w:type="dxa" w:w="60"/>
              <w:right w:type="dxa" w:w="100"/>
            </w:tcMar>
          </w:tcPr>
          <w:p>
            <w:pPr>
              <w:spacing w:after="0" w:line="260"/>
            </w:pPr>
            <w:r>
              <w:rPr>
                <w:b w:val="false"/>
                <w:bCs w:val="false"/>
                <w:sz w:val="20"/>
                <w:szCs w:val="20"/>
              </w:rPr>
              <w:t xml:space="preserve">Thiele et al. 2016. Eur J Endocrinol</w:t>
            </w:r>
          </w:p>
        </w:tc>
        <w:tc>
          <w:tcPr>
            <w:tcW w:type="dxa" w:w="4376"/>
            <w:tcMar>
              <w:top w:type="dxa" w:w="60"/>
              <w:left w:type="dxa" w:w="100"/>
              <w:bottom w:type="dxa" w:w="60"/>
              <w:right w:type="dxa" w:w="100"/>
            </w:tcMar>
          </w:tcPr>
          <w:p>
            <w:pPr>
              <w:spacing w:after="0" w:line="260"/>
            </w:pPr>
            <w:r>
              <w:rPr>
                <w:b w:val="false"/>
                <w:bCs w:val="false"/>
                <w:sz w:val="20"/>
                <w:szCs w:val="20"/>
              </w:rPr>
              <w:t xml:space="preserve">iPPSD classification</w:t>
            </w:r>
          </w:p>
        </w:tc>
      </w:tr>
      <w:tr>
        <w:tc>
          <w:tcPr>
            <w:tcW w:type="dxa" w:w="450"/>
            <w:tcMar>
              <w:top w:type="dxa" w:w="60"/>
              <w:left w:type="dxa" w:w="100"/>
              <w:bottom w:type="dxa" w:w="60"/>
              <w:right w:type="dxa" w:w="100"/>
            </w:tcMar>
          </w:tcPr>
          <w:p>
            <w:pPr>
              <w:spacing w:after="0" w:line="260"/>
            </w:pPr>
            <w:r>
              <w:rPr>
                <w:b w:val="false"/>
                <w:bCs w:val="false"/>
                <w:sz w:val="20"/>
                <w:szCs w:val="20"/>
              </w:rPr>
              <w:t xml:space="preserve">16</w:t>
            </w:r>
          </w:p>
        </w:tc>
        <w:tc>
          <w:tcPr>
            <w:tcW w:type="dxa" w:w="4200"/>
            <w:tcMar>
              <w:top w:type="dxa" w:w="60"/>
              <w:left w:type="dxa" w:w="100"/>
              <w:bottom w:type="dxa" w:w="60"/>
              <w:right w:type="dxa" w:w="100"/>
            </w:tcMar>
          </w:tcPr>
          <w:p>
            <w:pPr>
              <w:spacing w:after="0" w:line="260"/>
            </w:pPr>
            <w:r>
              <w:rPr>
                <w:b w:val="false"/>
                <w:bCs w:val="false"/>
                <w:sz w:val="20"/>
                <w:szCs w:val="20"/>
              </w:rPr>
              <w:t xml:space="preserve">Trejo et al. 2018. Rev Fac Med</w:t>
            </w:r>
          </w:p>
        </w:tc>
        <w:tc>
          <w:tcPr>
            <w:tcW w:type="dxa" w:w="4376"/>
            <w:tcMar>
              <w:top w:type="dxa" w:w="60"/>
              <w:left w:type="dxa" w:w="100"/>
              <w:bottom w:type="dxa" w:w="60"/>
              <w:right w:type="dxa" w:w="100"/>
            </w:tcMar>
          </w:tcPr>
          <w:p>
            <w:pPr>
              <w:spacing w:after="0" w:line="260"/>
            </w:pPr>
            <w:r>
              <w:rPr>
                <w:b w:val="false"/>
                <w:bCs w:val="false"/>
                <w:sz w:val="20"/>
                <w:szCs w:val="20"/>
              </w:rPr>
              <w:t xml:space="preserve">Late diagnosis in adulthood, case series</w:t>
            </w:r>
          </w:p>
        </w:tc>
      </w:tr>
      <w:tr>
        <w:tc>
          <w:tcPr>
            <w:tcW w:type="dxa" w:w="450"/>
            <w:tcMar>
              <w:top w:type="dxa" w:w="60"/>
              <w:left w:type="dxa" w:w="100"/>
              <w:bottom w:type="dxa" w:w="60"/>
              <w:right w:type="dxa" w:w="100"/>
            </w:tcMar>
          </w:tcPr>
          <w:p>
            <w:pPr>
              <w:spacing w:after="0" w:line="260"/>
            </w:pPr>
            <w:r>
              <w:rPr>
                <w:b w:val="false"/>
                <w:bCs w:val="false"/>
                <w:sz w:val="20"/>
                <w:szCs w:val="20"/>
              </w:rPr>
              <w:t xml:space="preserve">17</w:t>
            </w:r>
          </w:p>
        </w:tc>
        <w:tc>
          <w:tcPr>
            <w:tcW w:type="dxa" w:w="4200"/>
            <w:tcMar>
              <w:top w:type="dxa" w:w="60"/>
              <w:left w:type="dxa" w:w="100"/>
              <w:bottom w:type="dxa" w:w="60"/>
              <w:right w:type="dxa" w:w="100"/>
            </w:tcMar>
          </w:tcPr>
          <w:p>
            <w:pPr>
              <w:spacing w:after="0" w:line="260"/>
            </w:pPr>
            <w:r>
              <w:rPr>
                <w:b w:val="false"/>
                <w:bCs w:val="false"/>
                <w:sz w:val="20"/>
                <w:szCs w:val="20"/>
              </w:rPr>
              <w:t xml:space="preserve">Turner et al. 2016. Endocr Connect</w:t>
            </w:r>
          </w:p>
        </w:tc>
        <w:tc>
          <w:tcPr>
            <w:tcW w:type="dxa" w:w="4376"/>
            <w:tcMar>
              <w:top w:type="dxa" w:w="60"/>
              <w:left w:type="dxa" w:w="100"/>
              <w:bottom w:type="dxa" w:w="60"/>
              <w:right w:type="dxa" w:w="100"/>
            </w:tcMar>
          </w:tcPr>
          <w:p>
            <w:pPr>
              <w:spacing w:after="0" w:line="260"/>
            </w:pPr>
            <w:r>
              <w:rPr>
                <w:b w:val="false"/>
                <w:bCs w:val="false"/>
                <w:sz w:val="20"/>
                <w:szCs w:val="20"/>
              </w:rPr>
              <w:t xml:space="preserve">Emergency management of acute hypocalcaemia</w:t>
            </w:r>
          </w:p>
        </w:tc>
      </w:tr>
      <w:tr>
        <w:tc>
          <w:tcPr>
            <w:tcW w:type="dxa" w:w="450"/>
            <w:tcMar>
              <w:top w:type="dxa" w:w="60"/>
              <w:left w:type="dxa" w:w="100"/>
              <w:bottom w:type="dxa" w:w="60"/>
              <w:right w:type="dxa" w:w="100"/>
            </w:tcMar>
          </w:tcPr>
          <w:p>
            <w:pPr>
              <w:spacing w:after="0" w:line="260"/>
            </w:pPr>
            <w:r>
              <w:rPr>
                <w:b w:val="false"/>
                <w:bCs w:val="false"/>
                <w:sz w:val="20"/>
                <w:szCs w:val="20"/>
              </w:rPr>
              <w:t xml:space="preserve">18</w:t>
            </w:r>
          </w:p>
        </w:tc>
        <w:tc>
          <w:tcPr>
            <w:tcW w:type="dxa" w:w="4200"/>
            <w:tcMar>
              <w:top w:type="dxa" w:w="60"/>
              <w:left w:type="dxa" w:w="100"/>
              <w:bottom w:type="dxa" w:w="60"/>
              <w:right w:type="dxa" w:w="100"/>
            </w:tcMar>
          </w:tcPr>
          <w:p>
            <w:pPr>
              <w:spacing w:after="0" w:line="260"/>
            </w:pPr>
            <w:r>
              <w:rPr>
                <w:b w:val="false"/>
                <w:bCs w:val="false"/>
                <w:sz w:val="20"/>
                <w:szCs w:val="20"/>
              </w:rPr>
              <w:t xml:space="preserve">Underbjerg et al. 2016. Clin Endocrinol (Oxf)</w:t>
            </w:r>
          </w:p>
        </w:tc>
        <w:tc>
          <w:tcPr>
            <w:tcW w:type="dxa" w:w="4376"/>
            <w:tcMar>
              <w:top w:type="dxa" w:w="60"/>
              <w:left w:type="dxa" w:w="100"/>
              <w:bottom w:type="dxa" w:w="60"/>
              <w:right w:type="dxa" w:w="100"/>
            </w:tcMar>
          </w:tcPr>
          <w:p>
            <w:pPr>
              <w:spacing w:after="0" w:line="260"/>
            </w:pPr>
            <w:r>
              <w:rPr>
                <w:b w:val="false"/>
                <w:bCs w:val="false"/>
                <w:sz w:val="20"/>
                <w:szCs w:val="20"/>
              </w:rPr>
              <w:t xml:space="preserve">Danish prevalence and age at diagnosis up to 62 years</w:t>
            </w:r>
          </w:p>
        </w:tc>
      </w:tr>
      <w:tr>
        <w:tc>
          <w:tcPr>
            <w:tcW w:type="dxa" w:w="450"/>
            <w:tcMar>
              <w:top w:type="dxa" w:w="60"/>
              <w:left w:type="dxa" w:w="100"/>
              <w:bottom w:type="dxa" w:w="60"/>
              <w:right w:type="dxa" w:w="100"/>
            </w:tcMar>
          </w:tcPr>
          <w:p>
            <w:pPr>
              <w:spacing w:after="0" w:line="260"/>
            </w:pPr>
            <w:r>
              <w:rPr>
                <w:b w:val="false"/>
                <w:bCs w:val="false"/>
                <w:sz w:val="20"/>
                <w:szCs w:val="20"/>
              </w:rPr>
              <w:t xml:space="preserve">19</w:t>
            </w:r>
          </w:p>
        </w:tc>
        <w:tc>
          <w:tcPr>
            <w:tcW w:type="dxa" w:w="4200"/>
            <w:tcMar>
              <w:top w:type="dxa" w:w="60"/>
              <w:left w:type="dxa" w:w="100"/>
              <w:bottom w:type="dxa" w:w="60"/>
              <w:right w:type="dxa" w:w="100"/>
            </w:tcMar>
          </w:tcPr>
          <w:p>
            <w:pPr>
              <w:spacing w:after="0" w:line="260"/>
            </w:pPr>
            <w:r>
              <w:rPr>
                <w:b w:val="false"/>
                <w:bCs w:val="false"/>
                <w:sz w:val="20"/>
                <w:szCs w:val="20"/>
              </w:rPr>
              <w:t xml:space="preserve">Vandenberk et al. 2016. J Am Heart Assoc</w:t>
            </w:r>
          </w:p>
        </w:tc>
        <w:tc>
          <w:tcPr>
            <w:tcW w:type="dxa" w:w="4376"/>
            <w:tcMar>
              <w:top w:type="dxa" w:w="60"/>
              <w:left w:type="dxa" w:w="100"/>
              <w:bottom w:type="dxa" w:w="60"/>
              <w:right w:type="dxa" w:w="100"/>
            </w:tcMar>
          </w:tcPr>
          <w:p>
            <w:pPr>
              <w:spacing w:after="0" w:line="260"/>
            </w:pPr>
            <w:r>
              <w:rPr>
                <w:b w:val="false"/>
                <w:bCs w:val="false"/>
                <w:sz w:val="20"/>
                <w:szCs w:val="20"/>
              </w:rPr>
              <w:t xml:space="preserve">QT correction formulae at rapid heart rates</w:t>
            </w:r>
          </w:p>
        </w:tc>
      </w:tr>
      <w:tr>
        <w:tc>
          <w:tcPr>
            <w:tcW w:type="dxa" w:w="450"/>
            <w:tcMar>
              <w:top w:type="dxa" w:w="60"/>
              <w:left w:type="dxa" w:w="100"/>
              <w:bottom w:type="dxa" w:w="60"/>
              <w:right w:type="dxa" w:w="100"/>
            </w:tcMar>
          </w:tcPr>
          <w:p>
            <w:pPr>
              <w:spacing w:after="0" w:line="260"/>
            </w:pPr>
            <w:r>
              <w:rPr>
                <w:b w:val="false"/>
                <w:bCs w:val="false"/>
                <w:sz w:val="20"/>
                <w:szCs w:val="20"/>
              </w:rPr>
              <w:t xml:space="preserve">20</w:t>
            </w:r>
          </w:p>
        </w:tc>
        <w:tc>
          <w:tcPr>
            <w:tcW w:type="dxa" w:w="4200"/>
            <w:tcMar>
              <w:top w:type="dxa" w:w="60"/>
              <w:left w:type="dxa" w:w="100"/>
              <w:bottom w:type="dxa" w:w="60"/>
              <w:right w:type="dxa" w:w="100"/>
            </w:tcMar>
          </w:tcPr>
          <w:p>
            <w:pPr>
              <w:spacing w:after="0" w:line="260"/>
            </w:pPr>
            <w:r>
              <w:rPr>
                <w:b w:val="false"/>
                <w:bCs w:val="false"/>
                <w:sz w:val="20"/>
                <w:szCs w:val="20"/>
              </w:rPr>
              <w:t xml:space="preserve">Yen et al. 2019. Lancet</w:t>
            </w:r>
          </w:p>
        </w:tc>
        <w:tc>
          <w:tcPr>
            <w:tcW w:type="dxa" w:w="4376"/>
            <w:tcMar>
              <w:top w:type="dxa" w:w="60"/>
              <w:left w:type="dxa" w:w="100"/>
              <w:bottom w:type="dxa" w:w="60"/>
              <w:right w:type="dxa" w:w="100"/>
            </w:tcMar>
          </w:tcPr>
          <w:p>
            <w:pPr>
              <w:spacing w:after="0" w:line="260"/>
            </w:pPr>
            <w:r>
              <w:rPr>
                <w:b w:val="false"/>
                <w:bCs w:val="false"/>
                <w:sz w:val="20"/>
                <w:szCs w:val="20"/>
              </w:rPr>
              <w:t xml:space="preserve">Tetanus features; Table 4</w:t>
            </w:r>
          </w:p>
        </w:tc>
      </w:tr>
    </w:tbl>
    <w:p>
      <w:pPr>
        <w:pStyle w:val="Heading1"/>
      </w:pPr>
      <w:r>
        <w:rPr>
          <w:rFonts w:ascii="Times New Roman" w:cs="Times New Roman" w:eastAsia="Times New Roman" w:hAnsi="Times New Roman"/>
          <w:b/>
          <w:bCs/>
          <w:color w:val="1F4E79"/>
          <w:sz w:val="28"/>
          <w:szCs w:val="28"/>
        </w:rPr>
        <w:t xml:space="preserve">6. Using the EndNote files</w:t>
      </w:r>
    </w:p>
    <w:p>
      <w:pPr>
        <w:pStyle w:val="ListParagraph"/>
        <w:numPr>
          <w:ilvl w:val="0"/>
          <w:numId w:val="3"/>
        </w:numPr>
        <w:spacing w:after="100" w:line="300"/>
      </w:pPr>
      <w:r>
        <w:t xml:space="preserve">Create a new, empty EndNote library and import George_et_al_references_EndNote_JRareDis.ris (Import Option: Reference Manager (RIS); Text Translation: UTF-8). The 20 records are numbered 1 to 20 in the alphabetical order of the reference list.</w:t>
      </w:r>
    </w:p>
    <w:p>
      <w:pPr>
        <w:pStyle w:val="ListParagraph"/>
        <w:numPr>
          <w:ilvl w:val="0"/>
          <w:numId w:val="3"/>
        </w:numPr>
        <w:spacing w:after="100" w:line="300"/>
      </w:pPr>
      <w:r>
        <w:t xml:space="preserve">Open George_et_al_PHP_case_report_JRareDis_EndNote_working_copy.docx in Word. Citations are temporary, for example {Mantovani, 2018 #8}.</w:t>
      </w:r>
    </w:p>
    <w:p>
      <w:pPr>
        <w:pStyle w:val="ListParagraph"/>
        <w:numPr>
          <w:ilvl w:val="0"/>
          <w:numId w:val="3"/>
        </w:numPr>
        <w:spacing w:after="100" w:line="300"/>
      </w:pPr>
      <w:r>
        <w:t xml:space="preserve">On the EndNote tab choose an author-date Springer style (Springer Basic Author Date is in EndNote's style collection; any 'Springer' author-date style produces the same result), then click Update Citations and Bibliography. EndNote converts the citations to '(Mantovani et al. 2018)' and builds the alphabetical list.</w:t>
      </w:r>
    </w:p>
    <w:p>
      <w:pPr>
        <w:pStyle w:val="ListParagraph"/>
        <w:numPr>
          <w:ilvl w:val="0"/>
          <w:numId w:val="3"/>
        </w:numPr>
        <w:spacing w:after="100" w:line="300"/>
      </w:pPr>
      <w:r>
        <w:t xml:space="preserve">If you prefer to submit with numbered citations, choose Springer Basic Numbered instead; the journal accepts either and applies its own style at typesetting.</w:t>
      </w:r>
    </w:p>
    <w:p>
      <w:pPr>
        <w:pStyle w:val="ListParagraph"/>
        <w:numPr>
          <w:ilvl w:val="0"/>
          <w:numId w:val="3"/>
        </w:numPr>
        <w:spacing w:after="100" w:line="300"/>
      </w:pPr>
      <w:r>
        <w:t xml:space="preserve">If the RIS file is imported into an existing library, EndNote will ask you to match each citation by author and year; the pairs are unique in this set.</w:t>
      </w:r>
    </w:p>
    <w:p>
      <w:pPr>
        <w:pStyle w:val="ListParagraph"/>
        <w:numPr>
          <w:ilvl w:val="0"/>
          <w:numId w:val="3"/>
        </w:numPr>
        <w:spacing w:after="100" w:line="300"/>
      </w:pPr>
      <w:r>
        <w:t xml:space="preserve">Delete the italic note on the title page and the bracketed note under References after formatting.</w:t>
      </w:r>
    </w:p>
    <w:p>
      <w:pPr>
        <w:pStyle w:val="Heading1"/>
      </w:pPr>
      <w:r>
        <w:rPr>
          <w:rFonts w:ascii="Times New Roman" w:cs="Times New Roman" w:eastAsia="Times New Roman" w:hAnsi="Times New Roman"/>
          <w:b/>
          <w:bCs/>
          <w:color w:val="1F4E79"/>
          <w:sz w:val="28"/>
          <w:szCs w:val="28"/>
        </w:rPr>
        <w:t xml:space="preserve">7. Submission steps</w:t>
      </w:r>
    </w:p>
    <w:p>
      <w:pPr>
        <w:pStyle w:val="ListParagraph"/>
        <w:numPr>
          <w:ilvl w:val="0"/>
          <w:numId w:val="3"/>
        </w:numPr>
        <w:spacing w:after="100" w:line="300"/>
      </w:pPr>
      <w:r>
        <w:t xml:space="preserve">Go to the journal's 'Submit your manuscript' link (Springer Nature submission system) and choose the article type Case Report.</w:t>
      </w:r>
    </w:p>
    <w:p>
      <w:pPr>
        <w:pStyle w:val="ListParagraph"/>
        <w:numPr>
          <w:ilvl w:val="0"/>
          <w:numId w:val="3"/>
        </w:numPr>
        <w:spacing w:after="100" w:line="300"/>
      </w:pPr>
      <w:r>
        <w:t xml:space="preserve">Upload the manuscript .docx (figures are already embedded), Online Resource 1 (the CARE checklist) as supplementary material, and the cover letter.</w:t>
      </w:r>
    </w:p>
    <w:p>
      <w:pPr>
        <w:pStyle w:val="ListParagraph"/>
        <w:numPr>
          <w:ilvl w:val="0"/>
          <w:numId w:val="3"/>
        </w:numPr>
        <w:spacing w:after="100" w:line="300"/>
      </w:pPr>
      <w:r>
        <w:t xml:space="preserve">Enter the author contributions, competing interests and funding statements in the submission interface; the journal uses only what is entered there for the published declarations, so copy the wording from the manuscript exactly.</w:t>
      </w:r>
    </w:p>
    <w:p>
      <w:pPr>
        <w:pStyle w:val="ListParagraph"/>
        <w:numPr>
          <w:ilvl w:val="0"/>
          <w:numId w:val="3"/>
        </w:numPr>
        <w:spacing w:after="100" w:line="300"/>
      </w:pPr>
      <w:r>
        <w:t xml:space="preserve">Suggest two or three reviewers if the system asks (endocrinologists with an interest in PHP or calcium disorders; authors of the consensus statement are appropriate).</w:t>
      </w:r>
    </w:p>
    <w:p>
      <w:pPr>
        <w:pStyle w:val="ListParagraph"/>
        <w:numPr>
          <w:ilvl w:val="0"/>
          <w:numId w:val="3"/>
        </w:numPr>
        <w:spacing w:after="100" w:line="300"/>
      </w:pPr>
      <w:r>
        <w:t xml:space="preserve">Expect a first decision in about two weeks. If the editor asks for numbered references, Option B in Section 6 produces them in one step.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Adaptation report,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Editorial review</dc:creator>
  <cp:lastModifiedBy>Un-named</cp:lastModifiedBy>
  <cp:revision>1</cp:revision>
  <dcterms:created xsi:type="dcterms:W3CDTF">2026-09-29T22:33:58.415Z</dcterms:created>
  <dcterms:modified xsi:type="dcterms:W3CDTF">2026-09-29T22:33:58.426Z</dcterms:modified>
</cp:coreProperties>
</file>

<file path=docProps/custom.xml><?xml version="1.0" encoding="utf-8"?>
<Properties xmlns="http://schemas.openxmlformats.org/officeDocument/2006/custom-properties" xmlns:vt="http://schemas.openxmlformats.org/officeDocument/2006/docPropsVTypes"/>
</file>