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6C38" w:rsidRPr="00F93C90" w:rsidRDefault="00922F02" w:rsidP="00F93C90">
      <w:pPr>
        <w:pStyle w:val="Heading1"/>
        <w:spacing w:line="360" w:lineRule="auto"/>
        <w:jc w:val="both"/>
        <w:rPr>
          <w:color w:val="000000" w:themeColor="text1"/>
          <w:sz w:val="24"/>
          <w:szCs w:val="24"/>
          <w:lang w:val="en-US"/>
        </w:rPr>
      </w:pPr>
      <w:r w:rsidRPr="00F93C90">
        <w:rPr>
          <w:color w:val="000000" w:themeColor="text1"/>
          <w:sz w:val="24"/>
          <w:szCs w:val="24"/>
          <w:lang w:val="en-US"/>
        </w:rPr>
        <w:t>ADULT-ONSET</w:t>
      </w:r>
      <w:r w:rsidR="00A33D8D">
        <w:rPr>
          <w:color w:val="000000" w:themeColor="text1"/>
          <w:sz w:val="24"/>
          <w:szCs w:val="24"/>
          <w:lang w:val="en-US"/>
        </w:rPr>
        <w:t xml:space="preserve"> </w:t>
      </w:r>
      <w:r w:rsidRPr="00F93C90">
        <w:rPr>
          <w:color w:val="000000" w:themeColor="text1"/>
          <w:sz w:val="24"/>
          <w:szCs w:val="24"/>
        </w:rPr>
        <w:t>PSEUDOHYPOPARATHYROIDISM PRESENTING WITH TETANY</w:t>
      </w:r>
      <w:r w:rsidRPr="00F93C90">
        <w:rPr>
          <w:color w:val="000000" w:themeColor="text1"/>
          <w:sz w:val="24"/>
          <w:szCs w:val="24"/>
          <w:lang w:val="en-US"/>
        </w:rPr>
        <w:t xml:space="preserve"> IN ABSCENCE</w:t>
      </w:r>
      <w:r w:rsidRPr="00F93C90">
        <w:rPr>
          <w:color w:val="000000" w:themeColor="text1"/>
          <w:sz w:val="24"/>
          <w:szCs w:val="24"/>
        </w:rPr>
        <w:t xml:space="preserve"> </w:t>
      </w:r>
      <w:r w:rsidRPr="00F93C90">
        <w:rPr>
          <w:color w:val="000000" w:themeColor="text1"/>
          <w:sz w:val="24"/>
          <w:szCs w:val="24"/>
          <w:lang w:val="en-US"/>
        </w:rPr>
        <w:t>OF</w:t>
      </w:r>
      <w:r w:rsidRPr="00F93C90">
        <w:rPr>
          <w:color w:val="000000" w:themeColor="text1"/>
          <w:sz w:val="24"/>
          <w:szCs w:val="24"/>
        </w:rPr>
        <w:t xml:space="preserve"> ALBRIGHT HEREDITARY OSTEODYSTROPHY</w:t>
      </w:r>
      <w:r w:rsidRPr="00F93C90">
        <w:rPr>
          <w:color w:val="000000" w:themeColor="text1"/>
          <w:sz w:val="24"/>
          <w:szCs w:val="24"/>
          <w:lang w:val="en-US"/>
        </w:rPr>
        <w:t>: A DIAGNOSTIC CHALLENGE</w:t>
      </w:r>
    </w:p>
    <w:p w:rsidR="00922F02" w:rsidRPr="00F93C90" w:rsidRDefault="00922F02" w:rsidP="00F93C90">
      <w:pPr>
        <w:spacing w:line="360" w:lineRule="auto"/>
        <w:jc w:val="center"/>
        <w:rPr>
          <w:rFonts w:ascii="Times New Roman" w:hAnsi="Times New Roman" w:cs="Times New Roman"/>
          <w:i/>
          <w:iCs/>
          <w:color w:val="000000" w:themeColor="text1"/>
          <w:vertAlign w:val="superscript"/>
          <w:lang w:val="en-US"/>
        </w:rPr>
      </w:pPr>
      <w:r w:rsidRPr="00F93C90">
        <w:rPr>
          <w:rFonts w:ascii="Times New Roman" w:hAnsi="Times New Roman" w:cs="Times New Roman"/>
          <w:i/>
          <w:iCs/>
          <w:color w:val="000000" w:themeColor="text1"/>
          <w:lang w:val="en-US"/>
        </w:rPr>
        <w:t>David George</w:t>
      </w:r>
      <w:r w:rsidRPr="00F93C90">
        <w:rPr>
          <w:rFonts w:ascii="Times New Roman" w:hAnsi="Times New Roman" w:cs="Times New Roman"/>
          <w:i/>
          <w:iCs/>
          <w:color w:val="000000" w:themeColor="text1"/>
          <w:vertAlign w:val="superscript"/>
          <w:lang w:val="en-US"/>
        </w:rPr>
        <w:t>1</w:t>
      </w:r>
      <w:r w:rsidRPr="00F93C90">
        <w:rPr>
          <w:rFonts w:ascii="Times New Roman" w:hAnsi="Times New Roman" w:cs="Times New Roman"/>
          <w:i/>
          <w:iCs/>
          <w:color w:val="000000" w:themeColor="text1"/>
          <w:lang w:val="en-US"/>
        </w:rPr>
        <w:t>, Denis Rayner</w:t>
      </w:r>
      <w:r w:rsidRPr="00F93C90">
        <w:rPr>
          <w:rFonts w:ascii="Times New Roman" w:hAnsi="Times New Roman" w:cs="Times New Roman"/>
          <w:i/>
          <w:iCs/>
          <w:color w:val="000000" w:themeColor="text1"/>
          <w:vertAlign w:val="superscript"/>
          <w:lang w:val="en-US"/>
        </w:rPr>
        <w:t>1</w:t>
      </w:r>
      <w:r w:rsidRPr="00F93C90">
        <w:rPr>
          <w:rFonts w:ascii="Times New Roman" w:hAnsi="Times New Roman" w:cs="Times New Roman"/>
          <w:i/>
          <w:iCs/>
          <w:color w:val="000000" w:themeColor="text1"/>
          <w:lang w:val="en-US"/>
        </w:rPr>
        <w:t>, Silas Frank Gamba</w:t>
      </w:r>
      <w:r w:rsidRPr="00F93C90">
        <w:rPr>
          <w:rFonts w:ascii="Times New Roman" w:hAnsi="Times New Roman" w:cs="Times New Roman"/>
          <w:i/>
          <w:iCs/>
          <w:color w:val="000000" w:themeColor="text1"/>
          <w:vertAlign w:val="superscript"/>
          <w:lang w:val="en-US"/>
        </w:rPr>
        <w:t>1</w:t>
      </w:r>
      <w:r w:rsidRPr="00F93C90">
        <w:rPr>
          <w:rFonts w:ascii="Times New Roman" w:hAnsi="Times New Roman" w:cs="Times New Roman"/>
          <w:i/>
          <w:iCs/>
          <w:color w:val="000000" w:themeColor="text1"/>
          <w:lang w:val="en-US"/>
        </w:rPr>
        <w:t xml:space="preserve"> and James Masanja</w:t>
      </w:r>
      <w:r w:rsidRPr="00F93C90">
        <w:rPr>
          <w:rFonts w:ascii="Times New Roman" w:hAnsi="Times New Roman" w:cs="Times New Roman"/>
          <w:i/>
          <w:iCs/>
          <w:color w:val="000000" w:themeColor="text1"/>
          <w:vertAlign w:val="superscript"/>
          <w:lang w:val="en-US"/>
        </w:rPr>
        <w:t>1</w:t>
      </w:r>
    </w:p>
    <w:p w:rsidR="00922F02" w:rsidRPr="00F93C90" w:rsidRDefault="00922F02" w:rsidP="00F93C90">
      <w:pPr>
        <w:spacing w:line="360" w:lineRule="auto"/>
        <w:jc w:val="both"/>
        <w:rPr>
          <w:rFonts w:ascii="Times New Roman" w:hAnsi="Times New Roman" w:cs="Times New Roman"/>
          <w:b/>
          <w:bCs/>
          <w:color w:val="000000" w:themeColor="text1"/>
          <w:lang w:val="en-US"/>
        </w:rPr>
      </w:pPr>
    </w:p>
    <w:p w:rsidR="00922F02" w:rsidRPr="00F93C90" w:rsidRDefault="00922F02" w:rsidP="00F93C90">
      <w:pPr>
        <w:spacing w:line="360" w:lineRule="auto"/>
        <w:jc w:val="both"/>
        <w:rPr>
          <w:rFonts w:ascii="Times New Roman" w:hAnsi="Times New Roman" w:cs="Times New Roman"/>
          <w:color w:val="000000" w:themeColor="text1"/>
          <w:vertAlign w:val="superscript"/>
          <w:lang w:val="en-US"/>
        </w:rPr>
      </w:pPr>
    </w:p>
    <w:p w:rsidR="00922F02" w:rsidRPr="00F93C90" w:rsidRDefault="00922F02" w:rsidP="00F93C90">
      <w:pPr>
        <w:spacing w:line="360" w:lineRule="auto"/>
        <w:jc w:val="both"/>
        <w:rPr>
          <w:rFonts w:ascii="Times New Roman" w:hAnsi="Times New Roman" w:cs="Times New Roman"/>
          <w:color w:val="000000" w:themeColor="text1"/>
          <w:lang w:val="en-US"/>
        </w:rPr>
      </w:pPr>
      <w:r w:rsidRPr="00F93C90">
        <w:rPr>
          <w:rFonts w:ascii="Times New Roman" w:hAnsi="Times New Roman" w:cs="Times New Roman"/>
          <w:color w:val="000000" w:themeColor="text1"/>
          <w:vertAlign w:val="superscript"/>
          <w:lang w:val="en-US"/>
        </w:rPr>
        <w:t>1</w:t>
      </w:r>
      <w:r w:rsidRPr="00F93C90">
        <w:rPr>
          <w:rFonts w:ascii="Times New Roman" w:hAnsi="Times New Roman" w:cs="Times New Roman"/>
          <w:color w:val="000000" w:themeColor="text1"/>
          <w:lang w:val="en-US"/>
        </w:rPr>
        <w:t>Department of Internal Medicine, Muhimbili National Hospital, Dar es Salaam, Tanzania</w:t>
      </w:r>
    </w:p>
    <w:p w:rsidR="00922F02" w:rsidRPr="00F93C90" w:rsidRDefault="00922F02" w:rsidP="00F93C90">
      <w:pPr>
        <w:spacing w:line="360" w:lineRule="auto"/>
        <w:jc w:val="both"/>
        <w:rPr>
          <w:rFonts w:ascii="Times New Roman" w:hAnsi="Times New Roman" w:cs="Times New Roman"/>
          <w:color w:val="000000" w:themeColor="text1"/>
          <w:lang w:val="en-US"/>
        </w:rPr>
      </w:pPr>
      <w:r w:rsidRPr="00F93C90">
        <w:rPr>
          <w:rFonts w:ascii="Times New Roman" w:hAnsi="Times New Roman" w:cs="Times New Roman"/>
          <w:color w:val="000000" w:themeColor="text1"/>
          <w:lang w:val="en-US"/>
        </w:rPr>
        <w:t>Corresponding author:</w:t>
      </w:r>
      <w:r w:rsidR="00A33D8D">
        <w:rPr>
          <w:rFonts w:ascii="Times New Roman" w:hAnsi="Times New Roman" w:cs="Times New Roman"/>
          <w:color w:val="000000" w:themeColor="text1"/>
          <w:lang w:val="en-US"/>
        </w:rPr>
        <w:t xml:space="preserve"> James </w:t>
      </w:r>
      <w:proofErr w:type="spellStart"/>
      <w:r w:rsidR="00A33D8D">
        <w:rPr>
          <w:rFonts w:ascii="Times New Roman" w:hAnsi="Times New Roman" w:cs="Times New Roman"/>
          <w:color w:val="000000" w:themeColor="text1"/>
          <w:lang w:val="en-US"/>
        </w:rPr>
        <w:t>Masanja</w:t>
      </w:r>
      <w:proofErr w:type="spellEnd"/>
      <w:r w:rsidR="00A33D8D">
        <w:rPr>
          <w:rFonts w:ascii="Times New Roman" w:hAnsi="Times New Roman" w:cs="Times New Roman"/>
          <w:color w:val="000000" w:themeColor="text1"/>
          <w:lang w:val="en-US"/>
        </w:rPr>
        <w:t xml:space="preserve">; </w:t>
      </w:r>
      <w:r w:rsidR="00A33D8D" w:rsidRPr="00F93C90">
        <w:rPr>
          <w:rFonts w:ascii="Times New Roman" w:hAnsi="Times New Roman" w:cs="Times New Roman"/>
          <w:color w:val="000000" w:themeColor="text1"/>
          <w:lang w:val="en-US"/>
        </w:rPr>
        <w:t>jamesmasanja@gmail.com</w:t>
      </w:r>
    </w:p>
    <w:p w:rsidR="00922F02" w:rsidRPr="00F93C90" w:rsidRDefault="00922F02" w:rsidP="00F93C90">
      <w:pPr>
        <w:spacing w:line="360" w:lineRule="auto"/>
        <w:jc w:val="both"/>
        <w:rPr>
          <w:rFonts w:ascii="Times New Roman" w:hAnsi="Times New Roman" w:cs="Times New Roman"/>
          <w:color w:val="000000" w:themeColor="text1"/>
          <w:lang w:val="en-US"/>
        </w:rPr>
      </w:pPr>
    </w:p>
    <w:p w:rsidR="00922F02" w:rsidRPr="00F93C90" w:rsidRDefault="00922F02" w:rsidP="00F93C90">
      <w:pPr>
        <w:spacing w:line="360" w:lineRule="auto"/>
        <w:jc w:val="both"/>
        <w:rPr>
          <w:rFonts w:ascii="Times New Roman" w:hAnsi="Times New Roman" w:cs="Times New Roman"/>
          <w:color w:val="000000" w:themeColor="text1"/>
          <w:lang w:val="en-US"/>
        </w:rPr>
      </w:pPr>
    </w:p>
    <w:p w:rsidR="00922F02" w:rsidRPr="00F93C90" w:rsidRDefault="00922F02" w:rsidP="00F93C90">
      <w:pPr>
        <w:spacing w:line="360" w:lineRule="auto"/>
        <w:rPr>
          <w:rFonts w:ascii="Times New Roman" w:hAnsi="Times New Roman" w:cs="Times New Roman"/>
          <w:b/>
          <w:bCs/>
          <w:color w:val="000000" w:themeColor="text1"/>
        </w:rPr>
      </w:pPr>
      <w:r w:rsidRPr="00F93C90">
        <w:rPr>
          <w:rFonts w:ascii="Times New Roman" w:hAnsi="Times New Roman" w:cs="Times New Roman"/>
          <w:b/>
          <w:bCs/>
          <w:color w:val="000000" w:themeColor="text1"/>
        </w:rPr>
        <w:br w:type="page"/>
      </w:r>
    </w:p>
    <w:p w:rsidR="00866C38" w:rsidRPr="00F93C90" w:rsidRDefault="00866C38" w:rsidP="00F93C90">
      <w:pPr>
        <w:pStyle w:val="Heading2"/>
        <w:spacing w:line="360" w:lineRule="auto"/>
        <w:rPr>
          <w:color w:val="000000" w:themeColor="text1"/>
          <w:sz w:val="24"/>
          <w:szCs w:val="24"/>
        </w:rPr>
      </w:pPr>
      <w:r w:rsidRPr="00F93C90">
        <w:rPr>
          <w:color w:val="000000" w:themeColor="text1"/>
          <w:sz w:val="24"/>
          <w:szCs w:val="24"/>
        </w:rPr>
        <w:lastRenderedPageBreak/>
        <w:t>ABSTRACT</w:t>
      </w:r>
    </w:p>
    <w:p w:rsidR="00866C38" w:rsidRPr="00F93C90"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b/>
          <w:bCs/>
          <w:color w:val="000000" w:themeColor="text1"/>
        </w:rPr>
        <w:t>Background</w:t>
      </w:r>
      <w:r w:rsidR="00922F02" w:rsidRPr="00F93C90">
        <w:rPr>
          <w:rFonts w:ascii="Times New Roman" w:hAnsi="Times New Roman" w:cs="Times New Roman"/>
          <w:b/>
          <w:bCs/>
          <w:color w:val="000000" w:themeColor="text1"/>
          <w:lang w:val="en-US"/>
        </w:rPr>
        <w:t xml:space="preserve">: </w:t>
      </w:r>
      <w:r w:rsidRPr="00866C38">
        <w:rPr>
          <w:rFonts w:ascii="Times New Roman" w:hAnsi="Times New Roman" w:cs="Times New Roman"/>
          <w:color w:val="000000" w:themeColor="text1"/>
        </w:rPr>
        <w:t>Pseudohypoparathyroidism (PHP) comprises a heterogeneous group of disorders characterised by resistance of target tissues to parathyroid hormone (PTH)</w:t>
      </w:r>
      <w:r w:rsidR="00475288" w:rsidRPr="00F93C90">
        <w:rPr>
          <w:rFonts w:ascii="Times New Roman" w:hAnsi="Times New Roman" w:cs="Times New Roman"/>
          <w:color w:val="000000" w:themeColor="text1"/>
          <w:lang w:val="en-US"/>
        </w:rPr>
        <w:t>. This</w:t>
      </w:r>
      <w:r w:rsidRPr="00866C38">
        <w:rPr>
          <w:rFonts w:ascii="Times New Roman" w:hAnsi="Times New Roman" w:cs="Times New Roman"/>
          <w:color w:val="000000" w:themeColor="text1"/>
        </w:rPr>
        <w:t xml:space="preserve"> result</w:t>
      </w:r>
      <w:r w:rsidR="00475288" w:rsidRPr="00F93C90">
        <w:rPr>
          <w:rFonts w:ascii="Times New Roman" w:hAnsi="Times New Roman" w:cs="Times New Roman"/>
          <w:color w:val="000000" w:themeColor="text1"/>
          <w:lang w:val="en-US"/>
        </w:rPr>
        <w:t>s</w:t>
      </w:r>
      <w:r w:rsidRPr="00866C38">
        <w:rPr>
          <w:rFonts w:ascii="Times New Roman" w:hAnsi="Times New Roman" w:cs="Times New Roman"/>
          <w:color w:val="000000" w:themeColor="text1"/>
        </w:rPr>
        <w:t xml:space="preserve"> in hypocalcaemia and hyperphosphataemia despite elevated circulating PTH concentrations. </w:t>
      </w:r>
      <w:r w:rsidR="00475288" w:rsidRPr="00F93C90">
        <w:rPr>
          <w:rFonts w:ascii="Times New Roman" w:hAnsi="Times New Roman" w:cs="Times New Roman"/>
          <w:color w:val="000000" w:themeColor="text1"/>
          <w:lang w:val="en-US"/>
        </w:rPr>
        <w:t>Clinical r</w:t>
      </w:r>
      <w:r w:rsidRPr="00866C38">
        <w:rPr>
          <w:rFonts w:ascii="Times New Roman" w:hAnsi="Times New Roman" w:cs="Times New Roman"/>
          <w:color w:val="000000" w:themeColor="text1"/>
        </w:rPr>
        <w:t xml:space="preserve">ecognition </w:t>
      </w:r>
      <w:r w:rsidR="00475288" w:rsidRPr="00F93C90">
        <w:rPr>
          <w:rFonts w:ascii="Times New Roman" w:hAnsi="Times New Roman" w:cs="Times New Roman"/>
          <w:color w:val="000000" w:themeColor="text1"/>
          <w:lang w:val="en-US"/>
        </w:rPr>
        <w:t>is frequently</w:t>
      </w:r>
      <w:r w:rsidRPr="00866C38">
        <w:rPr>
          <w:rFonts w:ascii="Times New Roman" w:hAnsi="Times New Roman" w:cs="Times New Roman"/>
          <w:color w:val="000000" w:themeColor="text1"/>
        </w:rPr>
        <w:t xml:space="preserve"> </w:t>
      </w:r>
      <w:r w:rsidR="00475288" w:rsidRPr="00F93C90">
        <w:rPr>
          <w:rFonts w:ascii="Times New Roman" w:hAnsi="Times New Roman" w:cs="Times New Roman"/>
          <w:color w:val="000000" w:themeColor="text1"/>
          <w:lang w:val="en-US"/>
        </w:rPr>
        <w:t>delayed</w:t>
      </w:r>
      <w:r w:rsidRPr="00866C38">
        <w:rPr>
          <w:rFonts w:ascii="Times New Roman" w:hAnsi="Times New Roman" w:cs="Times New Roman"/>
          <w:color w:val="000000" w:themeColor="text1"/>
        </w:rPr>
        <w:t xml:space="preserve"> when characteristic Albright hereditary osteodystrophy (AHO) features are absent, particularly in settings where molecular testing is unavailable. [1,2]</w:t>
      </w:r>
    </w:p>
    <w:p w:rsidR="00922F02" w:rsidRPr="00866C38" w:rsidRDefault="00922F02" w:rsidP="00F93C90">
      <w:pPr>
        <w:spacing w:line="360" w:lineRule="auto"/>
        <w:jc w:val="both"/>
        <w:rPr>
          <w:rFonts w:ascii="Times New Roman" w:hAnsi="Times New Roman" w:cs="Times New Roman"/>
          <w:b/>
          <w:bCs/>
          <w:color w:val="000000" w:themeColor="text1"/>
        </w:rPr>
      </w:pPr>
    </w:p>
    <w:p w:rsidR="00866C38" w:rsidRPr="00F93C90"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b/>
          <w:bCs/>
          <w:color w:val="000000" w:themeColor="text1"/>
        </w:rPr>
        <w:t>Case presentation</w:t>
      </w:r>
      <w:r w:rsidR="00922F02" w:rsidRPr="00F93C90">
        <w:rPr>
          <w:rFonts w:ascii="Times New Roman" w:hAnsi="Times New Roman" w:cs="Times New Roman"/>
          <w:b/>
          <w:bCs/>
          <w:color w:val="000000" w:themeColor="text1"/>
          <w:lang w:val="en-US"/>
        </w:rPr>
        <w:t xml:space="preserve">: </w:t>
      </w:r>
      <w:r w:rsidRPr="00866C38">
        <w:rPr>
          <w:rFonts w:ascii="Times New Roman" w:hAnsi="Times New Roman" w:cs="Times New Roman"/>
          <w:color w:val="000000" w:themeColor="text1"/>
        </w:rPr>
        <w:t>A 43-year-old Tanzanian woman presented with a five-month history of progressive perioral and acral paraesthesia followed by recurrent painful carpopedal spasms, jaw stiffness and generalised tetany. Examination demonstrated neuromuscular hyperexcitability, including positive Chvostek and Trousseau signs, with brisk deep tendon reflexes. She had obesity but no short stature, brachydactyly, round facies or other characteristic features of AHO. Investigations demonstrated profound ionised hypocalcaemia (0.43 mmol/L; reference 1.12–1.32 mmol/L), total calcium 1.9 mmol/L, hyperphosphataemia (1.6 mmol/L) and markedly elevated intact PTH (176.8 pg/mL; reference 6–80 pg/mL), with normal magnesium and preserved renal function. Arterial blood gas analysis excluded respiratory alkalosis as a precipitant of tetany. Computed tomography of the brain showed no intracranial calcification, and renal ultrasonography showed no nephrocalcinosis. A clinical diagnosis of PHP was made on the basis of biochemical evidence of PTH resistance after exclusion of major secondary causes. Symptoms resolved following intravenous calcium gluconate, and treatment was transitioned to oral calcium carbonate and calcitriol.</w:t>
      </w:r>
    </w:p>
    <w:p w:rsidR="00922F02" w:rsidRPr="00866C38" w:rsidRDefault="00922F02" w:rsidP="00F93C90">
      <w:pPr>
        <w:spacing w:line="360" w:lineRule="auto"/>
        <w:jc w:val="both"/>
        <w:rPr>
          <w:rFonts w:ascii="Times New Roman" w:hAnsi="Times New Roman" w:cs="Times New Roman"/>
          <w:b/>
          <w:bCs/>
          <w:color w:val="000000" w:themeColor="text1"/>
        </w:rPr>
      </w:pPr>
    </w:p>
    <w:p w:rsidR="00866C38" w:rsidRPr="00F93C90"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b/>
          <w:bCs/>
          <w:color w:val="000000" w:themeColor="text1"/>
        </w:rPr>
        <w:t>Conclusion</w:t>
      </w:r>
      <w:r w:rsidR="00922F02" w:rsidRPr="00F93C90">
        <w:rPr>
          <w:rFonts w:ascii="Times New Roman" w:hAnsi="Times New Roman" w:cs="Times New Roman"/>
          <w:b/>
          <w:bCs/>
          <w:color w:val="000000" w:themeColor="text1"/>
          <w:lang w:val="en-US"/>
        </w:rPr>
        <w:t xml:space="preserve">: </w:t>
      </w:r>
      <w:r w:rsidRPr="00866C38">
        <w:rPr>
          <w:rFonts w:ascii="Times New Roman" w:hAnsi="Times New Roman" w:cs="Times New Roman"/>
          <w:color w:val="000000" w:themeColor="text1"/>
        </w:rPr>
        <w:t xml:space="preserve">PHP should be considered in adults with otherwise unexplained hypocalcaemia and hyperphosphataemia, even when AHO features and supportive intracranial imaging findings are absent. </w:t>
      </w:r>
      <w:r w:rsidR="00A3243C">
        <w:rPr>
          <w:rFonts w:ascii="Times New Roman" w:hAnsi="Times New Roman" w:cs="Times New Roman"/>
          <w:color w:val="000000" w:themeColor="text1"/>
          <w:lang w:val="en-US"/>
        </w:rPr>
        <w:t>With t</w:t>
      </w:r>
      <w:r w:rsidRPr="00866C38">
        <w:rPr>
          <w:rFonts w:ascii="Times New Roman" w:hAnsi="Times New Roman" w:cs="Times New Roman"/>
          <w:color w:val="000000" w:themeColor="text1"/>
        </w:rPr>
        <w:t xml:space="preserve">he combination of hypocalcaemia, hyperphosphataemia, elevated PTH and preserved renal function provides a strong </w:t>
      </w:r>
      <w:r w:rsidR="00475288" w:rsidRPr="00F93C90">
        <w:rPr>
          <w:rFonts w:ascii="Times New Roman" w:hAnsi="Times New Roman" w:cs="Times New Roman"/>
          <w:color w:val="000000" w:themeColor="text1"/>
          <w:lang w:val="en-US"/>
        </w:rPr>
        <w:t>biochemical</w:t>
      </w:r>
      <w:r w:rsidRPr="00866C38">
        <w:rPr>
          <w:rFonts w:ascii="Times New Roman" w:hAnsi="Times New Roman" w:cs="Times New Roman"/>
          <w:color w:val="000000" w:themeColor="text1"/>
        </w:rPr>
        <w:t xml:space="preserve"> signal of PTH resistance and should prompt appropriate treatment without delaying acute calcium replacement </w:t>
      </w:r>
      <w:r w:rsidR="00475288" w:rsidRPr="00F93C90">
        <w:rPr>
          <w:rFonts w:ascii="Times New Roman" w:hAnsi="Times New Roman" w:cs="Times New Roman"/>
          <w:color w:val="000000" w:themeColor="text1"/>
          <w:lang w:val="en-US"/>
        </w:rPr>
        <w:t>or</w:t>
      </w:r>
      <w:r w:rsidRPr="00866C38">
        <w:rPr>
          <w:rFonts w:ascii="Times New Roman" w:hAnsi="Times New Roman" w:cs="Times New Roman"/>
          <w:color w:val="000000" w:themeColor="text1"/>
        </w:rPr>
        <w:t xml:space="preserve"> awaiting molecular confirmation</w:t>
      </w:r>
      <w:r w:rsidR="00475288" w:rsidRPr="00F93C90">
        <w:rPr>
          <w:rFonts w:ascii="Times New Roman" w:hAnsi="Times New Roman" w:cs="Times New Roman"/>
          <w:color w:val="000000" w:themeColor="text1"/>
          <w:lang w:val="en-US"/>
        </w:rPr>
        <w:t xml:space="preserve"> especially in low resource settings</w:t>
      </w:r>
      <w:r w:rsidRPr="00866C38">
        <w:rPr>
          <w:rFonts w:ascii="Times New Roman" w:hAnsi="Times New Roman" w:cs="Times New Roman"/>
          <w:color w:val="000000" w:themeColor="text1"/>
        </w:rPr>
        <w:t>. [1,2]</w:t>
      </w:r>
    </w:p>
    <w:p w:rsidR="00922F02" w:rsidRPr="00866C38" w:rsidRDefault="00922F02" w:rsidP="00F93C90">
      <w:pPr>
        <w:spacing w:line="360" w:lineRule="auto"/>
        <w:jc w:val="both"/>
        <w:rPr>
          <w:rFonts w:ascii="Times New Roman" w:hAnsi="Times New Roman" w:cs="Times New Roman"/>
          <w:b/>
          <w:bCs/>
          <w:color w:val="000000" w:themeColor="text1"/>
        </w:rPr>
      </w:pPr>
    </w:p>
    <w:p w:rsidR="00866C38" w:rsidRP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b/>
          <w:bCs/>
          <w:color w:val="000000" w:themeColor="text1"/>
        </w:rPr>
        <w:t>Keywords:</w:t>
      </w:r>
      <w:r w:rsidRPr="00866C38">
        <w:rPr>
          <w:rFonts w:ascii="Times New Roman" w:hAnsi="Times New Roman" w:cs="Times New Roman"/>
          <w:color w:val="000000" w:themeColor="text1"/>
        </w:rPr>
        <w:t xml:space="preserve"> Pseudohypoparathyroidism; Hypocalcemia; Tetany; Parathyroid hormone resistance; Trismus; Tanzania</w:t>
      </w:r>
    </w:p>
    <w:p w:rsidR="00922F02" w:rsidRPr="00F93C90" w:rsidRDefault="00922F02" w:rsidP="00F93C90">
      <w:pPr>
        <w:spacing w:line="360" w:lineRule="auto"/>
        <w:rPr>
          <w:rFonts w:ascii="Times New Roman" w:hAnsi="Times New Roman" w:cs="Times New Roman"/>
          <w:b/>
          <w:bCs/>
          <w:color w:val="000000" w:themeColor="text1"/>
        </w:rPr>
      </w:pPr>
      <w:r w:rsidRPr="00F93C90">
        <w:rPr>
          <w:rFonts w:ascii="Times New Roman" w:hAnsi="Times New Roman" w:cs="Times New Roman"/>
          <w:b/>
          <w:bCs/>
          <w:color w:val="000000" w:themeColor="text1"/>
        </w:rPr>
        <w:br w:type="page"/>
      </w:r>
    </w:p>
    <w:p w:rsidR="00922F02" w:rsidRPr="00866C38" w:rsidRDefault="00866C38" w:rsidP="00F93C90">
      <w:pPr>
        <w:pStyle w:val="Heading2"/>
        <w:spacing w:line="360" w:lineRule="auto"/>
        <w:rPr>
          <w:color w:val="000000" w:themeColor="text1"/>
          <w:sz w:val="24"/>
          <w:szCs w:val="24"/>
        </w:rPr>
      </w:pPr>
      <w:r w:rsidRPr="00866C38">
        <w:rPr>
          <w:color w:val="000000" w:themeColor="text1"/>
          <w:sz w:val="24"/>
          <w:szCs w:val="24"/>
        </w:rPr>
        <w:lastRenderedPageBreak/>
        <w:t>INTRODUCTION</w:t>
      </w:r>
    </w:p>
    <w:p w:rsidR="00866C38" w:rsidRPr="00F93C90" w:rsidRDefault="00FA5AE2" w:rsidP="00F93C90">
      <w:pPr>
        <w:spacing w:line="360" w:lineRule="auto"/>
        <w:jc w:val="both"/>
        <w:rPr>
          <w:rFonts w:ascii="Times New Roman" w:hAnsi="Times New Roman" w:cs="Times New Roman"/>
          <w:color w:val="000000" w:themeColor="text1"/>
          <w:lang w:val="en-US"/>
        </w:rPr>
      </w:pPr>
      <w:r w:rsidRPr="00F93C90">
        <w:rPr>
          <w:rFonts w:ascii="Times New Roman" w:hAnsi="Times New Roman" w:cs="Times New Roman"/>
          <w:color w:val="000000" w:themeColor="text1"/>
          <w:lang w:val="en-US"/>
        </w:rPr>
        <w:t>Hypocalcemia</w:t>
      </w:r>
      <w:r w:rsidR="004A4E4C" w:rsidRPr="00F93C90">
        <w:rPr>
          <w:rFonts w:ascii="Times New Roman" w:hAnsi="Times New Roman" w:cs="Times New Roman"/>
          <w:color w:val="000000" w:themeColor="text1"/>
        </w:rPr>
        <w:t xml:space="preserve"> </w:t>
      </w:r>
      <w:r w:rsidR="004A4E4C" w:rsidRPr="00F93C90">
        <w:rPr>
          <w:rFonts w:ascii="Times New Roman" w:hAnsi="Times New Roman" w:cs="Times New Roman"/>
          <w:color w:val="000000" w:themeColor="text1"/>
          <w:lang w:val="en-US"/>
        </w:rPr>
        <w:t>has numerous causes, including</w:t>
      </w:r>
      <w:r w:rsidR="004A4E4C" w:rsidRPr="00F93C90">
        <w:rPr>
          <w:rFonts w:ascii="Times New Roman" w:hAnsi="Times New Roman" w:cs="Times New Roman"/>
          <w:color w:val="000000" w:themeColor="text1"/>
          <w:lang w:val="en-US"/>
        </w:rPr>
        <w:t xml:space="preserve"> </w:t>
      </w:r>
      <w:r w:rsidR="00866C38" w:rsidRPr="00866C38">
        <w:rPr>
          <w:rFonts w:ascii="Times New Roman" w:hAnsi="Times New Roman" w:cs="Times New Roman"/>
          <w:color w:val="000000" w:themeColor="text1"/>
        </w:rPr>
        <w:t>Pseudohypoparathyroidism (PHP)</w:t>
      </w:r>
      <w:r w:rsidR="004A4E4C" w:rsidRPr="00F93C90">
        <w:rPr>
          <w:rFonts w:ascii="Times New Roman" w:hAnsi="Times New Roman" w:cs="Times New Roman"/>
          <w:color w:val="000000" w:themeColor="text1"/>
          <w:lang w:val="en-US"/>
        </w:rPr>
        <w:t>, a</w:t>
      </w:r>
      <w:r w:rsidRPr="00F93C90">
        <w:rPr>
          <w:rFonts w:ascii="Times New Roman" w:hAnsi="Times New Roman" w:cs="Times New Roman"/>
          <w:color w:val="000000" w:themeColor="text1"/>
          <w:lang w:val="en-US"/>
        </w:rPr>
        <w:t xml:space="preserve"> rare </w:t>
      </w:r>
      <w:r w:rsidRPr="00F93C90">
        <w:rPr>
          <w:rFonts w:ascii="Times New Roman" w:hAnsi="Times New Roman" w:cs="Times New Roman"/>
          <w:color w:val="000000" w:themeColor="text1"/>
          <w:lang w:val="en-US"/>
        </w:rPr>
        <w:t>heterogenous</w:t>
      </w:r>
      <w:r w:rsidRPr="00866C38">
        <w:rPr>
          <w:rFonts w:ascii="Times New Roman" w:hAnsi="Times New Roman" w:cs="Times New Roman"/>
          <w:color w:val="000000" w:themeColor="text1"/>
        </w:rPr>
        <w:t xml:space="preserve"> group of disorders characterised by resistance of target tissues to the biological actions of parathyroid hormone (</w:t>
      </w:r>
      <w:r w:rsidR="004A4E4C" w:rsidRPr="00F93C90">
        <w:rPr>
          <w:rFonts w:ascii="Times New Roman" w:hAnsi="Times New Roman" w:cs="Times New Roman"/>
          <w:color w:val="000000" w:themeColor="text1"/>
        </w:rPr>
        <w:t xml:space="preserve">PTH) </w:t>
      </w:r>
      <w:r w:rsidR="004A4E4C" w:rsidRPr="00F93C90">
        <w:rPr>
          <w:rFonts w:ascii="Times New Roman" w:hAnsi="Times New Roman" w:cs="Times New Roman"/>
          <w:color w:val="000000" w:themeColor="text1"/>
          <w:lang w:val="en-US"/>
        </w:rPr>
        <w:t>with</w:t>
      </w:r>
      <w:r w:rsidRPr="00F93C90">
        <w:rPr>
          <w:rFonts w:ascii="Times New Roman" w:hAnsi="Times New Roman" w:cs="Times New Roman"/>
          <w:color w:val="000000" w:themeColor="text1"/>
          <w:lang w:val="en-US"/>
        </w:rPr>
        <w:t xml:space="preserve"> a prevalence of around</w:t>
      </w:r>
      <w:r w:rsidRPr="00F93C90">
        <w:rPr>
          <w:rFonts w:ascii="Times New Roman" w:hAnsi="Times New Roman" w:cs="Times New Roman"/>
          <w:color w:val="000000" w:themeColor="text1"/>
          <w:lang w:val="en-US"/>
        </w:rPr>
        <w:t xml:space="preserve"> </w:t>
      </w:r>
      <w:r w:rsidRPr="00F93C90">
        <w:rPr>
          <w:rFonts w:ascii="Times New Roman" w:hAnsi="Times New Roman" w:cs="Times New Roman"/>
          <w:color w:val="000000" w:themeColor="text1"/>
          <w:lang w:val="en-US"/>
        </w:rPr>
        <w:t>0.79</w:t>
      </w:r>
      <w:r w:rsidRPr="00F93C90">
        <w:rPr>
          <w:rFonts w:ascii="Times New Roman" w:hAnsi="Times New Roman" w:cs="Times New Roman"/>
          <w:color w:val="000000" w:themeColor="text1"/>
          <w:lang w:val="en-US"/>
        </w:rPr>
        <w:t xml:space="preserve"> </w:t>
      </w:r>
      <w:r w:rsidRPr="00F93C90">
        <w:rPr>
          <w:rFonts w:ascii="Times New Roman" w:hAnsi="Times New Roman" w:cs="Times New Roman"/>
          <w:color w:val="000000" w:themeColor="text1"/>
          <w:lang w:val="en-US"/>
        </w:rPr>
        <w:t xml:space="preserve">per 100,000 according to the </w:t>
      </w:r>
      <w:r w:rsidRPr="00F93C90">
        <w:rPr>
          <w:rFonts w:ascii="Times New Roman" w:hAnsi="Times New Roman" w:cs="Times New Roman"/>
          <w:color w:val="000000" w:themeColor="text1"/>
          <w:lang w:val="en-US"/>
        </w:rPr>
        <w:t>Orphaned</w:t>
      </w:r>
      <w:r w:rsidRPr="00F93C90">
        <w:rPr>
          <w:rFonts w:ascii="Times New Roman" w:hAnsi="Times New Roman" w:cs="Times New Roman"/>
          <w:color w:val="000000" w:themeColor="text1"/>
          <w:lang w:val="en-US"/>
        </w:rPr>
        <w:t xml:space="preserve"> Report Series</w:t>
      </w:r>
      <w:r w:rsidRPr="00F93C90">
        <w:rPr>
          <w:rFonts w:ascii="Times New Roman" w:hAnsi="Times New Roman" w:cs="Times New Roman"/>
          <w:color w:val="000000" w:themeColor="text1"/>
          <w:lang w:val="en-US"/>
        </w:rPr>
        <w:t xml:space="preserve">, </w:t>
      </w:r>
      <w:r w:rsidRPr="00F93C90">
        <w:rPr>
          <w:rFonts w:ascii="Times New Roman" w:hAnsi="Times New Roman" w:cs="Times New Roman"/>
          <w:color w:val="000000" w:themeColor="text1"/>
          <w:lang w:val="en-US"/>
        </w:rPr>
        <w:t>November 2008</w:t>
      </w:r>
      <w:r w:rsidRPr="00F93C90">
        <w:rPr>
          <w:rFonts w:ascii="Times New Roman" w:hAnsi="Times New Roman" w:cs="Times New Roman"/>
          <w:color w:val="000000" w:themeColor="text1"/>
          <w:lang w:val="en-US"/>
        </w:rPr>
        <w:t>.</w:t>
      </w:r>
      <w:r w:rsidR="00866C38" w:rsidRPr="00866C38">
        <w:rPr>
          <w:rFonts w:ascii="Times New Roman" w:hAnsi="Times New Roman" w:cs="Times New Roman"/>
          <w:color w:val="000000" w:themeColor="text1"/>
        </w:rPr>
        <w:t xml:space="preserve"> The characteristic biochemical </w:t>
      </w:r>
      <w:r w:rsidR="004A4E4C" w:rsidRPr="00F93C90">
        <w:rPr>
          <w:rFonts w:ascii="Times New Roman" w:hAnsi="Times New Roman" w:cs="Times New Roman"/>
          <w:color w:val="000000" w:themeColor="text1"/>
          <w:lang w:val="en-US"/>
        </w:rPr>
        <w:t>profile</w:t>
      </w:r>
      <w:r w:rsidR="00866C38" w:rsidRPr="00866C38">
        <w:rPr>
          <w:rFonts w:ascii="Times New Roman" w:hAnsi="Times New Roman" w:cs="Times New Roman"/>
          <w:color w:val="000000" w:themeColor="text1"/>
        </w:rPr>
        <w:t xml:space="preserve"> </w:t>
      </w:r>
      <w:r w:rsidR="004A4E4C" w:rsidRPr="00F93C90">
        <w:rPr>
          <w:rFonts w:ascii="Times New Roman" w:hAnsi="Times New Roman" w:cs="Times New Roman"/>
          <w:color w:val="000000" w:themeColor="text1"/>
          <w:lang w:val="en-US"/>
        </w:rPr>
        <w:t xml:space="preserve">comprises of </w:t>
      </w:r>
      <w:r w:rsidR="004A4E4C" w:rsidRPr="00F93C90">
        <w:rPr>
          <w:rFonts w:ascii="Times New Roman" w:hAnsi="Times New Roman" w:cs="Times New Roman"/>
          <w:color w:val="000000" w:themeColor="text1"/>
        </w:rPr>
        <w:t>hypocalcaemia, hyperphosphataemia, and elevated PTH concentrations despite preserved renal function</w:t>
      </w:r>
      <w:r w:rsidR="00866C38" w:rsidRPr="00866C38">
        <w:rPr>
          <w:rFonts w:ascii="Times New Roman" w:hAnsi="Times New Roman" w:cs="Times New Roman"/>
          <w:color w:val="000000" w:themeColor="text1"/>
        </w:rPr>
        <w:t>. Most recognised forms result from genetic or epigenetic abnormalities involving the PTH/PTHrP signalling pathway, particularly the GNAS locus and its downstream signalling components. [1-3]</w:t>
      </w:r>
    </w:p>
    <w:p w:rsidR="00922F02" w:rsidRPr="00866C38" w:rsidRDefault="00922F02" w:rsidP="00F93C90">
      <w:pPr>
        <w:spacing w:line="360" w:lineRule="auto"/>
        <w:jc w:val="both"/>
        <w:rPr>
          <w:rFonts w:ascii="Times New Roman" w:hAnsi="Times New Roman" w:cs="Times New Roman"/>
          <w:color w:val="000000" w:themeColor="text1"/>
        </w:rPr>
      </w:pPr>
    </w:p>
    <w:p w:rsidR="00922F02" w:rsidRPr="00F93C90"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 xml:space="preserve">Clinical </w:t>
      </w:r>
      <w:r w:rsidR="004A4E4C" w:rsidRPr="00F93C90">
        <w:rPr>
          <w:rFonts w:ascii="Times New Roman" w:hAnsi="Times New Roman" w:cs="Times New Roman"/>
          <w:color w:val="000000" w:themeColor="text1"/>
          <w:lang w:val="en-US"/>
        </w:rPr>
        <w:t>presentation</w:t>
      </w:r>
      <w:r w:rsidRPr="00866C38">
        <w:rPr>
          <w:rFonts w:ascii="Times New Roman" w:hAnsi="Times New Roman" w:cs="Times New Roman"/>
          <w:color w:val="000000" w:themeColor="text1"/>
        </w:rPr>
        <w:t xml:space="preserve"> is </w:t>
      </w:r>
      <w:r w:rsidR="004A4E4C" w:rsidRPr="00F93C90">
        <w:rPr>
          <w:rFonts w:ascii="Times New Roman" w:hAnsi="Times New Roman" w:cs="Times New Roman"/>
          <w:color w:val="000000" w:themeColor="text1"/>
          <w:lang w:val="en-US"/>
        </w:rPr>
        <w:t>variable; most</w:t>
      </w:r>
      <w:r w:rsidRPr="00866C38">
        <w:rPr>
          <w:rFonts w:ascii="Times New Roman" w:hAnsi="Times New Roman" w:cs="Times New Roman"/>
          <w:color w:val="000000" w:themeColor="text1"/>
        </w:rPr>
        <w:t xml:space="preserve"> patients </w:t>
      </w:r>
      <w:r w:rsidR="004A4E4C" w:rsidRPr="00F93C90">
        <w:rPr>
          <w:rFonts w:ascii="Times New Roman" w:hAnsi="Times New Roman" w:cs="Times New Roman"/>
          <w:color w:val="000000" w:themeColor="text1"/>
          <w:lang w:val="en-US"/>
        </w:rPr>
        <w:t>are diagnosed</w:t>
      </w:r>
      <w:r w:rsidR="00FA5AE2" w:rsidRPr="00F93C90">
        <w:rPr>
          <w:rFonts w:ascii="Times New Roman" w:hAnsi="Times New Roman" w:cs="Times New Roman"/>
          <w:color w:val="000000" w:themeColor="text1"/>
          <w:lang w:val="en-US"/>
        </w:rPr>
        <w:t xml:space="preserve"> during childhood and </w:t>
      </w:r>
      <w:r w:rsidR="004A4E4C" w:rsidRPr="00F93C90">
        <w:rPr>
          <w:rFonts w:ascii="Times New Roman" w:hAnsi="Times New Roman" w:cs="Times New Roman"/>
          <w:color w:val="000000" w:themeColor="text1"/>
          <w:lang w:val="en-US"/>
        </w:rPr>
        <w:t>exhibit</w:t>
      </w:r>
      <w:r w:rsidRPr="00866C38">
        <w:rPr>
          <w:rFonts w:ascii="Times New Roman" w:hAnsi="Times New Roman" w:cs="Times New Roman"/>
          <w:color w:val="000000" w:themeColor="text1"/>
        </w:rPr>
        <w:t xml:space="preserve"> Albright hereditary osteodystrophy (AHO)</w:t>
      </w:r>
      <w:r w:rsidR="00FA5AE2" w:rsidRPr="00F93C90">
        <w:rPr>
          <w:rFonts w:ascii="Times New Roman" w:hAnsi="Times New Roman" w:cs="Times New Roman"/>
          <w:color w:val="000000" w:themeColor="text1"/>
          <w:lang w:val="en-US"/>
        </w:rPr>
        <w:t xml:space="preserve"> </w:t>
      </w:r>
      <w:r w:rsidRPr="00866C38">
        <w:rPr>
          <w:rFonts w:ascii="Times New Roman" w:hAnsi="Times New Roman" w:cs="Times New Roman"/>
          <w:color w:val="000000" w:themeColor="text1"/>
        </w:rPr>
        <w:t xml:space="preserve">features such as </w:t>
      </w:r>
      <w:r w:rsidR="004A4E4C" w:rsidRPr="00F93C90">
        <w:rPr>
          <w:rFonts w:ascii="Times New Roman" w:hAnsi="Times New Roman" w:cs="Times New Roman"/>
          <w:color w:val="000000" w:themeColor="text1"/>
          <w:lang w:val="en-US"/>
        </w:rPr>
        <w:t xml:space="preserve">obesity, round facies, ectopic ossification, </w:t>
      </w:r>
      <w:r w:rsidRPr="00866C38">
        <w:rPr>
          <w:rFonts w:ascii="Times New Roman" w:hAnsi="Times New Roman" w:cs="Times New Roman"/>
          <w:color w:val="000000" w:themeColor="text1"/>
        </w:rPr>
        <w:t>brachydactyly,</w:t>
      </w:r>
      <w:r w:rsidR="004A4E4C" w:rsidRPr="00F93C90">
        <w:rPr>
          <w:rFonts w:ascii="Times New Roman" w:hAnsi="Times New Roman" w:cs="Times New Roman"/>
          <w:color w:val="000000" w:themeColor="text1"/>
          <w:lang w:val="en-US"/>
        </w:rPr>
        <w:t xml:space="preserve"> and </w:t>
      </w:r>
      <w:r w:rsidRPr="00866C38">
        <w:rPr>
          <w:rFonts w:ascii="Times New Roman" w:hAnsi="Times New Roman" w:cs="Times New Roman"/>
          <w:color w:val="000000" w:themeColor="text1"/>
        </w:rPr>
        <w:t>short stature</w:t>
      </w:r>
      <w:r w:rsidR="00FA5AE2" w:rsidRPr="00F93C90">
        <w:rPr>
          <w:rFonts w:ascii="Times New Roman" w:hAnsi="Times New Roman" w:cs="Times New Roman"/>
          <w:color w:val="000000" w:themeColor="text1"/>
          <w:lang w:val="en-US"/>
        </w:rPr>
        <w:t xml:space="preserve">. </w:t>
      </w:r>
      <w:r w:rsidR="004A4E4C" w:rsidRPr="00F93C90">
        <w:rPr>
          <w:rFonts w:ascii="Times New Roman" w:hAnsi="Times New Roman" w:cs="Times New Roman"/>
          <w:color w:val="000000" w:themeColor="text1"/>
          <w:lang w:val="en-US"/>
        </w:rPr>
        <w:t>Others, particularly those with PHP type 1B, present predominantly</w:t>
      </w:r>
      <w:r w:rsidRPr="00866C38">
        <w:rPr>
          <w:rFonts w:ascii="Times New Roman" w:hAnsi="Times New Roman" w:cs="Times New Roman"/>
          <w:color w:val="000000" w:themeColor="text1"/>
        </w:rPr>
        <w:t xml:space="preserve"> with biochemical PTH resistance and few or none of these physical </w:t>
      </w:r>
      <w:r w:rsidR="004A4E4C" w:rsidRPr="00F93C90">
        <w:rPr>
          <w:rFonts w:ascii="Times New Roman" w:hAnsi="Times New Roman" w:cs="Times New Roman"/>
          <w:color w:val="000000" w:themeColor="text1"/>
          <w:lang w:val="en-US"/>
        </w:rPr>
        <w:t xml:space="preserve">features </w:t>
      </w:r>
      <w:r w:rsidRPr="00866C38">
        <w:rPr>
          <w:rFonts w:ascii="Times New Roman" w:hAnsi="Times New Roman" w:cs="Times New Roman"/>
          <w:color w:val="000000" w:themeColor="text1"/>
        </w:rPr>
        <w:t xml:space="preserve">[1,2] </w:t>
      </w:r>
      <w:r w:rsidR="004A4E4C" w:rsidRPr="00F93C90">
        <w:rPr>
          <w:rFonts w:ascii="Times New Roman" w:hAnsi="Times New Roman" w:cs="Times New Roman"/>
          <w:color w:val="000000" w:themeColor="text1"/>
        </w:rPr>
        <w:t>Consequently, adult presentation can be diagnostically challenging</w:t>
      </w:r>
      <w:r w:rsidRPr="00866C38">
        <w:rPr>
          <w:rFonts w:ascii="Times New Roman" w:hAnsi="Times New Roman" w:cs="Times New Roman"/>
          <w:color w:val="000000" w:themeColor="text1"/>
        </w:rPr>
        <w:t>, particularly in resource-limited settings where molecular testing is not readily available. [4] We report an adult woman who presented with severe hypocalcaemic tetany and trismus</w:t>
      </w:r>
      <w:r w:rsidR="004723AD" w:rsidRPr="00F93C90">
        <w:rPr>
          <w:rFonts w:ascii="Times New Roman" w:hAnsi="Times New Roman" w:cs="Times New Roman"/>
          <w:color w:val="000000" w:themeColor="text1"/>
          <w:lang w:val="en-US"/>
        </w:rPr>
        <w:t xml:space="preserve"> </w:t>
      </w:r>
      <w:r w:rsidRPr="00866C38">
        <w:rPr>
          <w:rFonts w:ascii="Times New Roman" w:hAnsi="Times New Roman" w:cs="Times New Roman"/>
          <w:color w:val="000000" w:themeColor="text1"/>
        </w:rPr>
        <w:t>whose biochemical profile established PTH resistance despite the absence of classical AHO features.</w:t>
      </w:r>
    </w:p>
    <w:p w:rsidR="004A4E4C" w:rsidRPr="00F93C90" w:rsidRDefault="004A4E4C" w:rsidP="00F93C90">
      <w:pPr>
        <w:spacing w:line="360" w:lineRule="auto"/>
        <w:jc w:val="both"/>
        <w:rPr>
          <w:rFonts w:ascii="Times New Roman" w:hAnsi="Times New Roman" w:cs="Times New Roman"/>
          <w:color w:val="000000" w:themeColor="text1"/>
        </w:rPr>
      </w:pPr>
    </w:p>
    <w:p w:rsidR="00866C38" w:rsidRPr="00866C38" w:rsidRDefault="00866C38" w:rsidP="00F93C90">
      <w:pPr>
        <w:pStyle w:val="Heading2"/>
        <w:spacing w:line="360" w:lineRule="auto"/>
        <w:rPr>
          <w:color w:val="000000" w:themeColor="text1"/>
          <w:sz w:val="24"/>
          <w:szCs w:val="24"/>
        </w:rPr>
      </w:pPr>
      <w:r w:rsidRPr="00866C38">
        <w:rPr>
          <w:color w:val="000000" w:themeColor="text1"/>
          <w:sz w:val="24"/>
          <w:szCs w:val="24"/>
        </w:rPr>
        <w:t>CASE PRESENTATION</w:t>
      </w:r>
    </w:p>
    <w:p w:rsidR="00655629" w:rsidRPr="00F93C90" w:rsidRDefault="00655629" w:rsidP="00F93C90">
      <w:pPr>
        <w:spacing w:line="360" w:lineRule="auto"/>
        <w:jc w:val="both"/>
        <w:rPr>
          <w:rFonts w:ascii="Times New Roman" w:hAnsi="Times New Roman" w:cs="Times New Roman"/>
          <w:color w:val="000000" w:themeColor="text1"/>
        </w:rPr>
      </w:pPr>
      <w:r w:rsidRPr="00F93C90">
        <w:rPr>
          <w:rFonts w:ascii="Times New Roman" w:hAnsi="Times New Roman" w:cs="Times New Roman"/>
          <w:color w:val="000000" w:themeColor="text1"/>
        </w:rPr>
        <w:t>A 43-year-old Tanzanian woman was referred to our tertiary care facility with progressive neuromuscular symptoms. She had no known chronic medical illness, history of neck surgery or cervical irradiation, or use of medications associated with hypocalcaemia. She denied alcohol or tobacco use, and there was no family history of similar illness.</w:t>
      </w:r>
    </w:p>
    <w:p w:rsidR="00F93C90" w:rsidRPr="00F93C90" w:rsidRDefault="00F93C90" w:rsidP="00F93C90">
      <w:pPr>
        <w:spacing w:line="360" w:lineRule="auto"/>
        <w:jc w:val="both"/>
        <w:rPr>
          <w:rFonts w:ascii="Times New Roman" w:hAnsi="Times New Roman" w:cs="Times New Roman"/>
          <w:color w:val="000000" w:themeColor="text1"/>
        </w:rPr>
      </w:pPr>
    </w:p>
    <w:p w:rsidR="004723AD" w:rsidRPr="00F93C90" w:rsidRDefault="004723AD"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 xml:space="preserve">Approximately five months before admission, she developed gradually progressive paraesthesia and numbness, initially </w:t>
      </w:r>
      <w:r w:rsidR="00655629" w:rsidRPr="00F93C90">
        <w:rPr>
          <w:rFonts w:ascii="Times New Roman" w:hAnsi="Times New Roman" w:cs="Times New Roman"/>
          <w:color w:val="000000" w:themeColor="text1"/>
          <w:lang w:val="en-US"/>
        </w:rPr>
        <w:t>in</w:t>
      </w:r>
      <w:r w:rsidRPr="00866C38">
        <w:rPr>
          <w:rFonts w:ascii="Times New Roman" w:hAnsi="Times New Roman" w:cs="Times New Roman"/>
          <w:color w:val="000000" w:themeColor="text1"/>
        </w:rPr>
        <w:t xml:space="preserve"> the perioral region </w:t>
      </w:r>
      <w:r w:rsidR="00655629" w:rsidRPr="00F93C90">
        <w:rPr>
          <w:rFonts w:ascii="Times New Roman" w:hAnsi="Times New Roman" w:cs="Times New Roman"/>
          <w:color w:val="000000" w:themeColor="text1"/>
          <w:lang w:val="en-US"/>
        </w:rPr>
        <w:t>before involving</w:t>
      </w:r>
      <w:r w:rsidRPr="00866C38">
        <w:rPr>
          <w:rFonts w:ascii="Times New Roman" w:hAnsi="Times New Roman" w:cs="Times New Roman"/>
          <w:color w:val="000000" w:themeColor="text1"/>
        </w:rPr>
        <w:t xml:space="preserve"> both hands and feet.</w:t>
      </w:r>
      <w:r w:rsidRPr="00F93C90">
        <w:rPr>
          <w:rFonts w:ascii="Times New Roman" w:hAnsi="Times New Roman" w:cs="Times New Roman"/>
          <w:color w:val="000000" w:themeColor="text1"/>
          <w:lang w:val="en-US"/>
        </w:rPr>
        <w:t xml:space="preserve"> </w:t>
      </w:r>
      <w:r w:rsidR="00655629" w:rsidRPr="00F93C90">
        <w:rPr>
          <w:rFonts w:ascii="Times New Roman" w:hAnsi="Times New Roman" w:cs="Times New Roman"/>
          <w:color w:val="000000" w:themeColor="text1"/>
        </w:rPr>
        <w:t>Over subsequent months, this progressed to painless perioral fasciculations and recurrent, sustained carpopedal spasms that increased in frequency and duration, impairing her ability to hold objects and walk.</w:t>
      </w:r>
    </w:p>
    <w:p w:rsidR="00866C38" w:rsidRPr="00F93C90"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lastRenderedPageBreak/>
        <w:t xml:space="preserve">On the day before admission, </w:t>
      </w:r>
      <w:r w:rsidR="00655629" w:rsidRPr="00F93C90">
        <w:rPr>
          <w:rFonts w:ascii="Times New Roman" w:hAnsi="Times New Roman" w:cs="Times New Roman"/>
          <w:color w:val="000000" w:themeColor="text1"/>
        </w:rPr>
        <w:t>she developed trismus, inability to speak, and generalized tetany, initially raising clinical suspicion of tetanus. However, there was no history of a preceding wound or other features suggestive of an infectious tetanus syndrome.</w:t>
      </w:r>
    </w:p>
    <w:p w:rsidR="004723AD" w:rsidRPr="00866C38" w:rsidRDefault="004723AD" w:rsidP="00F93C90">
      <w:pPr>
        <w:spacing w:line="360" w:lineRule="auto"/>
        <w:jc w:val="both"/>
        <w:rPr>
          <w:rFonts w:ascii="Times New Roman" w:hAnsi="Times New Roman" w:cs="Times New Roman"/>
          <w:color w:val="000000" w:themeColor="text1"/>
        </w:rPr>
      </w:pPr>
    </w:p>
    <w:p w:rsidR="004154DB"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 xml:space="preserve">On examination, </w:t>
      </w:r>
      <w:r w:rsidR="00655629" w:rsidRPr="00F93C90">
        <w:rPr>
          <w:rFonts w:ascii="Times New Roman" w:hAnsi="Times New Roman" w:cs="Times New Roman"/>
          <w:color w:val="000000" w:themeColor="text1"/>
        </w:rPr>
        <w:t>the patient was hemodynamically stable and alert</w:t>
      </w:r>
      <w:r w:rsidRPr="00866C38">
        <w:rPr>
          <w:rFonts w:ascii="Times New Roman" w:hAnsi="Times New Roman" w:cs="Times New Roman"/>
          <w:color w:val="000000" w:themeColor="text1"/>
        </w:rPr>
        <w:t xml:space="preserve">. </w:t>
      </w:r>
      <w:r w:rsidR="00655629" w:rsidRPr="00F93C90">
        <w:rPr>
          <w:rFonts w:ascii="Times New Roman" w:hAnsi="Times New Roman" w:cs="Times New Roman"/>
          <w:color w:val="000000" w:themeColor="text1"/>
        </w:rPr>
        <w:t xml:space="preserve">She was obese (Body Mass Index 32.7 kg/m²) </w:t>
      </w:r>
      <w:r w:rsidR="00655629" w:rsidRPr="00F93C90">
        <w:rPr>
          <w:rFonts w:ascii="Times New Roman" w:hAnsi="Times New Roman" w:cs="Times New Roman"/>
          <w:color w:val="000000" w:themeColor="text1"/>
          <w:lang w:val="en-US"/>
        </w:rPr>
        <w:t>b</w:t>
      </w:r>
      <w:r w:rsidR="00655629" w:rsidRPr="00F93C90">
        <w:rPr>
          <w:rFonts w:ascii="Times New Roman" w:hAnsi="Times New Roman" w:cs="Times New Roman"/>
          <w:color w:val="000000" w:themeColor="text1"/>
        </w:rPr>
        <w:t>ut lacked the phenotypic features of Albright hereditary osteodystrophy (AHO): stature was normal, there was no round facies, Archibald's metacarpal sign was negative, indicating absence of brachydactyly, and no subcutaneous ossifications were identified. Neurological examination demonstrated generalized symmetrical hyperreflexia (3+) globally</w:t>
      </w:r>
      <w:r w:rsidRPr="00866C38">
        <w:rPr>
          <w:rFonts w:ascii="Times New Roman" w:hAnsi="Times New Roman" w:cs="Times New Roman"/>
          <w:color w:val="000000" w:themeColor="text1"/>
        </w:rPr>
        <w:t>.</w:t>
      </w:r>
      <w:r w:rsidR="00655629" w:rsidRPr="00F93C90">
        <w:rPr>
          <w:rFonts w:ascii="Times New Roman" w:hAnsi="Times New Roman" w:cs="Times New Roman"/>
          <w:color w:val="000000" w:themeColor="text1"/>
          <w:lang w:val="en-US"/>
        </w:rPr>
        <w:t xml:space="preserve"> </w:t>
      </w:r>
      <w:r w:rsidR="00655629" w:rsidRPr="00F93C90">
        <w:rPr>
          <w:rFonts w:ascii="Times New Roman" w:hAnsi="Times New Roman" w:cs="Times New Roman"/>
          <w:color w:val="000000" w:themeColor="text1"/>
          <w:lang w:val="en-US"/>
        </w:rPr>
        <w:t xml:space="preserve">Chvostek's sign was positive, and inflation of a sphygmomanometer cuff elicited </w:t>
      </w:r>
      <w:r w:rsidR="00655629" w:rsidRPr="00F93C90">
        <w:rPr>
          <w:rFonts w:ascii="Times New Roman" w:hAnsi="Times New Roman" w:cs="Times New Roman"/>
          <w:color w:val="000000" w:themeColor="text1"/>
          <w:lang w:val="en-US"/>
        </w:rPr>
        <w:t xml:space="preserve">the </w:t>
      </w:r>
      <w:r w:rsidR="00655629" w:rsidRPr="00F93C90">
        <w:rPr>
          <w:rFonts w:ascii="Times New Roman" w:hAnsi="Times New Roman" w:cs="Times New Roman"/>
          <w:color w:val="000000" w:themeColor="text1"/>
          <w:lang w:val="en-US"/>
        </w:rPr>
        <w:t>classical carpopedal spasm (positive Trousseau's sign) (Figure 1</w:t>
      </w:r>
      <w:r w:rsidR="00655629" w:rsidRPr="00F93C90">
        <w:rPr>
          <w:rFonts w:ascii="Times New Roman" w:hAnsi="Times New Roman" w:cs="Times New Roman"/>
          <w:color w:val="000000" w:themeColor="text1"/>
          <w:lang w:val="en-US"/>
        </w:rPr>
        <w:t>).</w:t>
      </w:r>
      <w:r w:rsidRPr="00866C38">
        <w:rPr>
          <w:rFonts w:ascii="Times New Roman" w:hAnsi="Times New Roman" w:cs="Times New Roman"/>
          <w:color w:val="000000" w:themeColor="text1"/>
        </w:rPr>
        <w:t xml:space="preserve"> </w:t>
      </w:r>
    </w:p>
    <w:p w:rsidR="00F93C90" w:rsidRPr="00F93C90" w:rsidRDefault="00F93C90" w:rsidP="00F93C90">
      <w:pPr>
        <w:spacing w:line="360" w:lineRule="auto"/>
        <w:jc w:val="both"/>
        <w:rPr>
          <w:rFonts w:ascii="Times New Roman" w:hAnsi="Times New Roman" w:cs="Times New Roman"/>
          <w:color w:val="000000" w:themeColor="text1"/>
        </w:rPr>
      </w:pPr>
    </w:p>
    <w:p w:rsidR="00F93C90" w:rsidRPr="00F93C90" w:rsidRDefault="00F93C90" w:rsidP="00F93C90">
      <w:pPr>
        <w:spacing w:line="360" w:lineRule="auto"/>
        <w:jc w:val="both"/>
        <w:rPr>
          <w:rFonts w:ascii="Times New Roman" w:hAnsi="Times New Roman" w:cs="Times New Roman"/>
          <w:color w:val="000000" w:themeColor="text1"/>
        </w:rPr>
      </w:pPr>
    </w:p>
    <w:p w:rsidR="00F93C90" w:rsidRDefault="00F93C90" w:rsidP="00F93C90">
      <w:pPr>
        <w:spacing w:line="360" w:lineRule="auto"/>
        <w:jc w:val="center"/>
        <w:rPr>
          <w:rFonts w:ascii="Times New Roman" w:hAnsi="Times New Roman" w:cs="Times New Roman"/>
          <w:color w:val="000000" w:themeColor="text1"/>
        </w:rPr>
      </w:pPr>
      <w:r w:rsidRPr="00F93C90">
        <w:rPr>
          <w:rFonts w:ascii="Times New Roman" w:hAnsi="Times New Roman" w:cs="Times New Roman"/>
          <w:color w:val="000000" w:themeColor="text1"/>
        </w:rPr>
        <w:drawing>
          <wp:inline distT="0" distB="0" distL="0" distR="0" wp14:anchorId="1D314844" wp14:editId="62F87A20">
            <wp:extent cx="3857842" cy="4842257"/>
            <wp:effectExtent l="12700" t="12700" r="15875" b="9525"/>
            <wp:docPr id="3" name="Picture 2" descr="TROUSEA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ROUSEA SIGN"/>
                    <pic:cNvPicPr>
                      <a:picLocks noChangeAspect="1"/>
                    </pic:cNvPicPr>
                  </pic:nvPicPr>
                  <pic:blipFill rotWithShape="1">
                    <a:blip r:embed="rId5"/>
                    <a:srcRect l="11950" r="3519" b="8995"/>
                    <a:stretch/>
                  </pic:blipFill>
                  <pic:spPr bwMode="auto">
                    <a:xfrm>
                      <a:off x="0" y="0"/>
                      <a:ext cx="3928649" cy="4931132"/>
                    </a:xfrm>
                    <a:prstGeom prst="rect">
                      <a:avLst/>
                    </a:prstGeom>
                    <a:ln w="12700">
                      <a:solidFill>
                        <a:schemeClr val="accent1"/>
                      </a:solidFill>
                    </a:ln>
                    <a:extLst>
                      <a:ext uri="{53640926-AAD7-44D8-BBD7-CCE9431645EC}">
                        <a14:shadowObscured xmlns:a14="http://schemas.microsoft.com/office/drawing/2010/main"/>
                      </a:ext>
                    </a:extLst>
                  </pic:spPr>
                </pic:pic>
              </a:graphicData>
            </a:graphic>
          </wp:inline>
        </w:drawing>
      </w:r>
    </w:p>
    <w:p w:rsidR="00F93C90" w:rsidRPr="00F93C90" w:rsidRDefault="00F93C90" w:rsidP="00F93C90">
      <w:pPr>
        <w:spacing w:line="360" w:lineRule="auto"/>
        <w:jc w:val="center"/>
        <w:rPr>
          <w:rFonts w:ascii="Times New Roman" w:hAnsi="Times New Roman" w:cs="Times New Roman"/>
          <w:color w:val="000000" w:themeColor="text1"/>
        </w:rPr>
      </w:pPr>
    </w:p>
    <w:p w:rsidR="00F93C90" w:rsidRPr="00F93C90" w:rsidRDefault="00F93C90" w:rsidP="00F93C90">
      <w:pPr>
        <w:spacing w:line="360" w:lineRule="auto"/>
        <w:jc w:val="center"/>
        <w:rPr>
          <w:rFonts w:ascii="Times New Roman" w:hAnsi="Times New Roman" w:cs="Times New Roman"/>
          <w:color w:val="000000" w:themeColor="text1"/>
        </w:rPr>
      </w:pPr>
      <w:r w:rsidRPr="00F93C90">
        <w:rPr>
          <w:rFonts w:ascii="Times New Roman" w:hAnsi="Times New Roman" w:cs="Times New Roman"/>
          <w:color w:val="000000" w:themeColor="text1"/>
        </w:rPr>
        <w:t>Figure 1. Positive Trousseau’s sign demonstrating carpopedal spasm.</w:t>
      </w:r>
    </w:p>
    <w:p w:rsidR="004154DB" w:rsidRPr="00866C38" w:rsidRDefault="00866C38" w:rsidP="00F93C90">
      <w:pPr>
        <w:pStyle w:val="Heading2"/>
        <w:spacing w:line="360" w:lineRule="auto"/>
        <w:rPr>
          <w:color w:val="000000" w:themeColor="text1"/>
          <w:sz w:val="24"/>
          <w:szCs w:val="24"/>
        </w:rPr>
      </w:pPr>
      <w:r w:rsidRPr="00866C38">
        <w:rPr>
          <w:color w:val="000000" w:themeColor="text1"/>
          <w:sz w:val="24"/>
          <w:szCs w:val="24"/>
        </w:rPr>
        <w:lastRenderedPageBreak/>
        <w:t>INVESTIGATIONS</w:t>
      </w:r>
    </w:p>
    <w:p w:rsidR="00F93C90" w:rsidRPr="00F93C90" w:rsidRDefault="000D0699" w:rsidP="00F93C90">
      <w:pPr>
        <w:spacing w:line="360" w:lineRule="auto"/>
        <w:jc w:val="both"/>
        <w:rPr>
          <w:rFonts w:ascii="Times New Roman" w:hAnsi="Times New Roman" w:cs="Times New Roman"/>
          <w:color w:val="000000" w:themeColor="text1"/>
          <w:lang w:val="en-US"/>
        </w:rPr>
      </w:pPr>
      <w:r w:rsidRPr="00F93C90">
        <w:rPr>
          <w:rFonts w:ascii="Times New Roman" w:hAnsi="Times New Roman" w:cs="Times New Roman"/>
          <w:kern w:val="0"/>
          <w:lang w:val="en-GB"/>
        </w:rPr>
        <w:t xml:space="preserve">Initial laboratory tests showed profound hypocalcaemia, with ionised calcium of 0.43 mmol/L (reference 1.12–1.32 mmol/L) and total serum calcium of 1.9 mmol/L (reference 2.1–2.55 mmol/L). Serum phosphate was elevated at 1.6 mmol/L (reference 0.81–1.45 mmol/L), while magnesium was normal at 1.03 mmol/L. Arterial blood gas analysis showed </w:t>
      </w:r>
      <w:r w:rsidR="004154DB" w:rsidRPr="00866C38">
        <w:rPr>
          <w:rFonts w:ascii="Times New Roman" w:hAnsi="Times New Roman" w:cs="Times New Roman"/>
          <w:color w:val="000000" w:themeColor="text1"/>
        </w:rPr>
        <w:t>a pH of 7.41, pCO₂ 36.7 mm Hg and bicarbonate 25 mmol/L, arguing against respiratory alkalosis as a precipitant of tetany</w:t>
      </w:r>
      <w:r w:rsidR="00F93C90" w:rsidRPr="00F93C90">
        <w:rPr>
          <w:rFonts w:ascii="Times New Roman" w:hAnsi="Times New Roman" w:cs="Times New Roman"/>
          <w:color w:val="000000" w:themeColor="text1"/>
          <w:lang w:val="en-US"/>
        </w:rPr>
        <w:t>.</w:t>
      </w:r>
    </w:p>
    <w:p w:rsidR="00F93C90" w:rsidRPr="00F93C90" w:rsidRDefault="00F93C90" w:rsidP="00F93C90">
      <w:pPr>
        <w:spacing w:line="360" w:lineRule="auto"/>
        <w:jc w:val="both"/>
        <w:rPr>
          <w:rFonts w:ascii="Times New Roman" w:hAnsi="Times New Roman" w:cs="Times New Roman"/>
          <w:color w:val="000000" w:themeColor="text1"/>
          <w:lang w:val="en-US"/>
        </w:rPr>
      </w:pPr>
    </w:p>
    <w:p w:rsidR="000D0699" w:rsidRPr="00F93C90" w:rsidRDefault="000D0699" w:rsidP="00F93C90">
      <w:pPr>
        <w:spacing w:line="360" w:lineRule="auto"/>
        <w:jc w:val="both"/>
        <w:rPr>
          <w:rFonts w:ascii="Times New Roman" w:hAnsi="Times New Roman" w:cs="Times New Roman"/>
          <w:color w:val="000000" w:themeColor="text1"/>
          <w:lang w:val="en-US"/>
        </w:rPr>
      </w:pPr>
      <w:r w:rsidRPr="00F93C90">
        <w:rPr>
          <w:rFonts w:ascii="Times New Roman" w:hAnsi="Times New Roman" w:cs="Times New Roman"/>
          <w:color w:val="000000" w:themeColor="text1"/>
        </w:rPr>
        <w:t>Intact PTH was markedly elevated at 176.8 pg/mL (reference 6–80 pg/mL) despite severe hypocalcaemia. Serum magnesium was normal at 1.03 mmol/L (reference 0.66–1.07 mmol/L), as were serum albumin (36.1 g/L) and 25-hydroxyvitamin D (37.7 ng/mL). Renal function was preserved, with a creatinine of 53.7 µmol/L. Thyroid and reproductive hormone profiles, liver function tests, HbA1c, and serum glucose were within reference ranges (Table 1). Collectively, these findings did not support common alternative metabolic causes of hypocalcaemia.</w:t>
      </w:r>
    </w:p>
    <w:p w:rsidR="00E305A7" w:rsidRDefault="00E305A7" w:rsidP="00E305A7">
      <w:pPr>
        <w:spacing w:line="360" w:lineRule="auto"/>
        <w:jc w:val="center"/>
        <w:rPr>
          <w:rFonts w:ascii="Times New Roman" w:hAnsi="Times New Roman" w:cs="Times New Roman"/>
          <w:b/>
          <w:bCs/>
          <w:color w:val="000000" w:themeColor="text1"/>
          <w:lang w:val="en-US"/>
        </w:rPr>
      </w:pPr>
    </w:p>
    <w:p w:rsidR="004A12D0" w:rsidRPr="00866C38" w:rsidRDefault="00E305A7" w:rsidP="00E305A7">
      <w:pPr>
        <w:spacing w:line="360" w:lineRule="auto"/>
        <w:jc w:val="center"/>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t>Table</w:t>
      </w:r>
      <w:r w:rsidR="004A12D0" w:rsidRPr="00866C38">
        <w:rPr>
          <w:rFonts w:ascii="Times New Roman" w:hAnsi="Times New Roman" w:cs="Times New Roman"/>
          <w:b/>
          <w:bCs/>
          <w:color w:val="000000" w:themeColor="text1"/>
        </w:rPr>
        <w:t xml:space="preserve"> </w:t>
      </w:r>
      <w:r>
        <w:rPr>
          <w:rFonts w:ascii="Times New Roman" w:hAnsi="Times New Roman" w:cs="Times New Roman"/>
          <w:b/>
          <w:bCs/>
          <w:color w:val="000000" w:themeColor="text1"/>
          <w:lang w:val="en-US"/>
        </w:rPr>
        <w:t>1</w:t>
      </w:r>
      <w:r w:rsidR="004A12D0" w:rsidRPr="00866C38">
        <w:rPr>
          <w:rFonts w:ascii="Times New Roman" w:hAnsi="Times New Roman" w:cs="Times New Roman"/>
          <w:b/>
          <w:bCs/>
          <w:color w:val="000000" w:themeColor="text1"/>
        </w:rPr>
        <w:t>.</w:t>
      </w:r>
      <w:r w:rsidR="004A12D0" w:rsidRPr="00866C38">
        <w:rPr>
          <w:rFonts w:ascii="Times New Roman" w:hAnsi="Times New Roman" w:cs="Times New Roman"/>
          <w:color w:val="000000" w:themeColor="text1"/>
        </w:rPr>
        <w:t xml:space="preserve"> </w:t>
      </w:r>
      <w:r>
        <w:rPr>
          <w:rFonts w:ascii="Times New Roman" w:hAnsi="Times New Roman" w:cs="Times New Roman"/>
          <w:color w:val="000000" w:themeColor="text1"/>
          <w:lang w:val="en-US"/>
        </w:rPr>
        <w:t>Electrolytes, Hormonal Assays of Patient on Admission</w:t>
      </w:r>
    </w:p>
    <w:p w:rsidR="000D0699" w:rsidRPr="00866C38" w:rsidRDefault="000D0699" w:rsidP="00F93C90">
      <w:pPr>
        <w:spacing w:line="360" w:lineRule="auto"/>
        <w:jc w:val="both"/>
        <w:rPr>
          <w:rFonts w:ascii="Times New Roman" w:hAnsi="Times New Roman" w:cs="Times New Roman"/>
          <w:color w:val="000000" w:themeColor="text1"/>
        </w:rPr>
      </w:pPr>
    </w:p>
    <w:p w:rsidR="004A12D0"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 xml:space="preserve">Electrocardiography (Figure </w:t>
      </w:r>
      <w:r w:rsidR="000D0699" w:rsidRPr="00F93C90">
        <w:rPr>
          <w:rFonts w:ascii="Times New Roman" w:hAnsi="Times New Roman" w:cs="Times New Roman"/>
          <w:color w:val="000000" w:themeColor="text1"/>
          <w:lang w:val="en-US"/>
        </w:rPr>
        <w:t>2</w:t>
      </w:r>
      <w:r w:rsidRPr="00866C38">
        <w:rPr>
          <w:rFonts w:ascii="Times New Roman" w:hAnsi="Times New Roman" w:cs="Times New Roman"/>
          <w:color w:val="000000" w:themeColor="text1"/>
        </w:rPr>
        <w:t>) demonstrated sinus tachycardia at 109 beats/min with a QTc interval of 457 ms, consistent with QT prolongation in the setting of severe hypocalcaemia. Echocardiography was normal.</w:t>
      </w:r>
      <w:r w:rsidR="00F93C90" w:rsidRPr="00F93C90">
        <w:rPr>
          <w:rFonts w:ascii="Times New Roman" w:hAnsi="Times New Roman" w:cs="Times New Roman"/>
          <w:color w:val="000000" w:themeColor="text1"/>
          <w:lang w:val="en-US"/>
        </w:rPr>
        <w:t xml:space="preserve"> </w:t>
      </w:r>
      <w:r w:rsidRPr="00866C38">
        <w:rPr>
          <w:rFonts w:ascii="Times New Roman" w:hAnsi="Times New Roman" w:cs="Times New Roman"/>
          <w:color w:val="000000" w:themeColor="text1"/>
        </w:rPr>
        <w:t>Renal ultrasonography demonstrated normal bilateral kidneys without nephrocalcinosis or urolithiasis. Non-contrast CT of the brain demonstrated no basal ganglia or other intracranial calcifications.</w:t>
      </w:r>
    </w:p>
    <w:p w:rsidR="00E305A7" w:rsidRPr="00866C38" w:rsidRDefault="00E305A7" w:rsidP="00F93C90">
      <w:pPr>
        <w:spacing w:line="360" w:lineRule="auto"/>
        <w:jc w:val="both"/>
        <w:rPr>
          <w:rFonts w:ascii="Times New Roman" w:hAnsi="Times New Roman" w:cs="Times New Roman"/>
          <w:color w:val="000000" w:themeColor="text1"/>
        </w:rPr>
      </w:pPr>
    </w:p>
    <w:p w:rsidR="004A12D0" w:rsidRDefault="004A12D0" w:rsidP="00E305A7">
      <w:pPr>
        <w:spacing w:line="360" w:lineRule="auto"/>
        <w:jc w:val="center"/>
        <w:rPr>
          <w:rFonts w:ascii="Times New Roman" w:hAnsi="Times New Roman" w:cs="Times New Roman"/>
          <w:color w:val="000000" w:themeColor="text1"/>
        </w:rPr>
      </w:pPr>
      <w:r w:rsidRPr="004A12D0">
        <w:rPr>
          <w:rFonts w:ascii="Times New Roman" w:hAnsi="Times New Roman" w:cs="Times New Roman"/>
          <w:color w:val="000000" w:themeColor="text1"/>
        </w:rPr>
        <w:drawing>
          <wp:inline distT="0" distB="0" distL="0" distR="0" wp14:anchorId="087F7A97" wp14:editId="066FF8A8">
            <wp:extent cx="2256430" cy="4852545"/>
            <wp:effectExtent l="10160" t="15240" r="14605" b="14605"/>
            <wp:docPr id="6" name="Picture 5" descr="WhatsApp Image 2026-05-13 at 19.40.5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WhatsApp Image 2026-05-13 at 19.40.50 (1)"/>
                    <pic:cNvPicPr>
                      <a:picLocks noChangeAspect="1"/>
                    </pic:cNvPicPr>
                  </pic:nvPicPr>
                  <pic:blipFill rotWithShape="1">
                    <a:blip r:embed="rId6"/>
                    <a:srcRect l="17132" t="7504" r="14192" b="26981"/>
                    <a:stretch/>
                  </pic:blipFill>
                  <pic:spPr bwMode="auto">
                    <a:xfrm rot="16200000">
                      <a:off x="0" y="0"/>
                      <a:ext cx="2263090" cy="4866867"/>
                    </a:xfrm>
                    <a:prstGeom prst="rect">
                      <a:avLst/>
                    </a:prstGeom>
                    <a:ln w="12700">
                      <a:solidFill>
                        <a:schemeClr val="accent1"/>
                      </a:solidFill>
                    </a:ln>
                    <a:extLst>
                      <a:ext uri="{53640926-AAD7-44D8-BBD7-CCE9431645EC}">
                        <a14:shadowObscured xmlns:a14="http://schemas.microsoft.com/office/drawing/2010/main"/>
                      </a:ext>
                    </a:extLst>
                  </pic:spPr>
                </pic:pic>
              </a:graphicData>
            </a:graphic>
          </wp:inline>
        </w:drawing>
      </w:r>
    </w:p>
    <w:p w:rsidR="004A12D0" w:rsidRPr="00F93C90" w:rsidRDefault="004A12D0" w:rsidP="00E305A7">
      <w:pPr>
        <w:spacing w:line="360" w:lineRule="auto"/>
        <w:jc w:val="center"/>
        <w:rPr>
          <w:rFonts w:ascii="Times New Roman" w:hAnsi="Times New Roman" w:cs="Times New Roman"/>
          <w:color w:val="000000" w:themeColor="text1"/>
        </w:rPr>
      </w:pPr>
      <w:r w:rsidRPr="00F93C90">
        <w:rPr>
          <w:rFonts w:ascii="Times New Roman" w:hAnsi="Times New Roman" w:cs="Times New Roman"/>
          <w:color w:val="000000" w:themeColor="text1"/>
        </w:rPr>
        <w:t xml:space="preserve">Figure </w:t>
      </w:r>
      <w:r>
        <w:rPr>
          <w:rFonts w:ascii="Times New Roman" w:hAnsi="Times New Roman" w:cs="Times New Roman"/>
          <w:color w:val="000000" w:themeColor="text1"/>
          <w:lang w:val="en-US"/>
        </w:rPr>
        <w:t>2</w:t>
      </w:r>
      <w:r w:rsidRPr="00F93C90">
        <w:rPr>
          <w:rFonts w:ascii="Times New Roman" w:hAnsi="Times New Roman" w:cs="Times New Roman"/>
          <w:color w:val="000000" w:themeColor="text1"/>
        </w:rPr>
        <w:t xml:space="preserve">. </w:t>
      </w:r>
      <w:r w:rsidRPr="004A12D0">
        <w:rPr>
          <w:rFonts w:ascii="Times New Roman" w:hAnsi="Times New Roman" w:cs="Times New Roman"/>
          <w:color w:val="000000" w:themeColor="text1"/>
        </w:rPr>
        <w:t>Figure 3. Twelve-lead ECG with a prolonged QTc</w:t>
      </w:r>
      <w:r w:rsidRPr="00F93C90">
        <w:rPr>
          <w:rFonts w:ascii="Times New Roman" w:hAnsi="Times New Roman" w:cs="Times New Roman"/>
          <w:color w:val="000000" w:themeColor="text1"/>
        </w:rPr>
        <w:t>.</w:t>
      </w:r>
    </w:p>
    <w:p w:rsidR="00866C38" w:rsidRP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lastRenderedPageBreak/>
        <w:t>The biochemical combination of hypocalcaemia, hyperphosphataemia and elevated PTH in the setting of preserved renal function strongly supported PTH resistance. [1,2]</w:t>
      </w:r>
    </w:p>
    <w:p w:rsidR="00922F02" w:rsidRPr="00F93C90" w:rsidRDefault="00922F02" w:rsidP="00F93C90">
      <w:pPr>
        <w:spacing w:line="360" w:lineRule="auto"/>
        <w:jc w:val="both"/>
        <w:rPr>
          <w:rFonts w:ascii="Times New Roman" w:hAnsi="Times New Roman" w:cs="Times New Roman"/>
          <w:b/>
          <w:bCs/>
          <w:color w:val="000000" w:themeColor="text1"/>
        </w:rPr>
      </w:pPr>
    </w:p>
    <w:p w:rsidR="00866C38" w:rsidRPr="00866C38" w:rsidRDefault="00866C38" w:rsidP="00F93C90">
      <w:pPr>
        <w:pStyle w:val="Heading2"/>
        <w:spacing w:line="360" w:lineRule="auto"/>
        <w:rPr>
          <w:color w:val="000000" w:themeColor="text1"/>
          <w:sz w:val="24"/>
          <w:szCs w:val="24"/>
        </w:rPr>
      </w:pPr>
      <w:r w:rsidRPr="00866C38">
        <w:rPr>
          <w:color w:val="000000" w:themeColor="text1"/>
          <w:sz w:val="24"/>
          <w:szCs w:val="24"/>
        </w:rPr>
        <w:t>DIFFERENTIAL DIAGNOSIS</w:t>
      </w:r>
    </w:p>
    <w:p w:rsid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b/>
          <w:bCs/>
          <w:color w:val="000000" w:themeColor="text1"/>
        </w:rPr>
        <w:t>Primary hypoparathyroidism</w:t>
      </w:r>
      <w:r w:rsidR="00FE4CCD">
        <w:rPr>
          <w:rFonts w:ascii="Times New Roman" w:hAnsi="Times New Roman" w:cs="Times New Roman"/>
          <w:b/>
          <w:bCs/>
          <w:color w:val="000000" w:themeColor="text1"/>
          <w:lang w:val="en-US"/>
        </w:rPr>
        <w:t xml:space="preserve">: </w:t>
      </w:r>
      <w:r w:rsidRPr="00866C38">
        <w:rPr>
          <w:rFonts w:ascii="Times New Roman" w:hAnsi="Times New Roman" w:cs="Times New Roman"/>
          <w:color w:val="000000" w:themeColor="text1"/>
        </w:rPr>
        <w:t>Primary hypoparathyroidism was considered because of the profound hypocalcaemia and clinical tetany. It was considered unlikely because PTH was markedly elevated rather than inappropriately low or normal, and there was no history of neck surgery or cervical irradiation. [1,2]</w:t>
      </w:r>
    </w:p>
    <w:p w:rsidR="00FE4CCD" w:rsidRPr="00866C38" w:rsidRDefault="00FE4CCD" w:rsidP="00F93C90">
      <w:pPr>
        <w:spacing w:line="360" w:lineRule="auto"/>
        <w:jc w:val="both"/>
        <w:rPr>
          <w:rFonts w:ascii="Times New Roman" w:hAnsi="Times New Roman" w:cs="Times New Roman"/>
          <w:b/>
          <w:bCs/>
          <w:color w:val="000000" w:themeColor="text1"/>
        </w:rPr>
      </w:pPr>
    </w:p>
    <w:p w:rsid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b/>
          <w:bCs/>
          <w:color w:val="000000" w:themeColor="text1"/>
        </w:rPr>
        <w:t>Secondary hyperparathyroidism due to renal disease</w:t>
      </w:r>
      <w:r w:rsidR="00FE4CCD">
        <w:rPr>
          <w:rFonts w:ascii="Times New Roman" w:hAnsi="Times New Roman" w:cs="Times New Roman"/>
          <w:b/>
          <w:bCs/>
          <w:color w:val="000000" w:themeColor="text1"/>
          <w:lang w:val="en-US"/>
        </w:rPr>
        <w:t xml:space="preserve">: </w:t>
      </w:r>
      <w:r w:rsidRPr="00866C38">
        <w:rPr>
          <w:rFonts w:ascii="Times New Roman" w:hAnsi="Times New Roman" w:cs="Times New Roman"/>
          <w:color w:val="000000" w:themeColor="text1"/>
        </w:rPr>
        <w:t>Renal secondary hyperparathyroidism was considered but was unlikely because renal function was preserved and creatinine was normal. [1,2]</w:t>
      </w:r>
    </w:p>
    <w:p w:rsidR="00FE4CCD" w:rsidRPr="00866C38" w:rsidRDefault="00FE4CCD" w:rsidP="00F93C90">
      <w:pPr>
        <w:spacing w:line="360" w:lineRule="auto"/>
        <w:jc w:val="both"/>
        <w:rPr>
          <w:rFonts w:ascii="Times New Roman" w:hAnsi="Times New Roman" w:cs="Times New Roman"/>
          <w:b/>
          <w:bCs/>
          <w:color w:val="000000" w:themeColor="text1"/>
        </w:rPr>
      </w:pPr>
    </w:p>
    <w:p w:rsid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b/>
          <w:bCs/>
          <w:color w:val="000000" w:themeColor="text1"/>
        </w:rPr>
        <w:t>Vitamin D deficiency or insufficiency</w:t>
      </w:r>
      <w:r w:rsidR="00FE4CCD">
        <w:rPr>
          <w:rFonts w:ascii="Times New Roman" w:hAnsi="Times New Roman" w:cs="Times New Roman"/>
          <w:b/>
          <w:bCs/>
          <w:color w:val="000000" w:themeColor="text1"/>
          <w:lang w:val="en-US"/>
        </w:rPr>
        <w:t xml:space="preserve">: </w:t>
      </w:r>
      <w:r w:rsidR="00FE4CCD" w:rsidRPr="00FE4CCD">
        <w:rPr>
          <w:rFonts w:ascii="Times New Roman" w:hAnsi="Times New Roman" w:cs="Times New Roman"/>
          <w:color w:val="000000" w:themeColor="text1"/>
        </w:rPr>
        <w:t>Vitamin D deficiency was considered as a potential contributor to hypocalcaemia; however, the normal 25-hydroxyvitamin D concentration (37.7 ng/mL) made this unlikely. Furthermore, the combination of hyperphosphataemia, markedly elevated PTH, and preserved renal function strongly supported PTH resistance</w:t>
      </w:r>
      <w:r w:rsidRPr="00866C38">
        <w:rPr>
          <w:rFonts w:ascii="Times New Roman" w:hAnsi="Times New Roman" w:cs="Times New Roman"/>
          <w:color w:val="000000" w:themeColor="text1"/>
        </w:rPr>
        <w:t>. [2,5,6]</w:t>
      </w:r>
    </w:p>
    <w:p w:rsidR="00FE4CCD" w:rsidRPr="00866C38" w:rsidRDefault="00FE4CCD" w:rsidP="00F93C90">
      <w:pPr>
        <w:spacing w:line="360" w:lineRule="auto"/>
        <w:jc w:val="both"/>
        <w:rPr>
          <w:rFonts w:ascii="Times New Roman" w:hAnsi="Times New Roman" w:cs="Times New Roman"/>
          <w:b/>
          <w:bCs/>
          <w:color w:val="000000" w:themeColor="text1"/>
        </w:rPr>
      </w:pPr>
    </w:p>
    <w:p w:rsid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b/>
          <w:bCs/>
          <w:color w:val="000000" w:themeColor="text1"/>
        </w:rPr>
        <w:t>Hypomagnesaemia</w:t>
      </w:r>
      <w:r w:rsidR="00FE4CCD">
        <w:rPr>
          <w:rFonts w:ascii="Times New Roman" w:hAnsi="Times New Roman" w:cs="Times New Roman"/>
          <w:b/>
          <w:bCs/>
          <w:color w:val="000000" w:themeColor="text1"/>
          <w:lang w:val="en-US"/>
        </w:rPr>
        <w:t xml:space="preserve">: </w:t>
      </w:r>
      <w:r w:rsidRPr="00866C38">
        <w:rPr>
          <w:rFonts w:ascii="Times New Roman" w:hAnsi="Times New Roman" w:cs="Times New Roman"/>
          <w:color w:val="000000" w:themeColor="text1"/>
        </w:rPr>
        <w:t>Hypomagnesaemia can cause or worsen symptomatic hypocalcaemia and impair PTH secretion or action. In this patient, serum magnesium was normal, making this explanation unlikely.</w:t>
      </w:r>
    </w:p>
    <w:p w:rsidR="00FE4CCD" w:rsidRPr="00866C38" w:rsidRDefault="00FE4CCD" w:rsidP="00F93C90">
      <w:pPr>
        <w:spacing w:line="360" w:lineRule="auto"/>
        <w:jc w:val="both"/>
        <w:rPr>
          <w:rFonts w:ascii="Times New Roman" w:hAnsi="Times New Roman" w:cs="Times New Roman"/>
          <w:b/>
          <w:bCs/>
          <w:color w:val="000000" w:themeColor="text1"/>
        </w:rPr>
      </w:pPr>
    </w:p>
    <w:p w:rsid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b/>
          <w:bCs/>
          <w:color w:val="000000" w:themeColor="text1"/>
        </w:rPr>
        <w:t>Respiratory alkalosis</w:t>
      </w:r>
      <w:r w:rsidR="00FE4CCD">
        <w:rPr>
          <w:rFonts w:ascii="Times New Roman" w:hAnsi="Times New Roman" w:cs="Times New Roman"/>
          <w:b/>
          <w:bCs/>
          <w:color w:val="000000" w:themeColor="text1"/>
          <w:lang w:val="en-US"/>
        </w:rPr>
        <w:t xml:space="preserve">: </w:t>
      </w:r>
      <w:r w:rsidRPr="00866C38">
        <w:rPr>
          <w:rFonts w:ascii="Times New Roman" w:hAnsi="Times New Roman" w:cs="Times New Roman"/>
          <w:color w:val="000000" w:themeColor="text1"/>
        </w:rPr>
        <w:t>Respiratory alkalosis can reduce ionised calcium and precipitate tetany. However, arterial blood gas analysis showed normal pH and bicarbonate without evidence of alkalosis.</w:t>
      </w:r>
    </w:p>
    <w:p w:rsidR="00FE4CCD" w:rsidRPr="00866C38" w:rsidRDefault="00FE4CCD" w:rsidP="00F93C90">
      <w:pPr>
        <w:spacing w:line="360" w:lineRule="auto"/>
        <w:jc w:val="both"/>
        <w:rPr>
          <w:rFonts w:ascii="Times New Roman" w:hAnsi="Times New Roman" w:cs="Times New Roman"/>
          <w:b/>
          <w:bCs/>
          <w:color w:val="000000" w:themeColor="text1"/>
        </w:rPr>
      </w:pPr>
    </w:p>
    <w:p w:rsidR="00FE4CCD" w:rsidRDefault="00866C38" w:rsidP="00F93C90">
      <w:pPr>
        <w:spacing w:line="360" w:lineRule="auto"/>
        <w:jc w:val="both"/>
        <w:rPr>
          <w:rFonts w:ascii="Times New Roman" w:hAnsi="Times New Roman" w:cs="Times New Roman"/>
          <w:b/>
          <w:bCs/>
          <w:color w:val="000000" w:themeColor="text1"/>
        </w:rPr>
      </w:pPr>
      <w:r w:rsidRPr="00866C38">
        <w:rPr>
          <w:rFonts w:ascii="Times New Roman" w:hAnsi="Times New Roman" w:cs="Times New Roman"/>
          <w:b/>
          <w:bCs/>
          <w:color w:val="000000" w:themeColor="text1"/>
        </w:rPr>
        <w:t>Tetanus</w:t>
      </w:r>
      <w:r w:rsidR="00FE4CCD">
        <w:rPr>
          <w:rFonts w:ascii="Times New Roman" w:hAnsi="Times New Roman" w:cs="Times New Roman"/>
          <w:b/>
          <w:bCs/>
          <w:color w:val="000000" w:themeColor="text1"/>
          <w:lang w:val="en-US"/>
        </w:rPr>
        <w:t xml:space="preserve">: </w:t>
      </w:r>
      <w:r w:rsidRPr="00866C38">
        <w:rPr>
          <w:rFonts w:ascii="Times New Roman" w:hAnsi="Times New Roman" w:cs="Times New Roman"/>
          <w:color w:val="000000" w:themeColor="text1"/>
        </w:rPr>
        <w:t>Tetanus was an important clinical mimic because of the prominent trismus and generalised spasms. The progressive perioral and acral paraesthesia preceding the motor symptoms, together with the biochemical abnormalities demonstrating severe hypocalcaemia and PTH resistance, supported a metabolic rather than infectious cause.</w:t>
      </w:r>
    </w:p>
    <w:p w:rsidR="00FE4CCD" w:rsidRPr="00866C38" w:rsidRDefault="00FE4CCD" w:rsidP="00F93C90">
      <w:pPr>
        <w:spacing w:line="360" w:lineRule="auto"/>
        <w:jc w:val="both"/>
        <w:rPr>
          <w:rFonts w:ascii="Times New Roman" w:hAnsi="Times New Roman" w:cs="Times New Roman"/>
          <w:b/>
          <w:bCs/>
          <w:color w:val="000000" w:themeColor="text1"/>
        </w:rPr>
      </w:pPr>
    </w:p>
    <w:p w:rsidR="00866C38" w:rsidRP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lastRenderedPageBreak/>
        <w:t>Based on the overall clinical and biochemical findings, a clinical diagnosis of pseudohypoparathyroidism was made. The exact molecular subtype could not be established because genetic and functional testing was unavailable.</w:t>
      </w:r>
    </w:p>
    <w:p w:rsidR="00922F02" w:rsidRPr="00F93C90" w:rsidRDefault="00922F02" w:rsidP="00F93C90">
      <w:pPr>
        <w:spacing w:line="360" w:lineRule="auto"/>
        <w:jc w:val="both"/>
        <w:rPr>
          <w:rFonts w:ascii="Times New Roman" w:hAnsi="Times New Roman" w:cs="Times New Roman"/>
          <w:b/>
          <w:bCs/>
          <w:color w:val="000000" w:themeColor="text1"/>
        </w:rPr>
      </w:pPr>
    </w:p>
    <w:p w:rsidR="00866C38" w:rsidRPr="00866C38" w:rsidRDefault="00866C38" w:rsidP="00FE4CCD">
      <w:pPr>
        <w:pStyle w:val="Heading2"/>
        <w:spacing w:line="360" w:lineRule="auto"/>
        <w:rPr>
          <w:color w:val="000000" w:themeColor="text1"/>
          <w:sz w:val="24"/>
          <w:szCs w:val="24"/>
        </w:rPr>
      </w:pPr>
      <w:r w:rsidRPr="00866C38">
        <w:rPr>
          <w:color w:val="000000" w:themeColor="text1"/>
          <w:sz w:val="24"/>
          <w:szCs w:val="24"/>
        </w:rPr>
        <w:t>TREATMENT</w:t>
      </w:r>
    </w:p>
    <w:p w:rsidR="00866C38" w:rsidRPr="00866C38" w:rsidRDefault="005F61B5" w:rsidP="00F93C90">
      <w:pPr>
        <w:spacing w:line="360" w:lineRule="auto"/>
        <w:jc w:val="both"/>
        <w:rPr>
          <w:rFonts w:ascii="Times New Roman" w:hAnsi="Times New Roman" w:cs="Times New Roman"/>
          <w:color w:val="000000" w:themeColor="text1"/>
          <w:lang w:val="en-US"/>
        </w:rPr>
      </w:pPr>
      <w:r w:rsidRPr="005F61B5">
        <w:rPr>
          <w:rFonts w:ascii="Times New Roman" w:hAnsi="Times New Roman" w:cs="Times New Roman"/>
          <w:color w:val="000000" w:themeColor="text1"/>
        </w:rPr>
        <w:t>Acute symptomatic hypocalcaemia was treated with intravenous calcium gluconate, with repeated 2-g doses until clinical improvement was achieved, resulting in complete resolution of the perioral twitching, jaw stiffness, and carpopedal spasms within 24 hours. Following stabilisation, she was transitioned to oral calcitriol 0.25 µg once daily and calcium carbonate 500 mg twice daily</w:t>
      </w:r>
      <w:r w:rsidR="00866C38" w:rsidRPr="00866C38">
        <w:rPr>
          <w:rFonts w:ascii="Times New Roman" w:hAnsi="Times New Roman" w:cs="Times New Roman"/>
          <w:color w:val="000000" w:themeColor="text1"/>
        </w:rPr>
        <w:t>. She also received counselling regarding dietary calcium intake, vitamin D optimisation and the need for long-term monitoring</w:t>
      </w:r>
      <w:r>
        <w:rPr>
          <w:rFonts w:ascii="Times New Roman" w:hAnsi="Times New Roman" w:cs="Times New Roman"/>
          <w:color w:val="000000" w:themeColor="text1"/>
          <w:lang w:val="en-US"/>
        </w:rPr>
        <w:t>.</w:t>
      </w:r>
      <w:r w:rsidR="00866C38" w:rsidRPr="00866C38">
        <w:rPr>
          <w:rFonts w:ascii="Times New Roman" w:hAnsi="Times New Roman" w:cs="Times New Roman"/>
          <w:color w:val="000000" w:themeColor="text1"/>
        </w:rPr>
        <w:t xml:space="preserve"> [1,2]</w:t>
      </w:r>
      <w:r w:rsidR="00FE4CCD">
        <w:rPr>
          <w:rFonts w:ascii="Times New Roman" w:hAnsi="Times New Roman" w:cs="Times New Roman"/>
          <w:color w:val="000000" w:themeColor="text1"/>
          <w:lang w:val="en-US"/>
        </w:rPr>
        <w:t xml:space="preserve"> </w:t>
      </w:r>
    </w:p>
    <w:p w:rsidR="00922F02" w:rsidRPr="00F93C90" w:rsidRDefault="00922F02" w:rsidP="00F93C90">
      <w:pPr>
        <w:spacing w:line="360" w:lineRule="auto"/>
        <w:jc w:val="both"/>
        <w:rPr>
          <w:rFonts w:ascii="Times New Roman" w:hAnsi="Times New Roman" w:cs="Times New Roman"/>
          <w:b/>
          <w:bCs/>
          <w:color w:val="000000" w:themeColor="text1"/>
        </w:rPr>
      </w:pPr>
    </w:p>
    <w:p w:rsidR="00866C38" w:rsidRPr="00866C38" w:rsidRDefault="00866C38" w:rsidP="005F61B5">
      <w:pPr>
        <w:pStyle w:val="Heading2"/>
        <w:spacing w:line="360" w:lineRule="auto"/>
        <w:rPr>
          <w:color w:val="000000" w:themeColor="text1"/>
          <w:sz w:val="24"/>
          <w:szCs w:val="24"/>
        </w:rPr>
      </w:pPr>
      <w:r w:rsidRPr="00866C38">
        <w:rPr>
          <w:color w:val="000000" w:themeColor="text1"/>
          <w:sz w:val="24"/>
          <w:szCs w:val="24"/>
        </w:rPr>
        <w:t>OUTCOME AND FOLLOW-UP</w:t>
      </w:r>
    </w:p>
    <w:p w:rsidR="00922F02" w:rsidRDefault="005F61B5" w:rsidP="00F93C90">
      <w:pPr>
        <w:spacing w:line="360" w:lineRule="auto"/>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Once </w:t>
      </w:r>
      <w:r w:rsidRPr="005F61B5">
        <w:rPr>
          <w:rFonts w:ascii="Times New Roman" w:hAnsi="Times New Roman" w:cs="Times New Roman"/>
          <w:color w:val="000000" w:themeColor="text1"/>
          <w:lang w:val="en-US"/>
        </w:rPr>
        <w:t>tolerated the transition to oral therapy and was discharged after 5 days of admission in stable clinical condition with planned endocrine follow-up. Genetic testing was recommended for definitive molecular classification and genetic counselling but was unavailable locally because of limited resources. A detailed family history was obtained, and screening of potentially affected relatives revealed no clinical or biochemical features suggestive of PHP. Continued follow-up included monitoring of serum calcium, phosphate, and PTH and assessment for complications of chronic PTH resistance and its treatment. At more than 3 months of follow-up, she remained clinically well and free of recurrent neuromuscular symptoms</w:t>
      </w:r>
      <w:r w:rsidR="00FE4CCD" w:rsidRPr="00FE4CCD">
        <w:rPr>
          <w:rFonts w:ascii="Times New Roman" w:hAnsi="Times New Roman" w:cs="Times New Roman"/>
          <w:color w:val="000000" w:themeColor="text1"/>
          <w:lang w:val="en-US"/>
        </w:rPr>
        <w:t>.</w:t>
      </w:r>
    </w:p>
    <w:p w:rsidR="005F61B5" w:rsidRPr="005F61B5" w:rsidRDefault="005F61B5" w:rsidP="00F93C90">
      <w:pPr>
        <w:spacing w:line="360" w:lineRule="auto"/>
        <w:jc w:val="both"/>
        <w:rPr>
          <w:rFonts w:ascii="Times New Roman" w:hAnsi="Times New Roman" w:cs="Times New Roman"/>
          <w:color w:val="000000" w:themeColor="text1"/>
        </w:rPr>
      </w:pPr>
    </w:p>
    <w:p w:rsidR="00866C38" w:rsidRPr="00866C38" w:rsidRDefault="00866C38" w:rsidP="00F93C90">
      <w:pPr>
        <w:pStyle w:val="Heading2"/>
        <w:spacing w:line="360" w:lineRule="auto"/>
        <w:rPr>
          <w:color w:val="000000" w:themeColor="text1"/>
          <w:sz w:val="24"/>
          <w:szCs w:val="24"/>
        </w:rPr>
      </w:pPr>
      <w:r w:rsidRPr="00866C38">
        <w:rPr>
          <w:color w:val="000000" w:themeColor="text1"/>
          <w:sz w:val="24"/>
          <w:szCs w:val="24"/>
        </w:rPr>
        <w:t>DISCUSSION</w:t>
      </w:r>
    </w:p>
    <w:p w:rsidR="00866C38" w:rsidRPr="004A12D0" w:rsidRDefault="005D6B4B" w:rsidP="00F93C90">
      <w:pPr>
        <w:spacing w:line="360" w:lineRule="auto"/>
        <w:jc w:val="both"/>
        <w:rPr>
          <w:rFonts w:ascii="Times New Roman" w:hAnsi="Times New Roman" w:cs="Times New Roman"/>
          <w:color w:val="000000" w:themeColor="text1"/>
          <w:lang w:val="en-US"/>
        </w:rPr>
      </w:pPr>
      <w:r w:rsidRPr="005D6B4B">
        <w:rPr>
          <w:rFonts w:ascii="Times New Roman" w:hAnsi="Times New Roman" w:cs="Times New Roman"/>
          <w:color w:val="000000" w:themeColor="text1"/>
        </w:rPr>
        <w:t>Diagnosing rare endocrine diseases like PHP is exceptionally challenging in low-resource settings, where the unavailability of advanced genetic testing and specialized functional assays often leads to underdiagnosis.</w:t>
      </w:r>
      <w:r>
        <w:rPr>
          <w:rFonts w:ascii="Times New Roman" w:hAnsi="Times New Roman" w:cs="Times New Roman"/>
          <w:color w:val="000000" w:themeColor="text1"/>
          <w:lang w:val="en-US"/>
        </w:rPr>
        <w:t xml:space="preserve"> </w:t>
      </w:r>
      <w:r w:rsidR="00866C38" w:rsidRPr="00866C38">
        <w:rPr>
          <w:rFonts w:ascii="Times New Roman" w:hAnsi="Times New Roman" w:cs="Times New Roman"/>
          <w:color w:val="000000" w:themeColor="text1"/>
        </w:rPr>
        <w:t>This case illustrates th</w:t>
      </w:r>
      <w:r>
        <w:rPr>
          <w:rFonts w:ascii="Times New Roman" w:hAnsi="Times New Roman" w:cs="Times New Roman"/>
          <w:color w:val="000000" w:themeColor="text1"/>
          <w:lang w:val="en-US"/>
        </w:rPr>
        <w:t>is complexity</w:t>
      </w:r>
      <w:r w:rsidR="00866C38" w:rsidRPr="00866C38">
        <w:rPr>
          <w:rFonts w:ascii="Times New Roman" w:hAnsi="Times New Roman" w:cs="Times New Roman"/>
          <w:color w:val="000000" w:themeColor="text1"/>
        </w:rPr>
        <w:t xml:space="preserve"> of recognising PHP in an adult with severe symptomatic hypocalcaemia but without the characteristic skeletal phenotype traditionally associated with the disorder. </w:t>
      </w:r>
      <w:r>
        <w:rPr>
          <w:rFonts w:ascii="Times New Roman" w:hAnsi="Times New Roman" w:cs="Times New Roman"/>
          <w:color w:val="000000" w:themeColor="text1"/>
          <w:lang w:val="en-US"/>
        </w:rPr>
        <w:t xml:space="preserve"> </w:t>
      </w:r>
      <w:r w:rsidR="00866C38" w:rsidRPr="00866C38">
        <w:rPr>
          <w:rFonts w:ascii="Times New Roman" w:hAnsi="Times New Roman" w:cs="Times New Roman"/>
          <w:color w:val="000000" w:themeColor="text1"/>
        </w:rPr>
        <w:t xml:space="preserve">PHP is clinically heterogeneous, and the absence of </w:t>
      </w:r>
      <w:r w:rsidR="00866C38" w:rsidRPr="00866C38">
        <w:rPr>
          <w:rFonts w:ascii="Times New Roman" w:hAnsi="Times New Roman" w:cs="Times New Roman"/>
          <w:color w:val="000000" w:themeColor="text1"/>
        </w:rPr>
        <w:lastRenderedPageBreak/>
        <w:t>AHO does not exclude PTH resistance. The international consensus recommends that PHP and related disorders be diagnosed primarily from clinical and biochemical characteristics, with molecular testing used to confirm the underlying molecular cause and define the subtype where available. [1,2]</w:t>
      </w:r>
      <w:r w:rsidR="004A12D0">
        <w:rPr>
          <w:rFonts w:ascii="Times New Roman" w:hAnsi="Times New Roman" w:cs="Times New Roman"/>
          <w:color w:val="000000" w:themeColor="text1"/>
          <w:lang w:val="en-US"/>
        </w:rPr>
        <w:t xml:space="preserve"> </w:t>
      </w:r>
      <w:r w:rsidR="004A12D0" w:rsidRPr="00866C38">
        <w:rPr>
          <w:rFonts w:ascii="Times New Roman" w:hAnsi="Times New Roman" w:cs="Times New Roman"/>
          <w:color w:val="000000" w:themeColor="text1"/>
        </w:rPr>
        <w:t>The terminology surrounding PHP has also evolved. The broader term inactivating PTH/PTHrP signalling disorder (iPPSD) was proposed to encompass disorders caused by defects within this signalling pathway and to better reflect their molecular heterogeneity. [3]</w:t>
      </w:r>
    </w:p>
    <w:p w:rsidR="005D6B4B" w:rsidRPr="00866C38" w:rsidRDefault="005D6B4B" w:rsidP="00F93C90">
      <w:pPr>
        <w:spacing w:line="360" w:lineRule="auto"/>
        <w:jc w:val="both"/>
        <w:rPr>
          <w:rFonts w:ascii="Times New Roman" w:hAnsi="Times New Roman" w:cs="Times New Roman"/>
          <w:color w:val="000000" w:themeColor="text1"/>
        </w:rPr>
      </w:pPr>
    </w:p>
    <w:p w:rsid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PTH normally acts through the PTH1 receptor and downstream G-protein signalling pathways to promote renal phosphate excretion, increase distal tubular calcium reabsorption and support renal activation of vitamin D. Impairment of this signalling pathway results in persistent PTH elevation despite hypocalcaemia and hyperphosphataemia. [1,3] The present patient's profoundly low ionised calcium, elevated phosphate and markedly elevated PTH in the absence of renal failure therefore provide strong evidence for PTH resistance.</w:t>
      </w:r>
    </w:p>
    <w:p w:rsidR="004A12D0" w:rsidRDefault="004A12D0" w:rsidP="00F93C90">
      <w:pPr>
        <w:spacing w:line="360" w:lineRule="auto"/>
        <w:jc w:val="both"/>
        <w:rPr>
          <w:rFonts w:ascii="Times New Roman" w:hAnsi="Times New Roman" w:cs="Times New Roman"/>
          <w:color w:val="000000" w:themeColor="text1"/>
        </w:rPr>
      </w:pPr>
    </w:p>
    <w:p w:rsidR="00866C38" w:rsidRDefault="004A12D0" w:rsidP="00F93C90">
      <w:pPr>
        <w:spacing w:line="360" w:lineRule="auto"/>
        <w:jc w:val="both"/>
        <w:rPr>
          <w:rFonts w:ascii="Times New Roman" w:hAnsi="Times New Roman" w:cs="Times New Roman"/>
          <w:color w:val="000000" w:themeColor="text1"/>
        </w:rPr>
      </w:pPr>
      <w:r w:rsidRPr="004A12D0">
        <w:rPr>
          <w:rFonts w:ascii="Times New Roman" w:hAnsi="Times New Roman" w:cs="Times New Roman"/>
          <w:color w:val="000000" w:themeColor="text1"/>
        </w:rPr>
        <w:t>In this patient, the severe depletion of ionized calcium lowered the threshold potential of voltage-gated sodium channels in peripheral nerves. This precipitated hyperexcitability that manifested sequentially as sensory paresthesia, localized fasciculations, and overt motor tetany, validated clinically by the concurrent presence of both Chvostek's and Trousseau's signs</w:t>
      </w:r>
      <w:r w:rsidR="00866C38" w:rsidRPr="00866C38">
        <w:rPr>
          <w:rFonts w:ascii="Times New Roman" w:hAnsi="Times New Roman" w:cs="Times New Roman"/>
          <w:color w:val="000000" w:themeColor="text1"/>
        </w:rPr>
        <w:t>. [7]</w:t>
      </w:r>
      <w:r w:rsidR="005D6B4B">
        <w:rPr>
          <w:rFonts w:ascii="Times New Roman" w:hAnsi="Times New Roman" w:cs="Times New Roman"/>
          <w:color w:val="000000" w:themeColor="text1"/>
          <w:lang w:val="en-US"/>
        </w:rPr>
        <w:t xml:space="preserve"> </w:t>
      </w:r>
      <w:r w:rsidR="00866C38" w:rsidRPr="00866C38">
        <w:rPr>
          <w:rFonts w:ascii="Times New Roman" w:hAnsi="Times New Roman" w:cs="Times New Roman"/>
          <w:color w:val="000000" w:themeColor="text1"/>
        </w:rPr>
        <w:t>The trismus-like presentation introduced an important diagnostic challenge because it can resemble tetanus. However, the temporal sequence of paraesthesia preceding recurrent spasms and the biochemical demonstration of severe hypocalcaemia provided a coherent metabolic explanation.</w:t>
      </w:r>
    </w:p>
    <w:p w:rsidR="004A12D0" w:rsidRDefault="004A12D0" w:rsidP="00F93C90">
      <w:pPr>
        <w:spacing w:line="360" w:lineRule="auto"/>
        <w:jc w:val="both"/>
        <w:rPr>
          <w:rFonts w:ascii="Times New Roman" w:hAnsi="Times New Roman" w:cs="Times New Roman"/>
          <w:color w:val="000000" w:themeColor="text1"/>
        </w:rPr>
      </w:pPr>
    </w:p>
    <w:p w:rsidR="004A12D0"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 xml:space="preserve">In adults with PHP, AHO may be incompletely expressed, and some patients present predominantly with biochemical abnormalities. [1,2,4] A 2025 case report similarly described an adult with symptomatic hypocalcaemia, hyperphosphataemia and elevated PTH in the absence of several classical AHO features. [4] The present case extends this observation to </w:t>
      </w:r>
      <w:r w:rsidR="005D6B4B">
        <w:rPr>
          <w:rFonts w:ascii="Times New Roman" w:hAnsi="Times New Roman" w:cs="Times New Roman"/>
          <w:color w:val="000000" w:themeColor="text1"/>
          <w:lang w:val="en-US"/>
        </w:rPr>
        <w:t>in our</w:t>
      </w:r>
      <w:r w:rsidRPr="00866C38">
        <w:rPr>
          <w:rFonts w:ascii="Times New Roman" w:hAnsi="Times New Roman" w:cs="Times New Roman"/>
          <w:color w:val="000000" w:themeColor="text1"/>
        </w:rPr>
        <w:t xml:space="preserve"> setting.</w:t>
      </w:r>
      <w:r w:rsidR="004A12D0">
        <w:rPr>
          <w:rFonts w:ascii="Times New Roman" w:hAnsi="Times New Roman" w:cs="Times New Roman"/>
          <w:color w:val="000000" w:themeColor="text1"/>
          <w:lang w:val="en-US"/>
        </w:rPr>
        <w:t xml:space="preserve"> </w:t>
      </w:r>
      <w:r w:rsidRPr="00866C38">
        <w:rPr>
          <w:rFonts w:ascii="Times New Roman" w:hAnsi="Times New Roman" w:cs="Times New Roman"/>
          <w:color w:val="000000" w:themeColor="text1"/>
        </w:rPr>
        <w:t>The absence of intracranial calcification is also clinically relevant. Central nervous system calcification is a recognised supportive feature of long-standing disorders of calcium and phosphate metabolism, but it is not required for diagnosis. [1,2] Its absence in this patient reinforces that radiological findings should complement, rather than replace, biochemical assessment.</w:t>
      </w:r>
    </w:p>
    <w:p w:rsidR="004A12D0" w:rsidRPr="00866C38" w:rsidRDefault="004A12D0" w:rsidP="00F93C90">
      <w:pPr>
        <w:spacing w:line="360" w:lineRule="auto"/>
        <w:jc w:val="both"/>
        <w:rPr>
          <w:rFonts w:ascii="Times New Roman" w:hAnsi="Times New Roman" w:cs="Times New Roman"/>
          <w:color w:val="000000" w:themeColor="text1"/>
        </w:rPr>
      </w:pPr>
    </w:p>
    <w:p w:rsidR="004A12D0" w:rsidRDefault="00866C38" w:rsidP="004A12D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lastRenderedPageBreak/>
        <w:t>A further limitation is the lack of molecular confirmation and functional assessment of PTH signalling. These limitations prevent definitive molecular subtyping. Nonetheless, they do not diminish the immediate clinical lesson: severe symptomatic hypocalcaemia accompanied by hyperphosphataemia and elevated PTH with preserved renal function should prompt consideration of PTH resistance even when AHO features and supportive neuroimaging findings are absent.</w:t>
      </w:r>
    </w:p>
    <w:p w:rsidR="004A12D0" w:rsidRPr="004A12D0" w:rsidRDefault="004A12D0" w:rsidP="004A12D0">
      <w:pPr>
        <w:spacing w:line="360" w:lineRule="auto"/>
        <w:jc w:val="both"/>
        <w:rPr>
          <w:rFonts w:ascii="Times New Roman" w:hAnsi="Times New Roman" w:cs="Times New Roman"/>
          <w:color w:val="000000" w:themeColor="text1"/>
        </w:rPr>
      </w:pPr>
    </w:p>
    <w:p w:rsidR="00866C38" w:rsidRPr="00866C38" w:rsidRDefault="00866C38" w:rsidP="004A12D0">
      <w:pPr>
        <w:pStyle w:val="Heading2"/>
        <w:spacing w:line="360" w:lineRule="auto"/>
        <w:rPr>
          <w:color w:val="000000" w:themeColor="text1"/>
          <w:sz w:val="24"/>
          <w:szCs w:val="24"/>
        </w:rPr>
      </w:pPr>
      <w:r w:rsidRPr="00866C38">
        <w:rPr>
          <w:color w:val="000000" w:themeColor="text1"/>
          <w:sz w:val="24"/>
          <w:szCs w:val="24"/>
        </w:rPr>
        <w:t>CONCLUSION</w:t>
      </w:r>
    </w:p>
    <w:p w:rsidR="00866C38" w:rsidRP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Pseudohypoparathyroidism should be considered in adults presenting with unexplained symptomatic hypocalcaemia and hyperphosphataemia, including those without classical AHO features. Recognition of the characteristic biochemical pattern of PTH resistance can allow timely treatment of severe hypocalcaemia even when molecular testing is unavailable. In resource-limited settings, careful interpretation of calcium, phosphate, PTH, magnesium, vitamin D and renal function may therefore be more important than reliance on phenotype or radiological findings.</w:t>
      </w:r>
    </w:p>
    <w:p w:rsidR="00866C38" w:rsidRPr="00866C38" w:rsidRDefault="00866C38" w:rsidP="004A12D0">
      <w:pPr>
        <w:pStyle w:val="Heading2"/>
        <w:spacing w:line="360" w:lineRule="auto"/>
        <w:rPr>
          <w:color w:val="000000" w:themeColor="text1"/>
          <w:sz w:val="24"/>
          <w:szCs w:val="24"/>
        </w:rPr>
      </w:pPr>
      <w:r w:rsidRPr="00866C38">
        <w:rPr>
          <w:color w:val="000000" w:themeColor="text1"/>
          <w:sz w:val="24"/>
          <w:szCs w:val="24"/>
        </w:rPr>
        <w:t>LEARNING POINTS</w:t>
      </w:r>
    </w:p>
    <w:p w:rsidR="00866C38" w:rsidRPr="00866C38" w:rsidRDefault="00866C38" w:rsidP="00F93C90">
      <w:pPr>
        <w:numPr>
          <w:ilvl w:val="0"/>
          <w:numId w:val="6"/>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Severe hypocalcaemia with hyperphosphataemia and elevated PTH in the presence of preserved renal function should raise suspicion for PTH resistance and pseudohypoparathyroidism.</w:t>
      </w:r>
    </w:p>
    <w:p w:rsidR="00866C38" w:rsidRPr="00866C38" w:rsidRDefault="00866C38" w:rsidP="00F93C90">
      <w:pPr>
        <w:numPr>
          <w:ilvl w:val="0"/>
          <w:numId w:val="6"/>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The absence of classical Albright hereditary osteodystrophy features does not exclude pseudohypoparathyroidism, particularly in adults with predominantly biochemical disease.</w:t>
      </w:r>
    </w:p>
    <w:p w:rsidR="00866C38" w:rsidRPr="00866C38" w:rsidRDefault="00866C38" w:rsidP="00F93C90">
      <w:pPr>
        <w:numPr>
          <w:ilvl w:val="0"/>
          <w:numId w:val="6"/>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Molecular testing is valuable for confirming the underlying disorder and defining subtype, but acute symptomatic hypocalcaemia should be treated promptly and should not await genetic confirmation. [1,2]</w:t>
      </w:r>
    </w:p>
    <w:p w:rsidR="00866C38" w:rsidRPr="00866C38" w:rsidRDefault="00866C38" w:rsidP="004A12D0">
      <w:pPr>
        <w:pStyle w:val="Heading2"/>
        <w:spacing w:line="360" w:lineRule="auto"/>
        <w:rPr>
          <w:color w:val="000000" w:themeColor="text1"/>
          <w:sz w:val="24"/>
          <w:szCs w:val="24"/>
        </w:rPr>
      </w:pPr>
      <w:r w:rsidRPr="00866C38">
        <w:rPr>
          <w:color w:val="000000" w:themeColor="text1"/>
          <w:sz w:val="24"/>
          <w:szCs w:val="24"/>
        </w:rPr>
        <w:t>PATIENT CONSENT</w:t>
      </w:r>
    </w:p>
    <w:p w:rsidR="00866C38" w:rsidRPr="00866C38" w:rsidRDefault="00866C38" w:rsidP="00F93C90">
      <w:p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Written informed consent was obtained from the patient for publication of this case and accompanying images.</w:t>
      </w:r>
    </w:p>
    <w:p w:rsidR="004A12D0" w:rsidRDefault="004A12D0">
      <w:pPr>
        <w:rPr>
          <w:rFonts w:ascii="Times New Roman" w:eastAsia="Times New Roman" w:hAnsi="Times New Roman" w:cs="Times New Roman"/>
          <w:b/>
          <w:bCs/>
          <w:color w:val="000000" w:themeColor="text1"/>
          <w:kern w:val="0"/>
          <w:lang w:eastAsia="en-GB"/>
          <w14:ligatures w14:val="none"/>
        </w:rPr>
      </w:pPr>
      <w:r>
        <w:rPr>
          <w:color w:val="000000" w:themeColor="text1"/>
        </w:rPr>
        <w:br w:type="page"/>
      </w:r>
    </w:p>
    <w:p w:rsidR="00866C38" w:rsidRPr="00866C38" w:rsidRDefault="00866C38" w:rsidP="004A12D0">
      <w:pPr>
        <w:pStyle w:val="Heading2"/>
        <w:spacing w:line="360" w:lineRule="auto"/>
        <w:rPr>
          <w:color w:val="000000" w:themeColor="text1"/>
          <w:sz w:val="24"/>
          <w:szCs w:val="24"/>
        </w:rPr>
      </w:pPr>
      <w:r w:rsidRPr="00866C38">
        <w:rPr>
          <w:color w:val="000000" w:themeColor="text1"/>
          <w:sz w:val="24"/>
          <w:szCs w:val="24"/>
        </w:rPr>
        <w:lastRenderedPageBreak/>
        <w:t>REFERENCES</w:t>
      </w:r>
    </w:p>
    <w:p w:rsidR="00866C38" w:rsidRPr="00866C38" w:rsidRDefault="00866C38" w:rsidP="00F93C90">
      <w:pPr>
        <w:numPr>
          <w:ilvl w:val="0"/>
          <w:numId w:val="7"/>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Mantovani G, Bastepe M, Monk D, de Sanctis L, Thiele S, Ahmed SF, et al. Diagnosis and management of pseudohypoparathyroidism and related disorders: first international consensus statement. Nat Rev Endocrinol. 2018;14(8):476-500. doi:10.1038/s41574-018-0042-0.</w:t>
      </w:r>
    </w:p>
    <w:p w:rsidR="00866C38" w:rsidRPr="00866C38" w:rsidRDefault="00866C38" w:rsidP="00F93C90">
      <w:pPr>
        <w:numPr>
          <w:ilvl w:val="0"/>
          <w:numId w:val="7"/>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Mantovani G, Bastepe M, Monk D, de Sanctis L, Thiele S, Ahmed SF, et al. Recommendations for diagnosis and treatment of pseudohypoparathyroidism and related disorders: an updated practical tool for physicians and patients. Horm Res Paediatr. 2020;93(3):182-196. doi:10.1159/000508985.</w:t>
      </w:r>
    </w:p>
    <w:p w:rsidR="00866C38" w:rsidRPr="00866C38" w:rsidRDefault="00866C38" w:rsidP="00F93C90">
      <w:pPr>
        <w:numPr>
          <w:ilvl w:val="0"/>
          <w:numId w:val="7"/>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Thiele S, Mantovani G, Barlier A, Boldrin V, De Sanctis L, Elli FM, et al. From pseudohypoparathyroidism to inactivating PTH/PTHrP signalling disorder (iPPSD), a novel classification proposed by the EuroPHP network. Eur J Endocrinol. 2016;175(6):P1-P17. doi:10.1530/EJE-16-0107.</w:t>
      </w:r>
    </w:p>
    <w:p w:rsidR="00866C38" w:rsidRPr="00866C38" w:rsidRDefault="00866C38" w:rsidP="00F93C90">
      <w:pPr>
        <w:numPr>
          <w:ilvl w:val="0"/>
          <w:numId w:val="7"/>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Ebrahim R, Peedika Parambil N, Poolakundan H, Sonibare AD, Poolakundan FJ. Late-onset pseudohypoparathyroidism: a case report. Cureus. 2025;17(9):e93475. doi:10.7759/cureus.93475.</w:t>
      </w:r>
    </w:p>
    <w:p w:rsidR="00866C38" w:rsidRPr="00866C38" w:rsidRDefault="00866C38" w:rsidP="00F93C90">
      <w:pPr>
        <w:numPr>
          <w:ilvl w:val="0"/>
          <w:numId w:val="7"/>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Akın L, Kurtoğlu S, Yıldız A, Akın MA, Kendirici M. Vitamin D deficiency rickets mimicking pseudohypoparathyroidism. J Clin Res Pediatr Endocrinol. 2010;2(4):173-175. doi:10.4274/jcrpe.v2i4.173.</w:t>
      </w:r>
    </w:p>
    <w:p w:rsidR="00866C38" w:rsidRPr="00866C38" w:rsidRDefault="00866C38" w:rsidP="00F93C90">
      <w:pPr>
        <w:numPr>
          <w:ilvl w:val="0"/>
          <w:numId w:val="7"/>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Seki T, Yamamoto M, Kimura H, Tsuiki M, Ono M, Miki N, et al. Vitamin D deficiency in two young adults with biochemical findings resembling pseudohypoparathyroidism type I and type II. Endocr J. 2010;57(8):735-744. doi:10.1507/endocrj.K10E-097.</w:t>
      </w:r>
    </w:p>
    <w:p w:rsidR="00866C38" w:rsidRPr="00866C38" w:rsidRDefault="00866C38" w:rsidP="00F93C90">
      <w:pPr>
        <w:numPr>
          <w:ilvl w:val="0"/>
          <w:numId w:val="7"/>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Cooper MS, Gittoes NJL. Diagnosis and management of hypocalcaemia. BMJ. 2008;336(7656):1298-1302. doi:10.1136/bmj.39582.589433.BE.</w:t>
      </w:r>
    </w:p>
    <w:p w:rsidR="00866C38" w:rsidRPr="00866C38" w:rsidRDefault="00866C38" w:rsidP="00F93C90">
      <w:pPr>
        <w:numPr>
          <w:ilvl w:val="0"/>
          <w:numId w:val="7"/>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Najim MS, Ali R, Awad MA, Omer AA. Pseudohypoparathyroidism presenting with seizures: a case report and literature review. Intractable Rare Dis Res. 2020;9(3):166-170. doi:10.5582/irdr.2020.03014.</w:t>
      </w:r>
    </w:p>
    <w:p w:rsidR="00866C38" w:rsidRPr="00866C38" w:rsidRDefault="00866C38" w:rsidP="00F93C90">
      <w:pPr>
        <w:numPr>
          <w:ilvl w:val="0"/>
          <w:numId w:val="7"/>
        </w:numPr>
        <w:spacing w:line="360" w:lineRule="auto"/>
        <w:jc w:val="both"/>
        <w:rPr>
          <w:rFonts w:ascii="Times New Roman" w:hAnsi="Times New Roman" w:cs="Times New Roman"/>
          <w:color w:val="000000" w:themeColor="text1"/>
        </w:rPr>
      </w:pPr>
      <w:r w:rsidRPr="00866C38">
        <w:rPr>
          <w:rFonts w:ascii="Times New Roman" w:hAnsi="Times New Roman" w:cs="Times New Roman"/>
          <w:color w:val="000000" w:themeColor="text1"/>
        </w:rPr>
        <w:t>Gicheru K, Shah MV, Gitau W, Gathua SN. Pseudohypoparathyroidism: a case report. East Afr Med J. 1983;60(11):814-821. PMID: 6671445.</w:t>
      </w:r>
    </w:p>
    <w:p w:rsidR="004157F8" w:rsidRPr="00F93C90" w:rsidRDefault="004157F8" w:rsidP="00F93C90">
      <w:pPr>
        <w:spacing w:line="360" w:lineRule="auto"/>
        <w:jc w:val="both"/>
        <w:rPr>
          <w:rFonts w:ascii="Times New Roman" w:hAnsi="Times New Roman" w:cs="Times New Roman"/>
          <w:color w:val="000000" w:themeColor="text1"/>
          <w:lang w:val="en-US"/>
        </w:rPr>
      </w:pPr>
    </w:p>
    <w:sectPr w:rsidR="004157F8" w:rsidRPr="00F93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F314F"/>
    <w:multiLevelType w:val="multilevel"/>
    <w:tmpl w:val="CE64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478FB"/>
    <w:multiLevelType w:val="multilevel"/>
    <w:tmpl w:val="072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835E7"/>
    <w:multiLevelType w:val="multilevel"/>
    <w:tmpl w:val="2F24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A7EF1"/>
    <w:multiLevelType w:val="multilevel"/>
    <w:tmpl w:val="8F9A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C0896"/>
    <w:multiLevelType w:val="multilevel"/>
    <w:tmpl w:val="32B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76C9D"/>
    <w:multiLevelType w:val="multilevel"/>
    <w:tmpl w:val="3A26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E0249"/>
    <w:multiLevelType w:val="multilevel"/>
    <w:tmpl w:val="CFE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829499">
    <w:abstractNumId w:val="6"/>
  </w:num>
  <w:num w:numId="2" w16cid:durableId="1958026305">
    <w:abstractNumId w:val="2"/>
  </w:num>
  <w:num w:numId="3" w16cid:durableId="1219900115">
    <w:abstractNumId w:val="3"/>
  </w:num>
  <w:num w:numId="4" w16cid:durableId="16808589">
    <w:abstractNumId w:val="4"/>
  </w:num>
  <w:num w:numId="5" w16cid:durableId="926959175">
    <w:abstractNumId w:val="1"/>
  </w:num>
  <w:num w:numId="6" w16cid:durableId="2059934986">
    <w:abstractNumId w:val="0"/>
  </w:num>
  <w:num w:numId="7" w16cid:durableId="1524052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5"/>
    <w:rsid w:val="00002050"/>
    <w:rsid w:val="000046AD"/>
    <w:rsid w:val="000100B6"/>
    <w:rsid w:val="00021BE8"/>
    <w:rsid w:val="00023BC1"/>
    <w:rsid w:val="000274AD"/>
    <w:rsid w:val="00032492"/>
    <w:rsid w:val="00036466"/>
    <w:rsid w:val="00040584"/>
    <w:rsid w:val="00041B94"/>
    <w:rsid w:val="000471C7"/>
    <w:rsid w:val="000508A6"/>
    <w:rsid w:val="0005094B"/>
    <w:rsid w:val="0005258C"/>
    <w:rsid w:val="0005584C"/>
    <w:rsid w:val="000561E0"/>
    <w:rsid w:val="00066353"/>
    <w:rsid w:val="00076A20"/>
    <w:rsid w:val="00084462"/>
    <w:rsid w:val="00086E44"/>
    <w:rsid w:val="00086E51"/>
    <w:rsid w:val="000B49F6"/>
    <w:rsid w:val="000D0699"/>
    <w:rsid w:val="000D5288"/>
    <w:rsid w:val="000D7E48"/>
    <w:rsid w:val="000E2DE4"/>
    <w:rsid w:val="000E3927"/>
    <w:rsid w:val="000F043A"/>
    <w:rsid w:val="000F5A2D"/>
    <w:rsid w:val="00102A30"/>
    <w:rsid w:val="001034FB"/>
    <w:rsid w:val="0010403C"/>
    <w:rsid w:val="00106857"/>
    <w:rsid w:val="00112518"/>
    <w:rsid w:val="00112547"/>
    <w:rsid w:val="001204A7"/>
    <w:rsid w:val="00126803"/>
    <w:rsid w:val="001423CE"/>
    <w:rsid w:val="00153992"/>
    <w:rsid w:val="00166547"/>
    <w:rsid w:val="00176D4B"/>
    <w:rsid w:val="00184B43"/>
    <w:rsid w:val="001864D3"/>
    <w:rsid w:val="00190A2E"/>
    <w:rsid w:val="001A1CC7"/>
    <w:rsid w:val="001A4603"/>
    <w:rsid w:val="001B108C"/>
    <w:rsid w:val="001B51BD"/>
    <w:rsid w:val="001B5266"/>
    <w:rsid w:val="001C041D"/>
    <w:rsid w:val="001C43D7"/>
    <w:rsid w:val="00207299"/>
    <w:rsid w:val="002104CB"/>
    <w:rsid w:val="002127B8"/>
    <w:rsid w:val="00214921"/>
    <w:rsid w:val="00225274"/>
    <w:rsid w:val="00234505"/>
    <w:rsid w:val="00236476"/>
    <w:rsid w:val="00237C84"/>
    <w:rsid w:val="00237E18"/>
    <w:rsid w:val="00244E2F"/>
    <w:rsid w:val="002561C7"/>
    <w:rsid w:val="002723C1"/>
    <w:rsid w:val="0027481F"/>
    <w:rsid w:val="00275325"/>
    <w:rsid w:val="00275423"/>
    <w:rsid w:val="00276A5A"/>
    <w:rsid w:val="00296CE7"/>
    <w:rsid w:val="002A2277"/>
    <w:rsid w:val="002A40EF"/>
    <w:rsid w:val="002A4880"/>
    <w:rsid w:val="002B35B9"/>
    <w:rsid w:val="002B5E92"/>
    <w:rsid w:val="002C3C21"/>
    <w:rsid w:val="002C6A58"/>
    <w:rsid w:val="002D0071"/>
    <w:rsid w:val="002F26AC"/>
    <w:rsid w:val="002F66BB"/>
    <w:rsid w:val="00304BF7"/>
    <w:rsid w:val="00305233"/>
    <w:rsid w:val="0030641F"/>
    <w:rsid w:val="00311F6F"/>
    <w:rsid w:val="00312243"/>
    <w:rsid w:val="0031295A"/>
    <w:rsid w:val="00317F2B"/>
    <w:rsid w:val="00320212"/>
    <w:rsid w:val="00322637"/>
    <w:rsid w:val="00323D7F"/>
    <w:rsid w:val="003279DE"/>
    <w:rsid w:val="00335CEA"/>
    <w:rsid w:val="003377C2"/>
    <w:rsid w:val="00342DA3"/>
    <w:rsid w:val="0034451C"/>
    <w:rsid w:val="00344CDB"/>
    <w:rsid w:val="003459AA"/>
    <w:rsid w:val="003466D8"/>
    <w:rsid w:val="00366CF8"/>
    <w:rsid w:val="003706B5"/>
    <w:rsid w:val="00371E93"/>
    <w:rsid w:val="00383325"/>
    <w:rsid w:val="003A6E27"/>
    <w:rsid w:val="003A6E37"/>
    <w:rsid w:val="003A7A57"/>
    <w:rsid w:val="003B07A6"/>
    <w:rsid w:val="003B12DA"/>
    <w:rsid w:val="003B579D"/>
    <w:rsid w:val="003C09BD"/>
    <w:rsid w:val="003C1D63"/>
    <w:rsid w:val="003C4588"/>
    <w:rsid w:val="003C75FD"/>
    <w:rsid w:val="003D2306"/>
    <w:rsid w:val="003D76E9"/>
    <w:rsid w:val="003E5AB8"/>
    <w:rsid w:val="003E67CE"/>
    <w:rsid w:val="003E7898"/>
    <w:rsid w:val="003F56E4"/>
    <w:rsid w:val="003F61B8"/>
    <w:rsid w:val="003F7C84"/>
    <w:rsid w:val="00406EA7"/>
    <w:rsid w:val="004154DB"/>
    <w:rsid w:val="004157F8"/>
    <w:rsid w:val="00416DEB"/>
    <w:rsid w:val="004347CA"/>
    <w:rsid w:val="0043527D"/>
    <w:rsid w:val="004477CF"/>
    <w:rsid w:val="0045453C"/>
    <w:rsid w:val="00461651"/>
    <w:rsid w:val="004636ED"/>
    <w:rsid w:val="004671C3"/>
    <w:rsid w:val="0047206E"/>
    <w:rsid w:val="004723AD"/>
    <w:rsid w:val="004732B6"/>
    <w:rsid w:val="00475288"/>
    <w:rsid w:val="00480217"/>
    <w:rsid w:val="00486F66"/>
    <w:rsid w:val="00487D7E"/>
    <w:rsid w:val="0049607A"/>
    <w:rsid w:val="004A12D0"/>
    <w:rsid w:val="004A2144"/>
    <w:rsid w:val="004A4E4C"/>
    <w:rsid w:val="004A6942"/>
    <w:rsid w:val="004B566E"/>
    <w:rsid w:val="004C1471"/>
    <w:rsid w:val="004D5B3B"/>
    <w:rsid w:val="004E3CEB"/>
    <w:rsid w:val="004F129E"/>
    <w:rsid w:val="004F1D43"/>
    <w:rsid w:val="005226E9"/>
    <w:rsid w:val="00531FB2"/>
    <w:rsid w:val="005332B2"/>
    <w:rsid w:val="00541329"/>
    <w:rsid w:val="00547881"/>
    <w:rsid w:val="00551D46"/>
    <w:rsid w:val="00551E16"/>
    <w:rsid w:val="00577A93"/>
    <w:rsid w:val="005816AA"/>
    <w:rsid w:val="00586129"/>
    <w:rsid w:val="00595882"/>
    <w:rsid w:val="005A5F32"/>
    <w:rsid w:val="005B26C3"/>
    <w:rsid w:val="005B4041"/>
    <w:rsid w:val="005B47D0"/>
    <w:rsid w:val="005B5A78"/>
    <w:rsid w:val="005C0312"/>
    <w:rsid w:val="005C14AF"/>
    <w:rsid w:val="005C4CF5"/>
    <w:rsid w:val="005C6512"/>
    <w:rsid w:val="005C74B4"/>
    <w:rsid w:val="005D6B4B"/>
    <w:rsid w:val="005E05C6"/>
    <w:rsid w:val="005E465B"/>
    <w:rsid w:val="005F0F89"/>
    <w:rsid w:val="005F2A65"/>
    <w:rsid w:val="005F39EF"/>
    <w:rsid w:val="005F3C87"/>
    <w:rsid w:val="005F61B5"/>
    <w:rsid w:val="0060470F"/>
    <w:rsid w:val="00636C01"/>
    <w:rsid w:val="00637F05"/>
    <w:rsid w:val="006404FC"/>
    <w:rsid w:val="006418F4"/>
    <w:rsid w:val="00655629"/>
    <w:rsid w:val="00664E60"/>
    <w:rsid w:val="006712DE"/>
    <w:rsid w:val="00672082"/>
    <w:rsid w:val="006747FD"/>
    <w:rsid w:val="00680AC4"/>
    <w:rsid w:val="006A2E5D"/>
    <w:rsid w:val="006A509A"/>
    <w:rsid w:val="006A7B52"/>
    <w:rsid w:val="006B4DDB"/>
    <w:rsid w:val="006B7231"/>
    <w:rsid w:val="006C107C"/>
    <w:rsid w:val="006C3232"/>
    <w:rsid w:val="006C575D"/>
    <w:rsid w:val="006D5B18"/>
    <w:rsid w:val="006E22D1"/>
    <w:rsid w:val="006F0874"/>
    <w:rsid w:val="006F14DB"/>
    <w:rsid w:val="006F19FF"/>
    <w:rsid w:val="006F4FDD"/>
    <w:rsid w:val="007003B2"/>
    <w:rsid w:val="0070189F"/>
    <w:rsid w:val="00712FB8"/>
    <w:rsid w:val="00714723"/>
    <w:rsid w:val="00717FD9"/>
    <w:rsid w:val="00726B2D"/>
    <w:rsid w:val="00731BB3"/>
    <w:rsid w:val="0073285D"/>
    <w:rsid w:val="00734EB0"/>
    <w:rsid w:val="0073780C"/>
    <w:rsid w:val="007445E1"/>
    <w:rsid w:val="007449D3"/>
    <w:rsid w:val="00750B0E"/>
    <w:rsid w:val="0075704A"/>
    <w:rsid w:val="00760207"/>
    <w:rsid w:val="00763B94"/>
    <w:rsid w:val="00766D80"/>
    <w:rsid w:val="0076725F"/>
    <w:rsid w:val="00767C4C"/>
    <w:rsid w:val="00775240"/>
    <w:rsid w:val="00777272"/>
    <w:rsid w:val="007829F9"/>
    <w:rsid w:val="007953B1"/>
    <w:rsid w:val="007A0118"/>
    <w:rsid w:val="007B476C"/>
    <w:rsid w:val="007C3284"/>
    <w:rsid w:val="007C5415"/>
    <w:rsid w:val="007C77F5"/>
    <w:rsid w:val="007C7A7A"/>
    <w:rsid w:val="007D066E"/>
    <w:rsid w:val="007D7AB7"/>
    <w:rsid w:val="007E003C"/>
    <w:rsid w:val="007E51E7"/>
    <w:rsid w:val="007E642C"/>
    <w:rsid w:val="007F3AED"/>
    <w:rsid w:val="007F774B"/>
    <w:rsid w:val="00805F65"/>
    <w:rsid w:val="00810EC1"/>
    <w:rsid w:val="00831447"/>
    <w:rsid w:val="00843A2E"/>
    <w:rsid w:val="00850E2A"/>
    <w:rsid w:val="008570E7"/>
    <w:rsid w:val="0086100D"/>
    <w:rsid w:val="0086127C"/>
    <w:rsid w:val="00865E5C"/>
    <w:rsid w:val="00866685"/>
    <w:rsid w:val="00866C38"/>
    <w:rsid w:val="00867160"/>
    <w:rsid w:val="00874DC1"/>
    <w:rsid w:val="00882B7B"/>
    <w:rsid w:val="0088593C"/>
    <w:rsid w:val="008B3F8E"/>
    <w:rsid w:val="008B5D94"/>
    <w:rsid w:val="008B5E93"/>
    <w:rsid w:val="008B6316"/>
    <w:rsid w:val="008B7D9D"/>
    <w:rsid w:val="008C57AB"/>
    <w:rsid w:val="008E28A7"/>
    <w:rsid w:val="008E328B"/>
    <w:rsid w:val="008E4F30"/>
    <w:rsid w:val="00901407"/>
    <w:rsid w:val="00904703"/>
    <w:rsid w:val="0091300B"/>
    <w:rsid w:val="00917D10"/>
    <w:rsid w:val="00920F5D"/>
    <w:rsid w:val="0092128B"/>
    <w:rsid w:val="00922F02"/>
    <w:rsid w:val="009235D7"/>
    <w:rsid w:val="00930239"/>
    <w:rsid w:val="00932AF4"/>
    <w:rsid w:val="00934B73"/>
    <w:rsid w:val="00941A2A"/>
    <w:rsid w:val="00942A6B"/>
    <w:rsid w:val="00945EDD"/>
    <w:rsid w:val="00946B34"/>
    <w:rsid w:val="0095418A"/>
    <w:rsid w:val="00957824"/>
    <w:rsid w:val="00984EAE"/>
    <w:rsid w:val="009859F9"/>
    <w:rsid w:val="009C0676"/>
    <w:rsid w:val="009C5050"/>
    <w:rsid w:val="009C66CF"/>
    <w:rsid w:val="009D03F8"/>
    <w:rsid w:val="009E03B0"/>
    <w:rsid w:val="009E11BD"/>
    <w:rsid w:val="009E3102"/>
    <w:rsid w:val="009E50C8"/>
    <w:rsid w:val="009E57A6"/>
    <w:rsid w:val="009E60C8"/>
    <w:rsid w:val="009E6DE1"/>
    <w:rsid w:val="009F7707"/>
    <w:rsid w:val="009F7A1D"/>
    <w:rsid w:val="00A02F66"/>
    <w:rsid w:val="00A10D50"/>
    <w:rsid w:val="00A212F9"/>
    <w:rsid w:val="00A2310F"/>
    <w:rsid w:val="00A3243C"/>
    <w:rsid w:val="00A33D8D"/>
    <w:rsid w:val="00A33F37"/>
    <w:rsid w:val="00A36FB4"/>
    <w:rsid w:val="00A434FC"/>
    <w:rsid w:val="00A5695F"/>
    <w:rsid w:val="00A646A3"/>
    <w:rsid w:val="00A646C9"/>
    <w:rsid w:val="00A71355"/>
    <w:rsid w:val="00A725C8"/>
    <w:rsid w:val="00A75857"/>
    <w:rsid w:val="00A81226"/>
    <w:rsid w:val="00A85DCC"/>
    <w:rsid w:val="00A90A96"/>
    <w:rsid w:val="00A91523"/>
    <w:rsid w:val="00A97429"/>
    <w:rsid w:val="00A97C45"/>
    <w:rsid w:val="00AC5177"/>
    <w:rsid w:val="00AD17F9"/>
    <w:rsid w:val="00AD5250"/>
    <w:rsid w:val="00AE2997"/>
    <w:rsid w:val="00AE5EAB"/>
    <w:rsid w:val="00AF0D1D"/>
    <w:rsid w:val="00AF5300"/>
    <w:rsid w:val="00AF7602"/>
    <w:rsid w:val="00B03091"/>
    <w:rsid w:val="00B10C06"/>
    <w:rsid w:val="00B112F6"/>
    <w:rsid w:val="00B131ED"/>
    <w:rsid w:val="00B157C2"/>
    <w:rsid w:val="00B2433D"/>
    <w:rsid w:val="00B260D2"/>
    <w:rsid w:val="00B264F4"/>
    <w:rsid w:val="00B53821"/>
    <w:rsid w:val="00B572B9"/>
    <w:rsid w:val="00B728BF"/>
    <w:rsid w:val="00B84888"/>
    <w:rsid w:val="00B86F1C"/>
    <w:rsid w:val="00B915ED"/>
    <w:rsid w:val="00B91CD0"/>
    <w:rsid w:val="00BB1CD0"/>
    <w:rsid w:val="00BB6010"/>
    <w:rsid w:val="00BC1E96"/>
    <w:rsid w:val="00BC2C7B"/>
    <w:rsid w:val="00BC6B02"/>
    <w:rsid w:val="00BD3913"/>
    <w:rsid w:val="00BD7FA2"/>
    <w:rsid w:val="00BF1B6E"/>
    <w:rsid w:val="00BF5A67"/>
    <w:rsid w:val="00C14105"/>
    <w:rsid w:val="00C44206"/>
    <w:rsid w:val="00C537F9"/>
    <w:rsid w:val="00C538E0"/>
    <w:rsid w:val="00C54CC7"/>
    <w:rsid w:val="00C5538F"/>
    <w:rsid w:val="00C61079"/>
    <w:rsid w:val="00C64D72"/>
    <w:rsid w:val="00C700C8"/>
    <w:rsid w:val="00C94191"/>
    <w:rsid w:val="00CC1FBE"/>
    <w:rsid w:val="00CC2231"/>
    <w:rsid w:val="00CC67F1"/>
    <w:rsid w:val="00CD1002"/>
    <w:rsid w:val="00CD5319"/>
    <w:rsid w:val="00CE33DC"/>
    <w:rsid w:val="00CE7FB1"/>
    <w:rsid w:val="00CF08C7"/>
    <w:rsid w:val="00CF11DE"/>
    <w:rsid w:val="00D03236"/>
    <w:rsid w:val="00D1004C"/>
    <w:rsid w:val="00D3769B"/>
    <w:rsid w:val="00D64549"/>
    <w:rsid w:val="00D648BF"/>
    <w:rsid w:val="00D652DB"/>
    <w:rsid w:val="00D6777E"/>
    <w:rsid w:val="00D75CCA"/>
    <w:rsid w:val="00D80906"/>
    <w:rsid w:val="00D8120A"/>
    <w:rsid w:val="00D81676"/>
    <w:rsid w:val="00D86B3B"/>
    <w:rsid w:val="00D86CC9"/>
    <w:rsid w:val="00DA2FC5"/>
    <w:rsid w:val="00DA5902"/>
    <w:rsid w:val="00DC09C3"/>
    <w:rsid w:val="00DC17FB"/>
    <w:rsid w:val="00DD1B5C"/>
    <w:rsid w:val="00DD4716"/>
    <w:rsid w:val="00DD631B"/>
    <w:rsid w:val="00DD70B4"/>
    <w:rsid w:val="00DF08D3"/>
    <w:rsid w:val="00DF6F14"/>
    <w:rsid w:val="00E15463"/>
    <w:rsid w:val="00E20CBF"/>
    <w:rsid w:val="00E2281A"/>
    <w:rsid w:val="00E230D7"/>
    <w:rsid w:val="00E30396"/>
    <w:rsid w:val="00E305A7"/>
    <w:rsid w:val="00E334F1"/>
    <w:rsid w:val="00E360CF"/>
    <w:rsid w:val="00E37CEB"/>
    <w:rsid w:val="00E41C38"/>
    <w:rsid w:val="00E41CF4"/>
    <w:rsid w:val="00E43D56"/>
    <w:rsid w:val="00E467CB"/>
    <w:rsid w:val="00E5082A"/>
    <w:rsid w:val="00E56D26"/>
    <w:rsid w:val="00E658D3"/>
    <w:rsid w:val="00E73C26"/>
    <w:rsid w:val="00E73FA3"/>
    <w:rsid w:val="00E84772"/>
    <w:rsid w:val="00E87190"/>
    <w:rsid w:val="00E90C5A"/>
    <w:rsid w:val="00E94EEC"/>
    <w:rsid w:val="00EA0A1C"/>
    <w:rsid w:val="00EB47A0"/>
    <w:rsid w:val="00EC3CC5"/>
    <w:rsid w:val="00EC5016"/>
    <w:rsid w:val="00ED4EBB"/>
    <w:rsid w:val="00ED7F6A"/>
    <w:rsid w:val="00EE14FB"/>
    <w:rsid w:val="00EE1E9A"/>
    <w:rsid w:val="00EF0F3B"/>
    <w:rsid w:val="00EF52C4"/>
    <w:rsid w:val="00F009B9"/>
    <w:rsid w:val="00F04B64"/>
    <w:rsid w:val="00F0642B"/>
    <w:rsid w:val="00F07369"/>
    <w:rsid w:val="00F10B08"/>
    <w:rsid w:val="00F12E04"/>
    <w:rsid w:val="00F130E0"/>
    <w:rsid w:val="00F130E5"/>
    <w:rsid w:val="00F1377A"/>
    <w:rsid w:val="00F14C34"/>
    <w:rsid w:val="00F31672"/>
    <w:rsid w:val="00F31B97"/>
    <w:rsid w:val="00F33104"/>
    <w:rsid w:val="00F33848"/>
    <w:rsid w:val="00F34EC7"/>
    <w:rsid w:val="00F3757D"/>
    <w:rsid w:val="00F41376"/>
    <w:rsid w:val="00F46386"/>
    <w:rsid w:val="00F50698"/>
    <w:rsid w:val="00F557D7"/>
    <w:rsid w:val="00F57C61"/>
    <w:rsid w:val="00F61CC7"/>
    <w:rsid w:val="00F67E16"/>
    <w:rsid w:val="00F7455C"/>
    <w:rsid w:val="00F74EED"/>
    <w:rsid w:val="00F80DFD"/>
    <w:rsid w:val="00F81763"/>
    <w:rsid w:val="00F85757"/>
    <w:rsid w:val="00F874EE"/>
    <w:rsid w:val="00F924C6"/>
    <w:rsid w:val="00F93C90"/>
    <w:rsid w:val="00F950B1"/>
    <w:rsid w:val="00F96056"/>
    <w:rsid w:val="00F979B4"/>
    <w:rsid w:val="00F97C9D"/>
    <w:rsid w:val="00FA084A"/>
    <w:rsid w:val="00FA5AE2"/>
    <w:rsid w:val="00FB1B45"/>
    <w:rsid w:val="00FB7F18"/>
    <w:rsid w:val="00FD07BB"/>
    <w:rsid w:val="00FD13DC"/>
    <w:rsid w:val="00FE31EC"/>
    <w:rsid w:val="00FE4CCD"/>
    <w:rsid w:val="00FF08A4"/>
    <w:rsid w:val="00FF1B7F"/>
    <w:rsid w:val="00FF2DB0"/>
    <w:rsid w:val="00FF7705"/>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ecimalSymbol w:val="."/>
  <w:listSeparator w:val=","/>
  <w14:docId w14:val="70ADAE94"/>
  <w15:chartTrackingRefBased/>
  <w15:docId w15:val="{58D19811-810D-504D-978F-CEE1E03EC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5415"/>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C5415"/>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C5415"/>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415"/>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C5415"/>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C5415"/>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7C541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C54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0499">
      <w:bodyDiv w:val="1"/>
      <w:marLeft w:val="0"/>
      <w:marRight w:val="0"/>
      <w:marTop w:val="0"/>
      <w:marBottom w:val="0"/>
      <w:divBdr>
        <w:top w:val="none" w:sz="0" w:space="0" w:color="auto"/>
        <w:left w:val="none" w:sz="0" w:space="0" w:color="auto"/>
        <w:bottom w:val="none" w:sz="0" w:space="0" w:color="auto"/>
        <w:right w:val="none" w:sz="0" w:space="0" w:color="auto"/>
      </w:divBdr>
      <w:divsChild>
        <w:div w:id="1730957778">
          <w:marLeft w:val="0"/>
          <w:marRight w:val="0"/>
          <w:marTop w:val="0"/>
          <w:marBottom w:val="0"/>
          <w:divBdr>
            <w:top w:val="none" w:sz="0" w:space="0" w:color="auto"/>
            <w:left w:val="none" w:sz="0" w:space="0" w:color="auto"/>
            <w:bottom w:val="none" w:sz="0" w:space="0" w:color="auto"/>
            <w:right w:val="none" w:sz="0" w:space="0" w:color="auto"/>
          </w:divBdr>
          <w:divsChild>
            <w:div w:id="1657681720">
              <w:marLeft w:val="0"/>
              <w:marRight w:val="0"/>
              <w:marTop w:val="0"/>
              <w:marBottom w:val="0"/>
              <w:divBdr>
                <w:top w:val="none" w:sz="0" w:space="0" w:color="auto"/>
                <w:left w:val="none" w:sz="0" w:space="0" w:color="auto"/>
                <w:bottom w:val="none" w:sz="0" w:space="0" w:color="auto"/>
                <w:right w:val="none" w:sz="0" w:space="0" w:color="auto"/>
              </w:divBdr>
              <w:divsChild>
                <w:div w:id="1431655894">
                  <w:marLeft w:val="0"/>
                  <w:marRight w:val="0"/>
                  <w:marTop w:val="0"/>
                  <w:marBottom w:val="0"/>
                  <w:divBdr>
                    <w:top w:val="none" w:sz="0" w:space="0" w:color="auto"/>
                    <w:left w:val="none" w:sz="0" w:space="0" w:color="auto"/>
                    <w:bottom w:val="none" w:sz="0" w:space="0" w:color="auto"/>
                    <w:right w:val="none" w:sz="0" w:space="0" w:color="auto"/>
                  </w:divBdr>
                  <w:divsChild>
                    <w:div w:id="350453110">
                      <w:marLeft w:val="0"/>
                      <w:marRight w:val="0"/>
                      <w:marTop w:val="0"/>
                      <w:marBottom w:val="0"/>
                      <w:divBdr>
                        <w:top w:val="none" w:sz="0" w:space="0" w:color="auto"/>
                        <w:left w:val="none" w:sz="0" w:space="0" w:color="auto"/>
                        <w:bottom w:val="none" w:sz="0" w:space="0" w:color="auto"/>
                        <w:right w:val="none" w:sz="0" w:space="0" w:color="auto"/>
                      </w:divBdr>
                    </w:div>
                  </w:divsChild>
                </w:div>
                <w:div w:id="1122192758">
                  <w:marLeft w:val="0"/>
                  <w:marRight w:val="0"/>
                  <w:marTop w:val="0"/>
                  <w:marBottom w:val="0"/>
                  <w:divBdr>
                    <w:top w:val="none" w:sz="0" w:space="0" w:color="auto"/>
                    <w:left w:val="none" w:sz="0" w:space="0" w:color="auto"/>
                    <w:bottom w:val="none" w:sz="0" w:space="0" w:color="auto"/>
                    <w:right w:val="none" w:sz="0" w:space="0" w:color="auto"/>
                  </w:divBdr>
                  <w:divsChild>
                    <w:div w:id="661661060">
                      <w:marLeft w:val="0"/>
                      <w:marRight w:val="0"/>
                      <w:marTop w:val="0"/>
                      <w:marBottom w:val="0"/>
                      <w:divBdr>
                        <w:top w:val="none" w:sz="0" w:space="0" w:color="auto"/>
                        <w:left w:val="none" w:sz="0" w:space="0" w:color="auto"/>
                        <w:bottom w:val="none" w:sz="0" w:space="0" w:color="auto"/>
                        <w:right w:val="none" w:sz="0" w:space="0" w:color="auto"/>
                      </w:divBdr>
                    </w:div>
                  </w:divsChild>
                </w:div>
                <w:div w:id="2097289240">
                  <w:marLeft w:val="0"/>
                  <w:marRight w:val="0"/>
                  <w:marTop w:val="0"/>
                  <w:marBottom w:val="0"/>
                  <w:divBdr>
                    <w:top w:val="none" w:sz="0" w:space="0" w:color="auto"/>
                    <w:left w:val="none" w:sz="0" w:space="0" w:color="auto"/>
                    <w:bottom w:val="none" w:sz="0" w:space="0" w:color="auto"/>
                    <w:right w:val="none" w:sz="0" w:space="0" w:color="auto"/>
                  </w:divBdr>
                  <w:divsChild>
                    <w:div w:id="1420104618">
                      <w:marLeft w:val="0"/>
                      <w:marRight w:val="0"/>
                      <w:marTop w:val="0"/>
                      <w:marBottom w:val="0"/>
                      <w:divBdr>
                        <w:top w:val="none" w:sz="0" w:space="0" w:color="auto"/>
                        <w:left w:val="none" w:sz="0" w:space="0" w:color="auto"/>
                        <w:bottom w:val="none" w:sz="0" w:space="0" w:color="auto"/>
                        <w:right w:val="none" w:sz="0" w:space="0" w:color="auto"/>
                      </w:divBdr>
                    </w:div>
                  </w:divsChild>
                </w:div>
                <w:div w:id="236984648">
                  <w:marLeft w:val="0"/>
                  <w:marRight w:val="0"/>
                  <w:marTop w:val="0"/>
                  <w:marBottom w:val="0"/>
                  <w:divBdr>
                    <w:top w:val="none" w:sz="0" w:space="0" w:color="auto"/>
                    <w:left w:val="none" w:sz="0" w:space="0" w:color="auto"/>
                    <w:bottom w:val="none" w:sz="0" w:space="0" w:color="auto"/>
                    <w:right w:val="none" w:sz="0" w:space="0" w:color="auto"/>
                  </w:divBdr>
                  <w:divsChild>
                    <w:div w:id="1742799492">
                      <w:marLeft w:val="0"/>
                      <w:marRight w:val="0"/>
                      <w:marTop w:val="0"/>
                      <w:marBottom w:val="0"/>
                      <w:divBdr>
                        <w:top w:val="none" w:sz="0" w:space="0" w:color="auto"/>
                        <w:left w:val="none" w:sz="0" w:space="0" w:color="auto"/>
                        <w:bottom w:val="none" w:sz="0" w:space="0" w:color="auto"/>
                        <w:right w:val="none" w:sz="0" w:space="0" w:color="auto"/>
                      </w:divBdr>
                    </w:div>
                  </w:divsChild>
                </w:div>
                <w:div w:id="332493737">
                  <w:marLeft w:val="0"/>
                  <w:marRight w:val="0"/>
                  <w:marTop w:val="0"/>
                  <w:marBottom w:val="0"/>
                  <w:divBdr>
                    <w:top w:val="none" w:sz="0" w:space="0" w:color="auto"/>
                    <w:left w:val="none" w:sz="0" w:space="0" w:color="auto"/>
                    <w:bottom w:val="none" w:sz="0" w:space="0" w:color="auto"/>
                    <w:right w:val="none" w:sz="0" w:space="0" w:color="auto"/>
                  </w:divBdr>
                  <w:divsChild>
                    <w:div w:id="1658999541">
                      <w:marLeft w:val="0"/>
                      <w:marRight w:val="0"/>
                      <w:marTop w:val="0"/>
                      <w:marBottom w:val="0"/>
                      <w:divBdr>
                        <w:top w:val="none" w:sz="0" w:space="0" w:color="auto"/>
                        <w:left w:val="none" w:sz="0" w:space="0" w:color="auto"/>
                        <w:bottom w:val="none" w:sz="0" w:space="0" w:color="auto"/>
                        <w:right w:val="none" w:sz="0" w:space="0" w:color="auto"/>
                      </w:divBdr>
                    </w:div>
                  </w:divsChild>
                </w:div>
                <w:div w:id="1504393962">
                  <w:marLeft w:val="0"/>
                  <w:marRight w:val="0"/>
                  <w:marTop w:val="0"/>
                  <w:marBottom w:val="0"/>
                  <w:divBdr>
                    <w:top w:val="none" w:sz="0" w:space="0" w:color="auto"/>
                    <w:left w:val="none" w:sz="0" w:space="0" w:color="auto"/>
                    <w:bottom w:val="none" w:sz="0" w:space="0" w:color="auto"/>
                    <w:right w:val="none" w:sz="0" w:space="0" w:color="auto"/>
                  </w:divBdr>
                  <w:divsChild>
                    <w:div w:id="1016688930">
                      <w:marLeft w:val="0"/>
                      <w:marRight w:val="0"/>
                      <w:marTop w:val="0"/>
                      <w:marBottom w:val="0"/>
                      <w:divBdr>
                        <w:top w:val="none" w:sz="0" w:space="0" w:color="auto"/>
                        <w:left w:val="none" w:sz="0" w:space="0" w:color="auto"/>
                        <w:bottom w:val="none" w:sz="0" w:space="0" w:color="auto"/>
                        <w:right w:val="none" w:sz="0" w:space="0" w:color="auto"/>
                      </w:divBdr>
                    </w:div>
                  </w:divsChild>
                </w:div>
                <w:div w:id="827863313">
                  <w:marLeft w:val="0"/>
                  <w:marRight w:val="0"/>
                  <w:marTop w:val="0"/>
                  <w:marBottom w:val="0"/>
                  <w:divBdr>
                    <w:top w:val="none" w:sz="0" w:space="0" w:color="auto"/>
                    <w:left w:val="none" w:sz="0" w:space="0" w:color="auto"/>
                    <w:bottom w:val="none" w:sz="0" w:space="0" w:color="auto"/>
                    <w:right w:val="none" w:sz="0" w:space="0" w:color="auto"/>
                  </w:divBdr>
                  <w:divsChild>
                    <w:div w:id="1091194920">
                      <w:marLeft w:val="0"/>
                      <w:marRight w:val="0"/>
                      <w:marTop w:val="0"/>
                      <w:marBottom w:val="0"/>
                      <w:divBdr>
                        <w:top w:val="none" w:sz="0" w:space="0" w:color="auto"/>
                        <w:left w:val="none" w:sz="0" w:space="0" w:color="auto"/>
                        <w:bottom w:val="none" w:sz="0" w:space="0" w:color="auto"/>
                        <w:right w:val="none" w:sz="0" w:space="0" w:color="auto"/>
                      </w:divBdr>
                    </w:div>
                  </w:divsChild>
                </w:div>
                <w:div w:id="818421519">
                  <w:marLeft w:val="0"/>
                  <w:marRight w:val="0"/>
                  <w:marTop w:val="0"/>
                  <w:marBottom w:val="0"/>
                  <w:divBdr>
                    <w:top w:val="none" w:sz="0" w:space="0" w:color="auto"/>
                    <w:left w:val="none" w:sz="0" w:space="0" w:color="auto"/>
                    <w:bottom w:val="none" w:sz="0" w:space="0" w:color="auto"/>
                    <w:right w:val="none" w:sz="0" w:space="0" w:color="auto"/>
                  </w:divBdr>
                  <w:divsChild>
                    <w:div w:id="860394">
                      <w:marLeft w:val="0"/>
                      <w:marRight w:val="0"/>
                      <w:marTop w:val="0"/>
                      <w:marBottom w:val="0"/>
                      <w:divBdr>
                        <w:top w:val="none" w:sz="0" w:space="0" w:color="auto"/>
                        <w:left w:val="none" w:sz="0" w:space="0" w:color="auto"/>
                        <w:bottom w:val="none" w:sz="0" w:space="0" w:color="auto"/>
                        <w:right w:val="none" w:sz="0" w:space="0" w:color="auto"/>
                      </w:divBdr>
                    </w:div>
                  </w:divsChild>
                </w:div>
                <w:div w:id="1371422570">
                  <w:marLeft w:val="0"/>
                  <w:marRight w:val="0"/>
                  <w:marTop w:val="0"/>
                  <w:marBottom w:val="0"/>
                  <w:divBdr>
                    <w:top w:val="none" w:sz="0" w:space="0" w:color="auto"/>
                    <w:left w:val="none" w:sz="0" w:space="0" w:color="auto"/>
                    <w:bottom w:val="none" w:sz="0" w:space="0" w:color="auto"/>
                    <w:right w:val="none" w:sz="0" w:space="0" w:color="auto"/>
                  </w:divBdr>
                  <w:divsChild>
                    <w:div w:id="1937665918">
                      <w:marLeft w:val="0"/>
                      <w:marRight w:val="0"/>
                      <w:marTop w:val="0"/>
                      <w:marBottom w:val="0"/>
                      <w:divBdr>
                        <w:top w:val="none" w:sz="0" w:space="0" w:color="auto"/>
                        <w:left w:val="none" w:sz="0" w:space="0" w:color="auto"/>
                        <w:bottom w:val="none" w:sz="0" w:space="0" w:color="auto"/>
                        <w:right w:val="none" w:sz="0" w:space="0" w:color="auto"/>
                      </w:divBdr>
                    </w:div>
                  </w:divsChild>
                </w:div>
                <w:div w:id="420953670">
                  <w:marLeft w:val="0"/>
                  <w:marRight w:val="0"/>
                  <w:marTop w:val="0"/>
                  <w:marBottom w:val="0"/>
                  <w:divBdr>
                    <w:top w:val="none" w:sz="0" w:space="0" w:color="auto"/>
                    <w:left w:val="none" w:sz="0" w:space="0" w:color="auto"/>
                    <w:bottom w:val="none" w:sz="0" w:space="0" w:color="auto"/>
                    <w:right w:val="none" w:sz="0" w:space="0" w:color="auto"/>
                  </w:divBdr>
                  <w:divsChild>
                    <w:div w:id="1520073901">
                      <w:marLeft w:val="0"/>
                      <w:marRight w:val="0"/>
                      <w:marTop w:val="0"/>
                      <w:marBottom w:val="0"/>
                      <w:divBdr>
                        <w:top w:val="none" w:sz="0" w:space="0" w:color="auto"/>
                        <w:left w:val="none" w:sz="0" w:space="0" w:color="auto"/>
                        <w:bottom w:val="none" w:sz="0" w:space="0" w:color="auto"/>
                        <w:right w:val="none" w:sz="0" w:space="0" w:color="auto"/>
                      </w:divBdr>
                    </w:div>
                  </w:divsChild>
                </w:div>
                <w:div w:id="1087077547">
                  <w:marLeft w:val="0"/>
                  <w:marRight w:val="0"/>
                  <w:marTop w:val="0"/>
                  <w:marBottom w:val="0"/>
                  <w:divBdr>
                    <w:top w:val="none" w:sz="0" w:space="0" w:color="auto"/>
                    <w:left w:val="none" w:sz="0" w:space="0" w:color="auto"/>
                    <w:bottom w:val="none" w:sz="0" w:space="0" w:color="auto"/>
                    <w:right w:val="none" w:sz="0" w:space="0" w:color="auto"/>
                  </w:divBdr>
                  <w:divsChild>
                    <w:div w:id="438187150">
                      <w:marLeft w:val="0"/>
                      <w:marRight w:val="0"/>
                      <w:marTop w:val="0"/>
                      <w:marBottom w:val="0"/>
                      <w:divBdr>
                        <w:top w:val="none" w:sz="0" w:space="0" w:color="auto"/>
                        <w:left w:val="none" w:sz="0" w:space="0" w:color="auto"/>
                        <w:bottom w:val="none" w:sz="0" w:space="0" w:color="auto"/>
                        <w:right w:val="none" w:sz="0" w:space="0" w:color="auto"/>
                      </w:divBdr>
                    </w:div>
                  </w:divsChild>
                </w:div>
                <w:div w:id="1165897804">
                  <w:marLeft w:val="0"/>
                  <w:marRight w:val="0"/>
                  <w:marTop w:val="0"/>
                  <w:marBottom w:val="0"/>
                  <w:divBdr>
                    <w:top w:val="none" w:sz="0" w:space="0" w:color="auto"/>
                    <w:left w:val="none" w:sz="0" w:space="0" w:color="auto"/>
                    <w:bottom w:val="none" w:sz="0" w:space="0" w:color="auto"/>
                    <w:right w:val="none" w:sz="0" w:space="0" w:color="auto"/>
                  </w:divBdr>
                  <w:divsChild>
                    <w:div w:id="1292592654">
                      <w:marLeft w:val="0"/>
                      <w:marRight w:val="0"/>
                      <w:marTop w:val="0"/>
                      <w:marBottom w:val="0"/>
                      <w:divBdr>
                        <w:top w:val="none" w:sz="0" w:space="0" w:color="auto"/>
                        <w:left w:val="none" w:sz="0" w:space="0" w:color="auto"/>
                        <w:bottom w:val="none" w:sz="0" w:space="0" w:color="auto"/>
                        <w:right w:val="none" w:sz="0" w:space="0" w:color="auto"/>
                      </w:divBdr>
                    </w:div>
                  </w:divsChild>
                </w:div>
                <w:div w:id="1101948648">
                  <w:marLeft w:val="0"/>
                  <w:marRight w:val="0"/>
                  <w:marTop w:val="0"/>
                  <w:marBottom w:val="0"/>
                  <w:divBdr>
                    <w:top w:val="none" w:sz="0" w:space="0" w:color="auto"/>
                    <w:left w:val="none" w:sz="0" w:space="0" w:color="auto"/>
                    <w:bottom w:val="none" w:sz="0" w:space="0" w:color="auto"/>
                    <w:right w:val="none" w:sz="0" w:space="0" w:color="auto"/>
                  </w:divBdr>
                  <w:divsChild>
                    <w:div w:id="1571387746">
                      <w:marLeft w:val="0"/>
                      <w:marRight w:val="0"/>
                      <w:marTop w:val="0"/>
                      <w:marBottom w:val="0"/>
                      <w:divBdr>
                        <w:top w:val="none" w:sz="0" w:space="0" w:color="auto"/>
                        <w:left w:val="none" w:sz="0" w:space="0" w:color="auto"/>
                        <w:bottom w:val="none" w:sz="0" w:space="0" w:color="auto"/>
                        <w:right w:val="none" w:sz="0" w:space="0" w:color="auto"/>
                      </w:divBdr>
                    </w:div>
                  </w:divsChild>
                </w:div>
                <w:div w:id="571549707">
                  <w:marLeft w:val="0"/>
                  <w:marRight w:val="0"/>
                  <w:marTop w:val="0"/>
                  <w:marBottom w:val="0"/>
                  <w:divBdr>
                    <w:top w:val="none" w:sz="0" w:space="0" w:color="auto"/>
                    <w:left w:val="none" w:sz="0" w:space="0" w:color="auto"/>
                    <w:bottom w:val="none" w:sz="0" w:space="0" w:color="auto"/>
                    <w:right w:val="none" w:sz="0" w:space="0" w:color="auto"/>
                  </w:divBdr>
                  <w:divsChild>
                    <w:div w:id="1964925846">
                      <w:marLeft w:val="0"/>
                      <w:marRight w:val="0"/>
                      <w:marTop w:val="0"/>
                      <w:marBottom w:val="0"/>
                      <w:divBdr>
                        <w:top w:val="none" w:sz="0" w:space="0" w:color="auto"/>
                        <w:left w:val="none" w:sz="0" w:space="0" w:color="auto"/>
                        <w:bottom w:val="none" w:sz="0" w:space="0" w:color="auto"/>
                        <w:right w:val="none" w:sz="0" w:space="0" w:color="auto"/>
                      </w:divBdr>
                    </w:div>
                  </w:divsChild>
                </w:div>
                <w:div w:id="1754206414">
                  <w:marLeft w:val="0"/>
                  <w:marRight w:val="0"/>
                  <w:marTop w:val="0"/>
                  <w:marBottom w:val="0"/>
                  <w:divBdr>
                    <w:top w:val="none" w:sz="0" w:space="0" w:color="auto"/>
                    <w:left w:val="none" w:sz="0" w:space="0" w:color="auto"/>
                    <w:bottom w:val="none" w:sz="0" w:space="0" w:color="auto"/>
                    <w:right w:val="none" w:sz="0" w:space="0" w:color="auto"/>
                  </w:divBdr>
                  <w:divsChild>
                    <w:div w:id="827983081">
                      <w:marLeft w:val="0"/>
                      <w:marRight w:val="0"/>
                      <w:marTop w:val="0"/>
                      <w:marBottom w:val="0"/>
                      <w:divBdr>
                        <w:top w:val="none" w:sz="0" w:space="0" w:color="auto"/>
                        <w:left w:val="none" w:sz="0" w:space="0" w:color="auto"/>
                        <w:bottom w:val="none" w:sz="0" w:space="0" w:color="auto"/>
                        <w:right w:val="none" w:sz="0" w:space="0" w:color="auto"/>
                      </w:divBdr>
                    </w:div>
                  </w:divsChild>
                </w:div>
                <w:div w:id="33119958">
                  <w:marLeft w:val="0"/>
                  <w:marRight w:val="0"/>
                  <w:marTop w:val="0"/>
                  <w:marBottom w:val="0"/>
                  <w:divBdr>
                    <w:top w:val="none" w:sz="0" w:space="0" w:color="auto"/>
                    <w:left w:val="none" w:sz="0" w:space="0" w:color="auto"/>
                    <w:bottom w:val="none" w:sz="0" w:space="0" w:color="auto"/>
                    <w:right w:val="none" w:sz="0" w:space="0" w:color="auto"/>
                  </w:divBdr>
                  <w:divsChild>
                    <w:div w:id="1196891518">
                      <w:marLeft w:val="0"/>
                      <w:marRight w:val="0"/>
                      <w:marTop w:val="0"/>
                      <w:marBottom w:val="0"/>
                      <w:divBdr>
                        <w:top w:val="none" w:sz="0" w:space="0" w:color="auto"/>
                        <w:left w:val="none" w:sz="0" w:space="0" w:color="auto"/>
                        <w:bottom w:val="none" w:sz="0" w:space="0" w:color="auto"/>
                        <w:right w:val="none" w:sz="0" w:space="0" w:color="auto"/>
                      </w:divBdr>
                    </w:div>
                  </w:divsChild>
                </w:div>
                <w:div w:id="1874223679">
                  <w:marLeft w:val="0"/>
                  <w:marRight w:val="0"/>
                  <w:marTop w:val="0"/>
                  <w:marBottom w:val="0"/>
                  <w:divBdr>
                    <w:top w:val="none" w:sz="0" w:space="0" w:color="auto"/>
                    <w:left w:val="none" w:sz="0" w:space="0" w:color="auto"/>
                    <w:bottom w:val="none" w:sz="0" w:space="0" w:color="auto"/>
                    <w:right w:val="none" w:sz="0" w:space="0" w:color="auto"/>
                  </w:divBdr>
                  <w:divsChild>
                    <w:div w:id="1511094950">
                      <w:marLeft w:val="0"/>
                      <w:marRight w:val="0"/>
                      <w:marTop w:val="0"/>
                      <w:marBottom w:val="0"/>
                      <w:divBdr>
                        <w:top w:val="none" w:sz="0" w:space="0" w:color="auto"/>
                        <w:left w:val="none" w:sz="0" w:space="0" w:color="auto"/>
                        <w:bottom w:val="none" w:sz="0" w:space="0" w:color="auto"/>
                        <w:right w:val="none" w:sz="0" w:space="0" w:color="auto"/>
                      </w:divBdr>
                    </w:div>
                  </w:divsChild>
                </w:div>
                <w:div w:id="3552608">
                  <w:marLeft w:val="0"/>
                  <w:marRight w:val="0"/>
                  <w:marTop w:val="0"/>
                  <w:marBottom w:val="0"/>
                  <w:divBdr>
                    <w:top w:val="none" w:sz="0" w:space="0" w:color="auto"/>
                    <w:left w:val="none" w:sz="0" w:space="0" w:color="auto"/>
                    <w:bottom w:val="none" w:sz="0" w:space="0" w:color="auto"/>
                    <w:right w:val="none" w:sz="0" w:space="0" w:color="auto"/>
                  </w:divBdr>
                  <w:divsChild>
                    <w:div w:id="498736190">
                      <w:marLeft w:val="0"/>
                      <w:marRight w:val="0"/>
                      <w:marTop w:val="0"/>
                      <w:marBottom w:val="0"/>
                      <w:divBdr>
                        <w:top w:val="none" w:sz="0" w:space="0" w:color="auto"/>
                        <w:left w:val="none" w:sz="0" w:space="0" w:color="auto"/>
                        <w:bottom w:val="none" w:sz="0" w:space="0" w:color="auto"/>
                        <w:right w:val="none" w:sz="0" w:space="0" w:color="auto"/>
                      </w:divBdr>
                    </w:div>
                  </w:divsChild>
                </w:div>
                <w:div w:id="1614288798">
                  <w:marLeft w:val="0"/>
                  <w:marRight w:val="0"/>
                  <w:marTop w:val="0"/>
                  <w:marBottom w:val="0"/>
                  <w:divBdr>
                    <w:top w:val="none" w:sz="0" w:space="0" w:color="auto"/>
                    <w:left w:val="none" w:sz="0" w:space="0" w:color="auto"/>
                    <w:bottom w:val="none" w:sz="0" w:space="0" w:color="auto"/>
                    <w:right w:val="none" w:sz="0" w:space="0" w:color="auto"/>
                  </w:divBdr>
                  <w:divsChild>
                    <w:div w:id="1242450631">
                      <w:marLeft w:val="0"/>
                      <w:marRight w:val="0"/>
                      <w:marTop w:val="0"/>
                      <w:marBottom w:val="0"/>
                      <w:divBdr>
                        <w:top w:val="none" w:sz="0" w:space="0" w:color="auto"/>
                        <w:left w:val="none" w:sz="0" w:space="0" w:color="auto"/>
                        <w:bottom w:val="none" w:sz="0" w:space="0" w:color="auto"/>
                        <w:right w:val="none" w:sz="0" w:space="0" w:color="auto"/>
                      </w:divBdr>
                    </w:div>
                  </w:divsChild>
                </w:div>
                <w:div w:id="1938555643">
                  <w:marLeft w:val="0"/>
                  <w:marRight w:val="0"/>
                  <w:marTop w:val="0"/>
                  <w:marBottom w:val="0"/>
                  <w:divBdr>
                    <w:top w:val="none" w:sz="0" w:space="0" w:color="auto"/>
                    <w:left w:val="none" w:sz="0" w:space="0" w:color="auto"/>
                    <w:bottom w:val="none" w:sz="0" w:space="0" w:color="auto"/>
                    <w:right w:val="none" w:sz="0" w:space="0" w:color="auto"/>
                  </w:divBdr>
                  <w:divsChild>
                    <w:div w:id="1421215978">
                      <w:marLeft w:val="0"/>
                      <w:marRight w:val="0"/>
                      <w:marTop w:val="0"/>
                      <w:marBottom w:val="0"/>
                      <w:divBdr>
                        <w:top w:val="none" w:sz="0" w:space="0" w:color="auto"/>
                        <w:left w:val="none" w:sz="0" w:space="0" w:color="auto"/>
                        <w:bottom w:val="none" w:sz="0" w:space="0" w:color="auto"/>
                        <w:right w:val="none" w:sz="0" w:space="0" w:color="auto"/>
                      </w:divBdr>
                    </w:div>
                  </w:divsChild>
                </w:div>
                <w:div w:id="559753642">
                  <w:marLeft w:val="0"/>
                  <w:marRight w:val="0"/>
                  <w:marTop w:val="0"/>
                  <w:marBottom w:val="0"/>
                  <w:divBdr>
                    <w:top w:val="none" w:sz="0" w:space="0" w:color="auto"/>
                    <w:left w:val="none" w:sz="0" w:space="0" w:color="auto"/>
                    <w:bottom w:val="none" w:sz="0" w:space="0" w:color="auto"/>
                    <w:right w:val="none" w:sz="0" w:space="0" w:color="auto"/>
                  </w:divBdr>
                  <w:divsChild>
                    <w:div w:id="1584488002">
                      <w:marLeft w:val="0"/>
                      <w:marRight w:val="0"/>
                      <w:marTop w:val="0"/>
                      <w:marBottom w:val="0"/>
                      <w:divBdr>
                        <w:top w:val="none" w:sz="0" w:space="0" w:color="auto"/>
                        <w:left w:val="none" w:sz="0" w:space="0" w:color="auto"/>
                        <w:bottom w:val="none" w:sz="0" w:space="0" w:color="auto"/>
                        <w:right w:val="none" w:sz="0" w:space="0" w:color="auto"/>
                      </w:divBdr>
                    </w:div>
                  </w:divsChild>
                </w:div>
                <w:div w:id="2514424">
                  <w:marLeft w:val="0"/>
                  <w:marRight w:val="0"/>
                  <w:marTop w:val="0"/>
                  <w:marBottom w:val="0"/>
                  <w:divBdr>
                    <w:top w:val="none" w:sz="0" w:space="0" w:color="auto"/>
                    <w:left w:val="none" w:sz="0" w:space="0" w:color="auto"/>
                    <w:bottom w:val="none" w:sz="0" w:space="0" w:color="auto"/>
                    <w:right w:val="none" w:sz="0" w:space="0" w:color="auto"/>
                  </w:divBdr>
                  <w:divsChild>
                    <w:div w:id="24524347">
                      <w:marLeft w:val="0"/>
                      <w:marRight w:val="0"/>
                      <w:marTop w:val="0"/>
                      <w:marBottom w:val="0"/>
                      <w:divBdr>
                        <w:top w:val="none" w:sz="0" w:space="0" w:color="auto"/>
                        <w:left w:val="none" w:sz="0" w:space="0" w:color="auto"/>
                        <w:bottom w:val="none" w:sz="0" w:space="0" w:color="auto"/>
                        <w:right w:val="none" w:sz="0" w:space="0" w:color="auto"/>
                      </w:divBdr>
                    </w:div>
                  </w:divsChild>
                </w:div>
                <w:div w:id="1557351348">
                  <w:marLeft w:val="0"/>
                  <w:marRight w:val="0"/>
                  <w:marTop w:val="0"/>
                  <w:marBottom w:val="0"/>
                  <w:divBdr>
                    <w:top w:val="none" w:sz="0" w:space="0" w:color="auto"/>
                    <w:left w:val="none" w:sz="0" w:space="0" w:color="auto"/>
                    <w:bottom w:val="none" w:sz="0" w:space="0" w:color="auto"/>
                    <w:right w:val="none" w:sz="0" w:space="0" w:color="auto"/>
                  </w:divBdr>
                  <w:divsChild>
                    <w:div w:id="639575121">
                      <w:marLeft w:val="0"/>
                      <w:marRight w:val="0"/>
                      <w:marTop w:val="0"/>
                      <w:marBottom w:val="0"/>
                      <w:divBdr>
                        <w:top w:val="none" w:sz="0" w:space="0" w:color="auto"/>
                        <w:left w:val="none" w:sz="0" w:space="0" w:color="auto"/>
                        <w:bottom w:val="none" w:sz="0" w:space="0" w:color="auto"/>
                        <w:right w:val="none" w:sz="0" w:space="0" w:color="auto"/>
                      </w:divBdr>
                    </w:div>
                  </w:divsChild>
                </w:div>
                <w:div w:id="1086418605">
                  <w:marLeft w:val="0"/>
                  <w:marRight w:val="0"/>
                  <w:marTop w:val="0"/>
                  <w:marBottom w:val="0"/>
                  <w:divBdr>
                    <w:top w:val="none" w:sz="0" w:space="0" w:color="auto"/>
                    <w:left w:val="none" w:sz="0" w:space="0" w:color="auto"/>
                    <w:bottom w:val="none" w:sz="0" w:space="0" w:color="auto"/>
                    <w:right w:val="none" w:sz="0" w:space="0" w:color="auto"/>
                  </w:divBdr>
                  <w:divsChild>
                    <w:div w:id="15553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79240">
      <w:bodyDiv w:val="1"/>
      <w:marLeft w:val="0"/>
      <w:marRight w:val="0"/>
      <w:marTop w:val="0"/>
      <w:marBottom w:val="0"/>
      <w:divBdr>
        <w:top w:val="none" w:sz="0" w:space="0" w:color="auto"/>
        <w:left w:val="none" w:sz="0" w:space="0" w:color="auto"/>
        <w:bottom w:val="none" w:sz="0" w:space="0" w:color="auto"/>
        <w:right w:val="none" w:sz="0" w:space="0" w:color="auto"/>
      </w:divBdr>
      <w:divsChild>
        <w:div w:id="526335657">
          <w:marLeft w:val="0"/>
          <w:marRight w:val="0"/>
          <w:marTop w:val="0"/>
          <w:marBottom w:val="0"/>
          <w:divBdr>
            <w:top w:val="none" w:sz="0" w:space="0" w:color="auto"/>
            <w:left w:val="none" w:sz="0" w:space="0" w:color="auto"/>
            <w:bottom w:val="none" w:sz="0" w:space="0" w:color="auto"/>
            <w:right w:val="none" w:sz="0" w:space="0" w:color="auto"/>
          </w:divBdr>
          <w:divsChild>
            <w:div w:id="1961646224">
              <w:marLeft w:val="0"/>
              <w:marRight w:val="0"/>
              <w:marTop w:val="0"/>
              <w:marBottom w:val="0"/>
              <w:divBdr>
                <w:top w:val="none" w:sz="0" w:space="0" w:color="auto"/>
                <w:left w:val="none" w:sz="0" w:space="0" w:color="auto"/>
                <w:bottom w:val="none" w:sz="0" w:space="0" w:color="auto"/>
                <w:right w:val="none" w:sz="0" w:space="0" w:color="auto"/>
              </w:divBdr>
              <w:divsChild>
                <w:div w:id="6566905">
                  <w:marLeft w:val="0"/>
                  <w:marRight w:val="0"/>
                  <w:marTop w:val="0"/>
                  <w:marBottom w:val="0"/>
                  <w:divBdr>
                    <w:top w:val="none" w:sz="0" w:space="0" w:color="auto"/>
                    <w:left w:val="none" w:sz="0" w:space="0" w:color="auto"/>
                    <w:bottom w:val="none" w:sz="0" w:space="0" w:color="auto"/>
                    <w:right w:val="none" w:sz="0" w:space="0" w:color="auto"/>
                  </w:divBdr>
                  <w:divsChild>
                    <w:div w:id="2060744098">
                      <w:marLeft w:val="0"/>
                      <w:marRight w:val="0"/>
                      <w:marTop w:val="0"/>
                      <w:marBottom w:val="0"/>
                      <w:divBdr>
                        <w:top w:val="none" w:sz="0" w:space="0" w:color="auto"/>
                        <w:left w:val="none" w:sz="0" w:space="0" w:color="auto"/>
                        <w:bottom w:val="none" w:sz="0" w:space="0" w:color="auto"/>
                        <w:right w:val="none" w:sz="0" w:space="0" w:color="auto"/>
                      </w:divBdr>
                    </w:div>
                  </w:divsChild>
                </w:div>
                <w:div w:id="1594051115">
                  <w:marLeft w:val="0"/>
                  <w:marRight w:val="0"/>
                  <w:marTop w:val="0"/>
                  <w:marBottom w:val="0"/>
                  <w:divBdr>
                    <w:top w:val="none" w:sz="0" w:space="0" w:color="auto"/>
                    <w:left w:val="none" w:sz="0" w:space="0" w:color="auto"/>
                    <w:bottom w:val="none" w:sz="0" w:space="0" w:color="auto"/>
                    <w:right w:val="none" w:sz="0" w:space="0" w:color="auto"/>
                  </w:divBdr>
                  <w:divsChild>
                    <w:div w:id="2106420090">
                      <w:marLeft w:val="0"/>
                      <w:marRight w:val="0"/>
                      <w:marTop w:val="0"/>
                      <w:marBottom w:val="0"/>
                      <w:divBdr>
                        <w:top w:val="none" w:sz="0" w:space="0" w:color="auto"/>
                        <w:left w:val="none" w:sz="0" w:space="0" w:color="auto"/>
                        <w:bottom w:val="none" w:sz="0" w:space="0" w:color="auto"/>
                        <w:right w:val="none" w:sz="0" w:space="0" w:color="auto"/>
                      </w:divBdr>
                    </w:div>
                  </w:divsChild>
                </w:div>
                <w:div w:id="1945336733">
                  <w:marLeft w:val="0"/>
                  <w:marRight w:val="0"/>
                  <w:marTop w:val="0"/>
                  <w:marBottom w:val="0"/>
                  <w:divBdr>
                    <w:top w:val="none" w:sz="0" w:space="0" w:color="auto"/>
                    <w:left w:val="none" w:sz="0" w:space="0" w:color="auto"/>
                    <w:bottom w:val="none" w:sz="0" w:space="0" w:color="auto"/>
                    <w:right w:val="none" w:sz="0" w:space="0" w:color="auto"/>
                  </w:divBdr>
                  <w:divsChild>
                    <w:div w:id="2049640081">
                      <w:marLeft w:val="0"/>
                      <w:marRight w:val="0"/>
                      <w:marTop w:val="0"/>
                      <w:marBottom w:val="0"/>
                      <w:divBdr>
                        <w:top w:val="none" w:sz="0" w:space="0" w:color="auto"/>
                        <w:left w:val="none" w:sz="0" w:space="0" w:color="auto"/>
                        <w:bottom w:val="none" w:sz="0" w:space="0" w:color="auto"/>
                        <w:right w:val="none" w:sz="0" w:space="0" w:color="auto"/>
                      </w:divBdr>
                    </w:div>
                  </w:divsChild>
                </w:div>
                <w:div w:id="1623655523">
                  <w:marLeft w:val="0"/>
                  <w:marRight w:val="0"/>
                  <w:marTop w:val="0"/>
                  <w:marBottom w:val="0"/>
                  <w:divBdr>
                    <w:top w:val="none" w:sz="0" w:space="0" w:color="auto"/>
                    <w:left w:val="none" w:sz="0" w:space="0" w:color="auto"/>
                    <w:bottom w:val="none" w:sz="0" w:space="0" w:color="auto"/>
                    <w:right w:val="none" w:sz="0" w:space="0" w:color="auto"/>
                  </w:divBdr>
                  <w:divsChild>
                    <w:div w:id="1862627271">
                      <w:marLeft w:val="0"/>
                      <w:marRight w:val="0"/>
                      <w:marTop w:val="0"/>
                      <w:marBottom w:val="0"/>
                      <w:divBdr>
                        <w:top w:val="none" w:sz="0" w:space="0" w:color="auto"/>
                        <w:left w:val="none" w:sz="0" w:space="0" w:color="auto"/>
                        <w:bottom w:val="none" w:sz="0" w:space="0" w:color="auto"/>
                        <w:right w:val="none" w:sz="0" w:space="0" w:color="auto"/>
                      </w:divBdr>
                    </w:div>
                  </w:divsChild>
                </w:div>
                <w:div w:id="1068186442">
                  <w:marLeft w:val="0"/>
                  <w:marRight w:val="0"/>
                  <w:marTop w:val="0"/>
                  <w:marBottom w:val="0"/>
                  <w:divBdr>
                    <w:top w:val="none" w:sz="0" w:space="0" w:color="auto"/>
                    <w:left w:val="none" w:sz="0" w:space="0" w:color="auto"/>
                    <w:bottom w:val="none" w:sz="0" w:space="0" w:color="auto"/>
                    <w:right w:val="none" w:sz="0" w:space="0" w:color="auto"/>
                  </w:divBdr>
                  <w:divsChild>
                    <w:div w:id="1500151318">
                      <w:marLeft w:val="0"/>
                      <w:marRight w:val="0"/>
                      <w:marTop w:val="0"/>
                      <w:marBottom w:val="0"/>
                      <w:divBdr>
                        <w:top w:val="none" w:sz="0" w:space="0" w:color="auto"/>
                        <w:left w:val="none" w:sz="0" w:space="0" w:color="auto"/>
                        <w:bottom w:val="none" w:sz="0" w:space="0" w:color="auto"/>
                        <w:right w:val="none" w:sz="0" w:space="0" w:color="auto"/>
                      </w:divBdr>
                    </w:div>
                  </w:divsChild>
                </w:div>
                <w:div w:id="2030330973">
                  <w:marLeft w:val="0"/>
                  <w:marRight w:val="0"/>
                  <w:marTop w:val="0"/>
                  <w:marBottom w:val="0"/>
                  <w:divBdr>
                    <w:top w:val="none" w:sz="0" w:space="0" w:color="auto"/>
                    <w:left w:val="none" w:sz="0" w:space="0" w:color="auto"/>
                    <w:bottom w:val="none" w:sz="0" w:space="0" w:color="auto"/>
                    <w:right w:val="none" w:sz="0" w:space="0" w:color="auto"/>
                  </w:divBdr>
                  <w:divsChild>
                    <w:div w:id="637606790">
                      <w:marLeft w:val="0"/>
                      <w:marRight w:val="0"/>
                      <w:marTop w:val="0"/>
                      <w:marBottom w:val="0"/>
                      <w:divBdr>
                        <w:top w:val="none" w:sz="0" w:space="0" w:color="auto"/>
                        <w:left w:val="none" w:sz="0" w:space="0" w:color="auto"/>
                        <w:bottom w:val="none" w:sz="0" w:space="0" w:color="auto"/>
                        <w:right w:val="none" w:sz="0" w:space="0" w:color="auto"/>
                      </w:divBdr>
                    </w:div>
                  </w:divsChild>
                </w:div>
                <w:div w:id="1683047618">
                  <w:marLeft w:val="0"/>
                  <w:marRight w:val="0"/>
                  <w:marTop w:val="0"/>
                  <w:marBottom w:val="0"/>
                  <w:divBdr>
                    <w:top w:val="none" w:sz="0" w:space="0" w:color="auto"/>
                    <w:left w:val="none" w:sz="0" w:space="0" w:color="auto"/>
                    <w:bottom w:val="none" w:sz="0" w:space="0" w:color="auto"/>
                    <w:right w:val="none" w:sz="0" w:space="0" w:color="auto"/>
                  </w:divBdr>
                  <w:divsChild>
                    <w:div w:id="1572275440">
                      <w:marLeft w:val="0"/>
                      <w:marRight w:val="0"/>
                      <w:marTop w:val="0"/>
                      <w:marBottom w:val="0"/>
                      <w:divBdr>
                        <w:top w:val="none" w:sz="0" w:space="0" w:color="auto"/>
                        <w:left w:val="none" w:sz="0" w:space="0" w:color="auto"/>
                        <w:bottom w:val="none" w:sz="0" w:space="0" w:color="auto"/>
                        <w:right w:val="none" w:sz="0" w:space="0" w:color="auto"/>
                      </w:divBdr>
                    </w:div>
                  </w:divsChild>
                </w:div>
                <w:div w:id="1716812008">
                  <w:marLeft w:val="0"/>
                  <w:marRight w:val="0"/>
                  <w:marTop w:val="0"/>
                  <w:marBottom w:val="0"/>
                  <w:divBdr>
                    <w:top w:val="none" w:sz="0" w:space="0" w:color="auto"/>
                    <w:left w:val="none" w:sz="0" w:space="0" w:color="auto"/>
                    <w:bottom w:val="none" w:sz="0" w:space="0" w:color="auto"/>
                    <w:right w:val="none" w:sz="0" w:space="0" w:color="auto"/>
                  </w:divBdr>
                  <w:divsChild>
                    <w:div w:id="1728840066">
                      <w:marLeft w:val="0"/>
                      <w:marRight w:val="0"/>
                      <w:marTop w:val="0"/>
                      <w:marBottom w:val="0"/>
                      <w:divBdr>
                        <w:top w:val="none" w:sz="0" w:space="0" w:color="auto"/>
                        <w:left w:val="none" w:sz="0" w:space="0" w:color="auto"/>
                        <w:bottom w:val="none" w:sz="0" w:space="0" w:color="auto"/>
                        <w:right w:val="none" w:sz="0" w:space="0" w:color="auto"/>
                      </w:divBdr>
                    </w:div>
                  </w:divsChild>
                </w:div>
                <w:div w:id="359863282">
                  <w:marLeft w:val="0"/>
                  <w:marRight w:val="0"/>
                  <w:marTop w:val="0"/>
                  <w:marBottom w:val="0"/>
                  <w:divBdr>
                    <w:top w:val="none" w:sz="0" w:space="0" w:color="auto"/>
                    <w:left w:val="none" w:sz="0" w:space="0" w:color="auto"/>
                    <w:bottom w:val="none" w:sz="0" w:space="0" w:color="auto"/>
                    <w:right w:val="none" w:sz="0" w:space="0" w:color="auto"/>
                  </w:divBdr>
                  <w:divsChild>
                    <w:div w:id="858251">
                      <w:marLeft w:val="0"/>
                      <w:marRight w:val="0"/>
                      <w:marTop w:val="0"/>
                      <w:marBottom w:val="0"/>
                      <w:divBdr>
                        <w:top w:val="none" w:sz="0" w:space="0" w:color="auto"/>
                        <w:left w:val="none" w:sz="0" w:space="0" w:color="auto"/>
                        <w:bottom w:val="none" w:sz="0" w:space="0" w:color="auto"/>
                        <w:right w:val="none" w:sz="0" w:space="0" w:color="auto"/>
                      </w:divBdr>
                    </w:div>
                  </w:divsChild>
                </w:div>
                <w:div w:id="1053163975">
                  <w:marLeft w:val="0"/>
                  <w:marRight w:val="0"/>
                  <w:marTop w:val="0"/>
                  <w:marBottom w:val="0"/>
                  <w:divBdr>
                    <w:top w:val="none" w:sz="0" w:space="0" w:color="auto"/>
                    <w:left w:val="none" w:sz="0" w:space="0" w:color="auto"/>
                    <w:bottom w:val="none" w:sz="0" w:space="0" w:color="auto"/>
                    <w:right w:val="none" w:sz="0" w:space="0" w:color="auto"/>
                  </w:divBdr>
                  <w:divsChild>
                    <w:div w:id="1133593536">
                      <w:marLeft w:val="0"/>
                      <w:marRight w:val="0"/>
                      <w:marTop w:val="0"/>
                      <w:marBottom w:val="0"/>
                      <w:divBdr>
                        <w:top w:val="none" w:sz="0" w:space="0" w:color="auto"/>
                        <w:left w:val="none" w:sz="0" w:space="0" w:color="auto"/>
                        <w:bottom w:val="none" w:sz="0" w:space="0" w:color="auto"/>
                        <w:right w:val="none" w:sz="0" w:space="0" w:color="auto"/>
                      </w:divBdr>
                    </w:div>
                  </w:divsChild>
                </w:div>
                <w:div w:id="190337021">
                  <w:marLeft w:val="0"/>
                  <w:marRight w:val="0"/>
                  <w:marTop w:val="0"/>
                  <w:marBottom w:val="0"/>
                  <w:divBdr>
                    <w:top w:val="none" w:sz="0" w:space="0" w:color="auto"/>
                    <w:left w:val="none" w:sz="0" w:space="0" w:color="auto"/>
                    <w:bottom w:val="none" w:sz="0" w:space="0" w:color="auto"/>
                    <w:right w:val="none" w:sz="0" w:space="0" w:color="auto"/>
                  </w:divBdr>
                  <w:divsChild>
                    <w:div w:id="1222057172">
                      <w:marLeft w:val="0"/>
                      <w:marRight w:val="0"/>
                      <w:marTop w:val="0"/>
                      <w:marBottom w:val="0"/>
                      <w:divBdr>
                        <w:top w:val="none" w:sz="0" w:space="0" w:color="auto"/>
                        <w:left w:val="none" w:sz="0" w:space="0" w:color="auto"/>
                        <w:bottom w:val="none" w:sz="0" w:space="0" w:color="auto"/>
                        <w:right w:val="none" w:sz="0" w:space="0" w:color="auto"/>
                      </w:divBdr>
                    </w:div>
                  </w:divsChild>
                </w:div>
                <w:div w:id="413088212">
                  <w:marLeft w:val="0"/>
                  <w:marRight w:val="0"/>
                  <w:marTop w:val="0"/>
                  <w:marBottom w:val="0"/>
                  <w:divBdr>
                    <w:top w:val="none" w:sz="0" w:space="0" w:color="auto"/>
                    <w:left w:val="none" w:sz="0" w:space="0" w:color="auto"/>
                    <w:bottom w:val="none" w:sz="0" w:space="0" w:color="auto"/>
                    <w:right w:val="none" w:sz="0" w:space="0" w:color="auto"/>
                  </w:divBdr>
                  <w:divsChild>
                    <w:div w:id="1198468510">
                      <w:marLeft w:val="0"/>
                      <w:marRight w:val="0"/>
                      <w:marTop w:val="0"/>
                      <w:marBottom w:val="0"/>
                      <w:divBdr>
                        <w:top w:val="none" w:sz="0" w:space="0" w:color="auto"/>
                        <w:left w:val="none" w:sz="0" w:space="0" w:color="auto"/>
                        <w:bottom w:val="none" w:sz="0" w:space="0" w:color="auto"/>
                        <w:right w:val="none" w:sz="0" w:space="0" w:color="auto"/>
                      </w:divBdr>
                    </w:div>
                  </w:divsChild>
                </w:div>
                <w:div w:id="1948003044">
                  <w:marLeft w:val="0"/>
                  <w:marRight w:val="0"/>
                  <w:marTop w:val="0"/>
                  <w:marBottom w:val="0"/>
                  <w:divBdr>
                    <w:top w:val="none" w:sz="0" w:space="0" w:color="auto"/>
                    <w:left w:val="none" w:sz="0" w:space="0" w:color="auto"/>
                    <w:bottom w:val="none" w:sz="0" w:space="0" w:color="auto"/>
                    <w:right w:val="none" w:sz="0" w:space="0" w:color="auto"/>
                  </w:divBdr>
                  <w:divsChild>
                    <w:div w:id="196895640">
                      <w:marLeft w:val="0"/>
                      <w:marRight w:val="0"/>
                      <w:marTop w:val="0"/>
                      <w:marBottom w:val="0"/>
                      <w:divBdr>
                        <w:top w:val="none" w:sz="0" w:space="0" w:color="auto"/>
                        <w:left w:val="none" w:sz="0" w:space="0" w:color="auto"/>
                        <w:bottom w:val="none" w:sz="0" w:space="0" w:color="auto"/>
                        <w:right w:val="none" w:sz="0" w:space="0" w:color="auto"/>
                      </w:divBdr>
                    </w:div>
                  </w:divsChild>
                </w:div>
                <w:div w:id="1209030279">
                  <w:marLeft w:val="0"/>
                  <w:marRight w:val="0"/>
                  <w:marTop w:val="0"/>
                  <w:marBottom w:val="0"/>
                  <w:divBdr>
                    <w:top w:val="none" w:sz="0" w:space="0" w:color="auto"/>
                    <w:left w:val="none" w:sz="0" w:space="0" w:color="auto"/>
                    <w:bottom w:val="none" w:sz="0" w:space="0" w:color="auto"/>
                    <w:right w:val="none" w:sz="0" w:space="0" w:color="auto"/>
                  </w:divBdr>
                  <w:divsChild>
                    <w:div w:id="1928609374">
                      <w:marLeft w:val="0"/>
                      <w:marRight w:val="0"/>
                      <w:marTop w:val="0"/>
                      <w:marBottom w:val="0"/>
                      <w:divBdr>
                        <w:top w:val="none" w:sz="0" w:space="0" w:color="auto"/>
                        <w:left w:val="none" w:sz="0" w:space="0" w:color="auto"/>
                        <w:bottom w:val="none" w:sz="0" w:space="0" w:color="auto"/>
                        <w:right w:val="none" w:sz="0" w:space="0" w:color="auto"/>
                      </w:divBdr>
                    </w:div>
                  </w:divsChild>
                </w:div>
                <w:div w:id="1168060396">
                  <w:marLeft w:val="0"/>
                  <w:marRight w:val="0"/>
                  <w:marTop w:val="0"/>
                  <w:marBottom w:val="0"/>
                  <w:divBdr>
                    <w:top w:val="none" w:sz="0" w:space="0" w:color="auto"/>
                    <w:left w:val="none" w:sz="0" w:space="0" w:color="auto"/>
                    <w:bottom w:val="none" w:sz="0" w:space="0" w:color="auto"/>
                    <w:right w:val="none" w:sz="0" w:space="0" w:color="auto"/>
                  </w:divBdr>
                  <w:divsChild>
                    <w:div w:id="618102308">
                      <w:marLeft w:val="0"/>
                      <w:marRight w:val="0"/>
                      <w:marTop w:val="0"/>
                      <w:marBottom w:val="0"/>
                      <w:divBdr>
                        <w:top w:val="none" w:sz="0" w:space="0" w:color="auto"/>
                        <w:left w:val="none" w:sz="0" w:space="0" w:color="auto"/>
                        <w:bottom w:val="none" w:sz="0" w:space="0" w:color="auto"/>
                        <w:right w:val="none" w:sz="0" w:space="0" w:color="auto"/>
                      </w:divBdr>
                    </w:div>
                  </w:divsChild>
                </w:div>
                <w:div w:id="68772829">
                  <w:marLeft w:val="0"/>
                  <w:marRight w:val="0"/>
                  <w:marTop w:val="0"/>
                  <w:marBottom w:val="0"/>
                  <w:divBdr>
                    <w:top w:val="none" w:sz="0" w:space="0" w:color="auto"/>
                    <w:left w:val="none" w:sz="0" w:space="0" w:color="auto"/>
                    <w:bottom w:val="none" w:sz="0" w:space="0" w:color="auto"/>
                    <w:right w:val="none" w:sz="0" w:space="0" w:color="auto"/>
                  </w:divBdr>
                  <w:divsChild>
                    <w:div w:id="408814492">
                      <w:marLeft w:val="0"/>
                      <w:marRight w:val="0"/>
                      <w:marTop w:val="0"/>
                      <w:marBottom w:val="0"/>
                      <w:divBdr>
                        <w:top w:val="none" w:sz="0" w:space="0" w:color="auto"/>
                        <w:left w:val="none" w:sz="0" w:space="0" w:color="auto"/>
                        <w:bottom w:val="none" w:sz="0" w:space="0" w:color="auto"/>
                        <w:right w:val="none" w:sz="0" w:space="0" w:color="auto"/>
                      </w:divBdr>
                    </w:div>
                  </w:divsChild>
                </w:div>
                <w:div w:id="591742296">
                  <w:marLeft w:val="0"/>
                  <w:marRight w:val="0"/>
                  <w:marTop w:val="0"/>
                  <w:marBottom w:val="0"/>
                  <w:divBdr>
                    <w:top w:val="none" w:sz="0" w:space="0" w:color="auto"/>
                    <w:left w:val="none" w:sz="0" w:space="0" w:color="auto"/>
                    <w:bottom w:val="none" w:sz="0" w:space="0" w:color="auto"/>
                    <w:right w:val="none" w:sz="0" w:space="0" w:color="auto"/>
                  </w:divBdr>
                  <w:divsChild>
                    <w:div w:id="898830375">
                      <w:marLeft w:val="0"/>
                      <w:marRight w:val="0"/>
                      <w:marTop w:val="0"/>
                      <w:marBottom w:val="0"/>
                      <w:divBdr>
                        <w:top w:val="none" w:sz="0" w:space="0" w:color="auto"/>
                        <w:left w:val="none" w:sz="0" w:space="0" w:color="auto"/>
                        <w:bottom w:val="none" w:sz="0" w:space="0" w:color="auto"/>
                        <w:right w:val="none" w:sz="0" w:space="0" w:color="auto"/>
                      </w:divBdr>
                    </w:div>
                  </w:divsChild>
                </w:div>
                <w:div w:id="2126383999">
                  <w:marLeft w:val="0"/>
                  <w:marRight w:val="0"/>
                  <w:marTop w:val="0"/>
                  <w:marBottom w:val="0"/>
                  <w:divBdr>
                    <w:top w:val="none" w:sz="0" w:space="0" w:color="auto"/>
                    <w:left w:val="none" w:sz="0" w:space="0" w:color="auto"/>
                    <w:bottom w:val="none" w:sz="0" w:space="0" w:color="auto"/>
                    <w:right w:val="none" w:sz="0" w:space="0" w:color="auto"/>
                  </w:divBdr>
                  <w:divsChild>
                    <w:div w:id="1629778058">
                      <w:marLeft w:val="0"/>
                      <w:marRight w:val="0"/>
                      <w:marTop w:val="0"/>
                      <w:marBottom w:val="0"/>
                      <w:divBdr>
                        <w:top w:val="none" w:sz="0" w:space="0" w:color="auto"/>
                        <w:left w:val="none" w:sz="0" w:space="0" w:color="auto"/>
                        <w:bottom w:val="none" w:sz="0" w:space="0" w:color="auto"/>
                        <w:right w:val="none" w:sz="0" w:space="0" w:color="auto"/>
                      </w:divBdr>
                    </w:div>
                  </w:divsChild>
                </w:div>
                <w:div w:id="1499808146">
                  <w:marLeft w:val="0"/>
                  <w:marRight w:val="0"/>
                  <w:marTop w:val="0"/>
                  <w:marBottom w:val="0"/>
                  <w:divBdr>
                    <w:top w:val="none" w:sz="0" w:space="0" w:color="auto"/>
                    <w:left w:val="none" w:sz="0" w:space="0" w:color="auto"/>
                    <w:bottom w:val="none" w:sz="0" w:space="0" w:color="auto"/>
                    <w:right w:val="none" w:sz="0" w:space="0" w:color="auto"/>
                  </w:divBdr>
                  <w:divsChild>
                    <w:div w:id="363136193">
                      <w:marLeft w:val="0"/>
                      <w:marRight w:val="0"/>
                      <w:marTop w:val="0"/>
                      <w:marBottom w:val="0"/>
                      <w:divBdr>
                        <w:top w:val="none" w:sz="0" w:space="0" w:color="auto"/>
                        <w:left w:val="none" w:sz="0" w:space="0" w:color="auto"/>
                        <w:bottom w:val="none" w:sz="0" w:space="0" w:color="auto"/>
                        <w:right w:val="none" w:sz="0" w:space="0" w:color="auto"/>
                      </w:divBdr>
                    </w:div>
                  </w:divsChild>
                </w:div>
                <w:div w:id="520631704">
                  <w:marLeft w:val="0"/>
                  <w:marRight w:val="0"/>
                  <w:marTop w:val="0"/>
                  <w:marBottom w:val="0"/>
                  <w:divBdr>
                    <w:top w:val="none" w:sz="0" w:space="0" w:color="auto"/>
                    <w:left w:val="none" w:sz="0" w:space="0" w:color="auto"/>
                    <w:bottom w:val="none" w:sz="0" w:space="0" w:color="auto"/>
                    <w:right w:val="none" w:sz="0" w:space="0" w:color="auto"/>
                  </w:divBdr>
                  <w:divsChild>
                    <w:div w:id="1594045181">
                      <w:marLeft w:val="0"/>
                      <w:marRight w:val="0"/>
                      <w:marTop w:val="0"/>
                      <w:marBottom w:val="0"/>
                      <w:divBdr>
                        <w:top w:val="none" w:sz="0" w:space="0" w:color="auto"/>
                        <w:left w:val="none" w:sz="0" w:space="0" w:color="auto"/>
                        <w:bottom w:val="none" w:sz="0" w:space="0" w:color="auto"/>
                        <w:right w:val="none" w:sz="0" w:space="0" w:color="auto"/>
                      </w:divBdr>
                    </w:div>
                  </w:divsChild>
                </w:div>
                <w:div w:id="1655840852">
                  <w:marLeft w:val="0"/>
                  <w:marRight w:val="0"/>
                  <w:marTop w:val="0"/>
                  <w:marBottom w:val="0"/>
                  <w:divBdr>
                    <w:top w:val="none" w:sz="0" w:space="0" w:color="auto"/>
                    <w:left w:val="none" w:sz="0" w:space="0" w:color="auto"/>
                    <w:bottom w:val="none" w:sz="0" w:space="0" w:color="auto"/>
                    <w:right w:val="none" w:sz="0" w:space="0" w:color="auto"/>
                  </w:divBdr>
                  <w:divsChild>
                    <w:div w:id="638994499">
                      <w:marLeft w:val="0"/>
                      <w:marRight w:val="0"/>
                      <w:marTop w:val="0"/>
                      <w:marBottom w:val="0"/>
                      <w:divBdr>
                        <w:top w:val="none" w:sz="0" w:space="0" w:color="auto"/>
                        <w:left w:val="none" w:sz="0" w:space="0" w:color="auto"/>
                        <w:bottom w:val="none" w:sz="0" w:space="0" w:color="auto"/>
                        <w:right w:val="none" w:sz="0" w:space="0" w:color="auto"/>
                      </w:divBdr>
                    </w:div>
                  </w:divsChild>
                </w:div>
                <w:div w:id="783116332">
                  <w:marLeft w:val="0"/>
                  <w:marRight w:val="0"/>
                  <w:marTop w:val="0"/>
                  <w:marBottom w:val="0"/>
                  <w:divBdr>
                    <w:top w:val="none" w:sz="0" w:space="0" w:color="auto"/>
                    <w:left w:val="none" w:sz="0" w:space="0" w:color="auto"/>
                    <w:bottom w:val="none" w:sz="0" w:space="0" w:color="auto"/>
                    <w:right w:val="none" w:sz="0" w:space="0" w:color="auto"/>
                  </w:divBdr>
                  <w:divsChild>
                    <w:div w:id="1508323296">
                      <w:marLeft w:val="0"/>
                      <w:marRight w:val="0"/>
                      <w:marTop w:val="0"/>
                      <w:marBottom w:val="0"/>
                      <w:divBdr>
                        <w:top w:val="none" w:sz="0" w:space="0" w:color="auto"/>
                        <w:left w:val="none" w:sz="0" w:space="0" w:color="auto"/>
                        <w:bottom w:val="none" w:sz="0" w:space="0" w:color="auto"/>
                        <w:right w:val="none" w:sz="0" w:space="0" w:color="auto"/>
                      </w:divBdr>
                    </w:div>
                  </w:divsChild>
                </w:div>
                <w:div w:id="1034304821">
                  <w:marLeft w:val="0"/>
                  <w:marRight w:val="0"/>
                  <w:marTop w:val="0"/>
                  <w:marBottom w:val="0"/>
                  <w:divBdr>
                    <w:top w:val="none" w:sz="0" w:space="0" w:color="auto"/>
                    <w:left w:val="none" w:sz="0" w:space="0" w:color="auto"/>
                    <w:bottom w:val="none" w:sz="0" w:space="0" w:color="auto"/>
                    <w:right w:val="none" w:sz="0" w:space="0" w:color="auto"/>
                  </w:divBdr>
                  <w:divsChild>
                    <w:div w:id="96142982">
                      <w:marLeft w:val="0"/>
                      <w:marRight w:val="0"/>
                      <w:marTop w:val="0"/>
                      <w:marBottom w:val="0"/>
                      <w:divBdr>
                        <w:top w:val="none" w:sz="0" w:space="0" w:color="auto"/>
                        <w:left w:val="none" w:sz="0" w:space="0" w:color="auto"/>
                        <w:bottom w:val="none" w:sz="0" w:space="0" w:color="auto"/>
                        <w:right w:val="none" w:sz="0" w:space="0" w:color="auto"/>
                      </w:divBdr>
                    </w:div>
                  </w:divsChild>
                </w:div>
                <w:div w:id="1565870041">
                  <w:marLeft w:val="0"/>
                  <w:marRight w:val="0"/>
                  <w:marTop w:val="0"/>
                  <w:marBottom w:val="0"/>
                  <w:divBdr>
                    <w:top w:val="none" w:sz="0" w:space="0" w:color="auto"/>
                    <w:left w:val="none" w:sz="0" w:space="0" w:color="auto"/>
                    <w:bottom w:val="none" w:sz="0" w:space="0" w:color="auto"/>
                    <w:right w:val="none" w:sz="0" w:space="0" w:color="auto"/>
                  </w:divBdr>
                  <w:divsChild>
                    <w:div w:id="9549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73177">
      <w:bodyDiv w:val="1"/>
      <w:marLeft w:val="0"/>
      <w:marRight w:val="0"/>
      <w:marTop w:val="0"/>
      <w:marBottom w:val="0"/>
      <w:divBdr>
        <w:top w:val="none" w:sz="0" w:space="0" w:color="auto"/>
        <w:left w:val="none" w:sz="0" w:space="0" w:color="auto"/>
        <w:bottom w:val="none" w:sz="0" w:space="0" w:color="auto"/>
        <w:right w:val="none" w:sz="0" w:space="0" w:color="auto"/>
      </w:divBdr>
      <w:divsChild>
        <w:div w:id="485704652">
          <w:marLeft w:val="0"/>
          <w:marRight w:val="0"/>
          <w:marTop w:val="0"/>
          <w:marBottom w:val="0"/>
          <w:divBdr>
            <w:top w:val="none" w:sz="0" w:space="0" w:color="auto"/>
            <w:left w:val="none" w:sz="0" w:space="0" w:color="auto"/>
            <w:bottom w:val="none" w:sz="0" w:space="0" w:color="auto"/>
            <w:right w:val="none" w:sz="0" w:space="0" w:color="auto"/>
          </w:divBdr>
          <w:divsChild>
            <w:div w:id="375742812">
              <w:marLeft w:val="0"/>
              <w:marRight w:val="0"/>
              <w:marTop w:val="0"/>
              <w:marBottom w:val="0"/>
              <w:divBdr>
                <w:top w:val="none" w:sz="0" w:space="0" w:color="auto"/>
                <w:left w:val="none" w:sz="0" w:space="0" w:color="auto"/>
                <w:bottom w:val="none" w:sz="0" w:space="0" w:color="auto"/>
                <w:right w:val="none" w:sz="0" w:space="0" w:color="auto"/>
              </w:divBdr>
              <w:divsChild>
                <w:div w:id="13416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241343">
      <w:bodyDiv w:val="1"/>
      <w:marLeft w:val="0"/>
      <w:marRight w:val="0"/>
      <w:marTop w:val="0"/>
      <w:marBottom w:val="0"/>
      <w:divBdr>
        <w:top w:val="none" w:sz="0" w:space="0" w:color="auto"/>
        <w:left w:val="none" w:sz="0" w:space="0" w:color="auto"/>
        <w:bottom w:val="none" w:sz="0" w:space="0" w:color="auto"/>
        <w:right w:val="none" w:sz="0" w:space="0" w:color="auto"/>
      </w:divBdr>
    </w:div>
    <w:div w:id="387728273">
      <w:bodyDiv w:val="1"/>
      <w:marLeft w:val="0"/>
      <w:marRight w:val="0"/>
      <w:marTop w:val="0"/>
      <w:marBottom w:val="0"/>
      <w:divBdr>
        <w:top w:val="none" w:sz="0" w:space="0" w:color="auto"/>
        <w:left w:val="none" w:sz="0" w:space="0" w:color="auto"/>
        <w:bottom w:val="none" w:sz="0" w:space="0" w:color="auto"/>
        <w:right w:val="none" w:sz="0" w:space="0" w:color="auto"/>
      </w:divBdr>
    </w:div>
    <w:div w:id="606161382">
      <w:bodyDiv w:val="1"/>
      <w:marLeft w:val="0"/>
      <w:marRight w:val="0"/>
      <w:marTop w:val="0"/>
      <w:marBottom w:val="0"/>
      <w:divBdr>
        <w:top w:val="none" w:sz="0" w:space="0" w:color="auto"/>
        <w:left w:val="none" w:sz="0" w:space="0" w:color="auto"/>
        <w:bottom w:val="none" w:sz="0" w:space="0" w:color="auto"/>
        <w:right w:val="none" w:sz="0" w:space="0" w:color="auto"/>
      </w:divBdr>
    </w:div>
    <w:div w:id="1263880392">
      <w:bodyDiv w:val="1"/>
      <w:marLeft w:val="0"/>
      <w:marRight w:val="0"/>
      <w:marTop w:val="0"/>
      <w:marBottom w:val="0"/>
      <w:divBdr>
        <w:top w:val="none" w:sz="0" w:space="0" w:color="auto"/>
        <w:left w:val="none" w:sz="0" w:space="0" w:color="auto"/>
        <w:bottom w:val="none" w:sz="0" w:space="0" w:color="auto"/>
        <w:right w:val="none" w:sz="0" w:space="0" w:color="auto"/>
      </w:divBdr>
    </w:div>
    <w:div w:id="1429811178">
      <w:bodyDiv w:val="1"/>
      <w:marLeft w:val="0"/>
      <w:marRight w:val="0"/>
      <w:marTop w:val="0"/>
      <w:marBottom w:val="0"/>
      <w:divBdr>
        <w:top w:val="none" w:sz="0" w:space="0" w:color="auto"/>
        <w:left w:val="none" w:sz="0" w:space="0" w:color="auto"/>
        <w:bottom w:val="none" w:sz="0" w:space="0" w:color="auto"/>
        <w:right w:val="none" w:sz="0" w:space="0" w:color="auto"/>
      </w:divBdr>
      <w:divsChild>
        <w:div w:id="1459029378">
          <w:marLeft w:val="0"/>
          <w:marRight w:val="0"/>
          <w:marTop w:val="0"/>
          <w:marBottom w:val="0"/>
          <w:divBdr>
            <w:top w:val="none" w:sz="0" w:space="0" w:color="auto"/>
            <w:left w:val="none" w:sz="0" w:space="0" w:color="auto"/>
            <w:bottom w:val="none" w:sz="0" w:space="0" w:color="auto"/>
            <w:right w:val="none" w:sz="0" w:space="0" w:color="auto"/>
          </w:divBdr>
          <w:divsChild>
            <w:div w:id="746534408">
              <w:marLeft w:val="0"/>
              <w:marRight w:val="0"/>
              <w:marTop w:val="0"/>
              <w:marBottom w:val="0"/>
              <w:divBdr>
                <w:top w:val="none" w:sz="0" w:space="0" w:color="auto"/>
                <w:left w:val="none" w:sz="0" w:space="0" w:color="auto"/>
                <w:bottom w:val="none" w:sz="0" w:space="0" w:color="auto"/>
                <w:right w:val="none" w:sz="0" w:space="0" w:color="auto"/>
              </w:divBdr>
              <w:divsChild>
                <w:div w:id="367876644">
                  <w:marLeft w:val="0"/>
                  <w:marRight w:val="0"/>
                  <w:marTop w:val="0"/>
                  <w:marBottom w:val="0"/>
                  <w:divBdr>
                    <w:top w:val="none" w:sz="0" w:space="0" w:color="auto"/>
                    <w:left w:val="none" w:sz="0" w:space="0" w:color="auto"/>
                    <w:bottom w:val="none" w:sz="0" w:space="0" w:color="auto"/>
                    <w:right w:val="none" w:sz="0" w:space="0" w:color="auto"/>
                  </w:divBdr>
                  <w:divsChild>
                    <w:div w:id="1232889413">
                      <w:marLeft w:val="0"/>
                      <w:marRight w:val="0"/>
                      <w:marTop w:val="0"/>
                      <w:marBottom w:val="0"/>
                      <w:divBdr>
                        <w:top w:val="none" w:sz="0" w:space="0" w:color="auto"/>
                        <w:left w:val="none" w:sz="0" w:space="0" w:color="auto"/>
                        <w:bottom w:val="none" w:sz="0" w:space="0" w:color="auto"/>
                        <w:right w:val="none" w:sz="0" w:space="0" w:color="auto"/>
                      </w:divBdr>
                    </w:div>
                  </w:divsChild>
                </w:div>
                <w:div w:id="221600111">
                  <w:marLeft w:val="0"/>
                  <w:marRight w:val="0"/>
                  <w:marTop w:val="0"/>
                  <w:marBottom w:val="0"/>
                  <w:divBdr>
                    <w:top w:val="none" w:sz="0" w:space="0" w:color="auto"/>
                    <w:left w:val="none" w:sz="0" w:space="0" w:color="auto"/>
                    <w:bottom w:val="none" w:sz="0" w:space="0" w:color="auto"/>
                    <w:right w:val="none" w:sz="0" w:space="0" w:color="auto"/>
                  </w:divBdr>
                  <w:divsChild>
                    <w:div w:id="977150405">
                      <w:marLeft w:val="0"/>
                      <w:marRight w:val="0"/>
                      <w:marTop w:val="0"/>
                      <w:marBottom w:val="0"/>
                      <w:divBdr>
                        <w:top w:val="none" w:sz="0" w:space="0" w:color="auto"/>
                        <w:left w:val="none" w:sz="0" w:space="0" w:color="auto"/>
                        <w:bottom w:val="none" w:sz="0" w:space="0" w:color="auto"/>
                        <w:right w:val="none" w:sz="0" w:space="0" w:color="auto"/>
                      </w:divBdr>
                    </w:div>
                  </w:divsChild>
                </w:div>
                <w:div w:id="1979607412">
                  <w:marLeft w:val="0"/>
                  <w:marRight w:val="0"/>
                  <w:marTop w:val="0"/>
                  <w:marBottom w:val="0"/>
                  <w:divBdr>
                    <w:top w:val="none" w:sz="0" w:space="0" w:color="auto"/>
                    <w:left w:val="none" w:sz="0" w:space="0" w:color="auto"/>
                    <w:bottom w:val="none" w:sz="0" w:space="0" w:color="auto"/>
                    <w:right w:val="none" w:sz="0" w:space="0" w:color="auto"/>
                  </w:divBdr>
                  <w:divsChild>
                    <w:div w:id="381366709">
                      <w:marLeft w:val="0"/>
                      <w:marRight w:val="0"/>
                      <w:marTop w:val="0"/>
                      <w:marBottom w:val="0"/>
                      <w:divBdr>
                        <w:top w:val="none" w:sz="0" w:space="0" w:color="auto"/>
                        <w:left w:val="none" w:sz="0" w:space="0" w:color="auto"/>
                        <w:bottom w:val="none" w:sz="0" w:space="0" w:color="auto"/>
                        <w:right w:val="none" w:sz="0" w:space="0" w:color="auto"/>
                      </w:divBdr>
                    </w:div>
                  </w:divsChild>
                </w:div>
                <w:div w:id="460155290">
                  <w:marLeft w:val="0"/>
                  <w:marRight w:val="0"/>
                  <w:marTop w:val="0"/>
                  <w:marBottom w:val="0"/>
                  <w:divBdr>
                    <w:top w:val="none" w:sz="0" w:space="0" w:color="auto"/>
                    <w:left w:val="none" w:sz="0" w:space="0" w:color="auto"/>
                    <w:bottom w:val="none" w:sz="0" w:space="0" w:color="auto"/>
                    <w:right w:val="none" w:sz="0" w:space="0" w:color="auto"/>
                  </w:divBdr>
                  <w:divsChild>
                    <w:div w:id="831868227">
                      <w:marLeft w:val="0"/>
                      <w:marRight w:val="0"/>
                      <w:marTop w:val="0"/>
                      <w:marBottom w:val="0"/>
                      <w:divBdr>
                        <w:top w:val="none" w:sz="0" w:space="0" w:color="auto"/>
                        <w:left w:val="none" w:sz="0" w:space="0" w:color="auto"/>
                        <w:bottom w:val="none" w:sz="0" w:space="0" w:color="auto"/>
                        <w:right w:val="none" w:sz="0" w:space="0" w:color="auto"/>
                      </w:divBdr>
                    </w:div>
                  </w:divsChild>
                </w:div>
                <w:div w:id="1654482805">
                  <w:marLeft w:val="0"/>
                  <w:marRight w:val="0"/>
                  <w:marTop w:val="0"/>
                  <w:marBottom w:val="0"/>
                  <w:divBdr>
                    <w:top w:val="none" w:sz="0" w:space="0" w:color="auto"/>
                    <w:left w:val="none" w:sz="0" w:space="0" w:color="auto"/>
                    <w:bottom w:val="none" w:sz="0" w:space="0" w:color="auto"/>
                    <w:right w:val="none" w:sz="0" w:space="0" w:color="auto"/>
                  </w:divBdr>
                  <w:divsChild>
                    <w:div w:id="1412894323">
                      <w:marLeft w:val="0"/>
                      <w:marRight w:val="0"/>
                      <w:marTop w:val="0"/>
                      <w:marBottom w:val="0"/>
                      <w:divBdr>
                        <w:top w:val="none" w:sz="0" w:space="0" w:color="auto"/>
                        <w:left w:val="none" w:sz="0" w:space="0" w:color="auto"/>
                        <w:bottom w:val="none" w:sz="0" w:space="0" w:color="auto"/>
                        <w:right w:val="none" w:sz="0" w:space="0" w:color="auto"/>
                      </w:divBdr>
                    </w:div>
                  </w:divsChild>
                </w:div>
                <w:div w:id="1141464526">
                  <w:marLeft w:val="0"/>
                  <w:marRight w:val="0"/>
                  <w:marTop w:val="0"/>
                  <w:marBottom w:val="0"/>
                  <w:divBdr>
                    <w:top w:val="none" w:sz="0" w:space="0" w:color="auto"/>
                    <w:left w:val="none" w:sz="0" w:space="0" w:color="auto"/>
                    <w:bottom w:val="none" w:sz="0" w:space="0" w:color="auto"/>
                    <w:right w:val="none" w:sz="0" w:space="0" w:color="auto"/>
                  </w:divBdr>
                  <w:divsChild>
                    <w:div w:id="172959008">
                      <w:marLeft w:val="0"/>
                      <w:marRight w:val="0"/>
                      <w:marTop w:val="0"/>
                      <w:marBottom w:val="0"/>
                      <w:divBdr>
                        <w:top w:val="none" w:sz="0" w:space="0" w:color="auto"/>
                        <w:left w:val="none" w:sz="0" w:space="0" w:color="auto"/>
                        <w:bottom w:val="none" w:sz="0" w:space="0" w:color="auto"/>
                        <w:right w:val="none" w:sz="0" w:space="0" w:color="auto"/>
                      </w:divBdr>
                    </w:div>
                  </w:divsChild>
                </w:div>
                <w:div w:id="1926067918">
                  <w:marLeft w:val="0"/>
                  <w:marRight w:val="0"/>
                  <w:marTop w:val="0"/>
                  <w:marBottom w:val="0"/>
                  <w:divBdr>
                    <w:top w:val="none" w:sz="0" w:space="0" w:color="auto"/>
                    <w:left w:val="none" w:sz="0" w:space="0" w:color="auto"/>
                    <w:bottom w:val="none" w:sz="0" w:space="0" w:color="auto"/>
                    <w:right w:val="none" w:sz="0" w:space="0" w:color="auto"/>
                  </w:divBdr>
                  <w:divsChild>
                    <w:div w:id="968390874">
                      <w:marLeft w:val="0"/>
                      <w:marRight w:val="0"/>
                      <w:marTop w:val="0"/>
                      <w:marBottom w:val="0"/>
                      <w:divBdr>
                        <w:top w:val="none" w:sz="0" w:space="0" w:color="auto"/>
                        <w:left w:val="none" w:sz="0" w:space="0" w:color="auto"/>
                        <w:bottom w:val="none" w:sz="0" w:space="0" w:color="auto"/>
                        <w:right w:val="none" w:sz="0" w:space="0" w:color="auto"/>
                      </w:divBdr>
                    </w:div>
                  </w:divsChild>
                </w:div>
                <w:div w:id="234752478">
                  <w:marLeft w:val="0"/>
                  <w:marRight w:val="0"/>
                  <w:marTop w:val="0"/>
                  <w:marBottom w:val="0"/>
                  <w:divBdr>
                    <w:top w:val="none" w:sz="0" w:space="0" w:color="auto"/>
                    <w:left w:val="none" w:sz="0" w:space="0" w:color="auto"/>
                    <w:bottom w:val="none" w:sz="0" w:space="0" w:color="auto"/>
                    <w:right w:val="none" w:sz="0" w:space="0" w:color="auto"/>
                  </w:divBdr>
                  <w:divsChild>
                    <w:div w:id="1859663336">
                      <w:marLeft w:val="0"/>
                      <w:marRight w:val="0"/>
                      <w:marTop w:val="0"/>
                      <w:marBottom w:val="0"/>
                      <w:divBdr>
                        <w:top w:val="none" w:sz="0" w:space="0" w:color="auto"/>
                        <w:left w:val="none" w:sz="0" w:space="0" w:color="auto"/>
                        <w:bottom w:val="none" w:sz="0" w:space="0" w:color="auto"/>
                        <w:right w:val="none" w:sz="0" w:space="0" w:color="auto"/>
                      </w:divBdr>
                    </w:div>
                  </w:divsChild>
                </w:div>
                <w:div w:id="212431651">
                  <w:marLeft w:val="0"/>
                  <w:marRight w:val="0"/>
                  <w:marTop w:val="0"/>
                  <w:marBottom w:val="0"/>
                  <w:divBdr>
                    <w:top w:val="none" w:sz="0" w:space="0" w:color="auto"/>
                    <w:left w:val="none" w:sz="0" w:space="0" w:color="auto"/>
                    <w:bottom w:val="none" w:sz="0" w:space="0" w:color="auto"/>
                    <w:right w:val="none" w:sz="0" w:space="0" w:color="auto"/>
                  </w:divBdr>
                  <w:divsChild>
                    <w:div w:id="712078241">
                      <w:marLeft w:val="0"/>
                      <w:marRight w:val="0"/>
                      <w:marTop w:val="0"/>
                      <w:marBottom w:val="0"/>
                      <w:divBdr>
                        <w:top w:val="none" w:sz="0" w:space="0" w:color="auto"/>
                        <w:left w:val="none" w:sz="0" w:space="0" w:color="auto"/>
                        <w:bottom w:val="none" w:sz="0" w:space="0" w:color="auto"/>
                        <w:right w:val="none" w:sz="0" w:space="0" w:color="auto"/>
                      </w:divBdr>
                    </w:div>
                  </w:divsChild>
                </w:div>
                <w:div w:id="1535728648">
                  <w:marLeft w:val="0"/>
                  <w:marRight w:val="0"/>
                  <w:marTop w:val="0"/>
                  <w:marBottom w:val="0"/>
                  <w:divBdr>
                    <w:top w:val="none" w:sz="0" w:space="0" w:color="auto"/>
                    <w:left w:val="none" w:sz="0" w:space="0" w:color="auto"/>
                    <w:bottom w:val="none" w:sz="0" w:space="0" w:color="auto"/>
                    <w:right w:val="none" w:sz="0" w:space="0" w:color="auto"/>
                  </w:divBdr>
                  <w:divsChild>
                    <w:div w:id="937907628">
                      <w:marLeft w:val="0"/>
                      <w:marRight w:val="0"/>
                      <w:marTop w:val="0"/>
                      <w:marBottom w:val="0"/>
                      <w:divBdr>
                        <w:top w:val="none" w:sz="0" w:space="0" w:color="auto"/>
                        <w:left w:val="none" w:sz="0" w:space="0" w:color="auto"/>
                        <w:bottom w:val="none" w:sz="0" w:space="0" w:color="auto"/>
                        <w:right w:val="none" w:sz="0" w:space="0" w:color="auto"/>
                      </w:divBdr>
                    </w:div>
                  </w:divsChild>
                </w:div>
                <w:div w:id="2010791101">
                  <w:marLeft w:val="0"/>
                  <w:marRight w:val="0"/>
                  <w:marTop w:val="0"/>
                  <w:marBottom w:val="0"/>
                  <w:divBdr>
                    <w:top w:val="none" w:sz="0" w:space="0" w:color="auto"/>
                    <w:left w:val="none" w:sz="0" w:space="0" w:color="auto"/>
                    <w:bottom w:val="none" w:sz="0" w:space="0" w:color="auto"/>
                    <w:right w:val="none" w:sz="0" w:space="0" w:color="auto"/>
                  </w:divBdr>
                  <w:divsChild>
                    <w:div w:id="1273974596">
                      <w:marLeft w:val="0"/>
                      <w:marRight w:val="0"/>
                      <w:marTop w:val="0"/>
                      <w:marBottom w:val="0"/>
                      <w:divBdr>
                        <w:top w:val="none" w:sz="0" w:space="0" w:color="auto"/>
                        <w:left w:val="none" w:sz="0" w:space="0" w:color="auto"/>
                        <w:bottom w:val="none" w:sz="0" w:space="0" w:color="auto"/>
                        <w:right w:val="none" w:sz="0" w:space="0" w:color="auto"/>
                      </w:divBdr>
                    </w:div>
                  </w:divsChild>
                </w:div>
                <w:div w:id="1801529549">
                  <w:marLeft w:val="0"/>
                  <w:marRight w:val="0"/>
                  <w:marTop w:val="0"/>
                  <w:marBottom w:val="0"/>
                  <w:divBdr>
                    <w:top w:val="none" w:sz="0" w:space="0" w:color="auto"/>
                    <w:left w:val="none" w:sz="0" w:space="0" w:color="auto"/>
                    <w:bottom w:val="none" w:sz="0" w:space="0" w:color="auto"/>
                    <w:right w:val="none" w:sz="0" w:space="0" w:color="auto"/>
                  </w:divBdr>
                  <w:divsChild>
                    <w:div w:id="1222400159">
                      <w:marLeft w:val="0"/>
                      <w:marRight w:val="0"/>
                      <w:marTop w:val="0"/>
                      <w:marBottom w:val="0"/>
                      <w:divBdr>
                        <w:top w:val="none" w:sz="0" w:space="0" w:color="auto"/>
                        <w:left w:val="none" w:sz="0" w:space="0" w:color="auto"/>
                        <w:bottom w:val="none" w:sz="0" w:space="0" w:color="auto"/>
                        <w:right w:val="none" w:sz="0" w:space="0" w:color="auto"/>
                      </w:divBdr>
                    </w:div>
                  </w:divsChild>
                </w:div>
                <w:div w:id="1369378482">
                  <w:marLeft w:val="0"/>
                  <w:marRight w:val="0"/>
                  <w:marTop w:val="0"/>
                  <w:marBottom w:val="0"/>
                  <w:divBdr>
                    <w:top w:val="none" w:sz="0" w:space="0" w:color="auto"/>
                    <w:left w:val="none" w:sz="0" w:space="0" w:color="auto"/>
                    <w:bottom w:val="none" w:sz="0" w:space="0" w:color="auto"/>
                    <w:right w:val="none" w:sz="0" w:space="0" w:color="auto"/>
                  </w:divBdr>
                  <w:divsChild>
                    <w:div w:id="1687750328">
                      <w:marLeft w:val="0"/>
                      <w:marRight w:val="0"/>
                      <w:marTop w:val="0"/>
                      <w:marBottom w:val="0"/>
                      <w:divBdr>
                        <w:top w:val="none" w:sz="0" w:space="0" w:color="auto"/>
                        <w:left w:val="none" w:sz="0" w:space="0" w:color="auto"/>
                        <w:bottom w:val="none" w:sz="0" w:space="0" w:color="auto"/>
                        <w:right w:val="none" w:sz="0" w:space="0" w:color="auto"/>
                      </w:divBdr>
                    </w:div>
                  </w:divsChild>
                </w:div>
                <w:div w:id="758259696">
                  <w:marLeft w:val="0"/>
                  <w:marRight w:val="0"/>
                  <w:marTop w:val="0"/>
                  <w:marBottom w:val="0"/>
                  <w:divBdr>
                    <w:top w:val="none" w:sz="0" w:space="0" w:color="auto"/>
                    <w:left w:val="none" w:sz="0" w:space="0" w:color="auto"/>
                    <w:bottom w:val="none" w:sz="0" w:space="0" w:color="auto"/>
                    <w:right w:val="none" w:sz="0" w:space="0" w:color="auto"/>
                  </w:divBdr>
                  <w:divsChild>
                    <w:div w:id="1534490270">
                      <w:marLeft w:val="0"/>
                      <w:marRight w:val="0"/>
                      <w:marTop w:val="0"/>
                      <w:marBottom w:val="0"/>
                      <w:divBdr>
                        <w:top w:val="none" w:sz="0" w:space="0" w:color="auto"/>
                        <w:left w:val="none" w:sz="0" w:space="0" w:color="auto"/>
                        <w:bottom w:val="none" w:sz="0" w:space="0" w:color="auto"/>
                        <w:right w:val="none" w:sz="0" w:space="0" w:color="auto"/>
                      </w:divBdr>
                    </w:div>
                  </w:divsChild>
                </w:div>
                <w:div w:id="356544848">
                  <w:marLeft w:val="0"/>
                  <w:marRight w:val="0"/>
                  <w:marTop w:val="0"/>
                  <w:marBottom w:val="0"/>
                  <w:divBdr>
                    <w:top w:val="none" w:sz="0" w:space="0" w:color="auto"/>
                    <w:left w:val="none" w:sz="0" w:space="0" w:color="auto"/>
                    <w:bottom w:val="none" w:sz="0" w:space="0" w:color="auto"/>
                    <w:right w:val="none" w:sz="0" w:space="0" w:color="auto"/>
                  </w:divBdr>
                  <w:divsChild>
                    <w:div w:id="1116097892">
                      <w:marLeft w:val="0"/>
                      <w:marRight w:val="0"/>
                      <w:marTop w:val="0"/>
                      <w:marBottom w:val="0"/>
                      <w:divBdr>
                        <w:top w:val="none" w:sz="0" w:space="0" w:color="auto"/>
                        <w:left w:val="none" w:sz="0" w:space="0" w:color="auto"/>
                        <w:bottom w:val="none" w:sz="0" w:space="0" w:color="auto"/>
                        <w:right w:val="none" w:sz="0" w:space="0" w:color="auto"/>
                      </w:divBdr>
                    </w:div>
                  </w:divsChild>
                </w:div>
                <w:div w:id="1961304619">
                  <w:marLeft w:val="0"/>
                  <w:marRight w:val="0"/>
                  <w:marTop w:val="0"/>
                  <w:marBottom w:val="0"/>
                  <w:divBdr>
                    <w:top w:val="none" w:sz="0" w:space="0" w:color="auto"/>
                    <w:left w:val="none" w:sz="0" w:space="0" w:color="auto"/>
                    <w:bottom w:val="none" w:sz="0" w:space="0" w:color="auto"/>
                    <w:right w:val="none" w:sz="0" w:space="0" w:color="auto"/>
                  </w:divBdr>
                  <w:divsChild>
                    <w:div w:id="990401084">
                      <w:marLeft w:val="0"/>
                      <w:marRight w:val="0"/>
                      <w:marTop w:val="0"/>
                      <w:marBottom w:val="0"/>
                      <w:divBdr>
                        <w:top w:val="none" w:sz="0" w:space="0" w:color="auto"/>
                        <w:left w:val="none" w:sz="0" w:space="0" w:color="auto"/>
                        <w:bottom w:val="none" w:sz="0" w:space="0" w:color="auto"/>
                        <w:right w:val="none" w:sz="0" w:space="0" w:color="auto"/>
                      </w:divBdr>
                    </w:div>
                  </w:divsChild>
                </w:div>
                <w:div w:id="959383039">
                  <w:marLeft w:val="0"/>
                  <w:marRight w:val="0"/>
                  <w:marTop w:val="0"/>
                  <w:marBottom w:val="0"/>
                  <w:divBdr>
                    <w:top w:val="none" w:sz="0" w:space="0" w:color="auto"/>
                    <w:left w:val="none" w:sz="0" w:space="0" w:color="auto"/>
                    <w:bottom w:val="none" w:sz="0" w:space="0" w:color="auto"/>
                    <w:right w:val="none" w:sz="0" w:space="0" w:color="auto"/>
                  </w:divBdr>
                  <w:divsChild>
                    <w:div w:id="1770202096">
                      <w:marLeft w:val="0"/>
                      <w:marRight w:val="0"/>
                      <w:marTop w:val="0"/>
                      <w:marBottom w:val="0"/>
                      <w:divBdr>
                        <w:top w:val="none" w:sz="0" w:space="0" w:color="auto"/>
                        <w:left w:val="none" w:sz="0" w:space="0" w:color="auto"/>
                        <w:bottom w:val="none" w:sz="0" w:space="0" w:color="auto"/>
                        <w:right w:val="none" w:sz="0" w:space="0" w:color="auto"/>
                      </w:divBdr>
                    </w:div>
                  </w:divsChild>
                </w:div>
                <w:div w:id="20061331">
                  <w:marLeft w:val="0"/>
                  <w:marRight w:val="0"/>
                  <w:marTop w:val="0"/>
                  <w:marBottom w:val="0"/>
                  <w:divBdr>
                    <w:top w:val="none" w:sz="0" w:space="0" w:color="auto"/>
                    <w:left w:val="none" w:sz="0" w:space="0" w:color="auto"/>
                    <w:bottom w:val="none" w:sz="0" w:space="0" w:color="auto"/>
                    <w:right w:val="none" w:sz="0" w:space="0" w:color="auto"/>
                  </w:divBdr>
                  <w:divsChild>
                    <w:div w:id="597909928">
                      <w:marLeft w:val="0"/>
                      <w:marRight w:val="0"/>
                      <w:marTop w:val="0"/>
                      <w:marBottom w:val="0"/>
                      <w:divBdr>
                        <w:top w:val="none" w:sz="0" w:space="0" w:color="auto"/>
                        <w:left w:val="none" w:sz="0" w:space="0" w:color="auto"/>
                        <w:bottom w:val="none" w:sz="0" w:space="0" w:color="auto"/>
                        <w:right w:val="none" w:sz="0" w:space="0" w:color="auto"/>
                      </w:divBdr>
                    </w:div>
                  </w:divsChild>
                </w:div>
                <w:div w:id="776174132">
                  <w:marLeft w:val="0"/>
                  <w:marRight w:val="0"/>
                  <w:marTop w:val="0"/>
                  <w:marBottom w:val="0"/>
                  <w:divBdr>
                    <w:top w:val="none" w:sz="0" w:space="0" w:color="auto"/>
                    <w:left w:val="none" w:sz="0" w:space="0" w:color="auto"/>
                    <w:bottom w:val="none" w:sz="0" w:space="0" w:color="auto"/>
                    <w:right w:val="none" w:sz="0" w:space="0" w:color="auto"/>
                  </w:divBdr>
                  <w:divsChild>
                    <w:div w:id="835077142">
                      <w:marLeft w:val="0"/>
                      <w:marRight w:val="0"/>
                      <w:marTop w:val="0"/>
                      <w:marBottom w:val="0"/>
                      <w:divBdr>
                        <w:top w:val="none" w:sz="0" w:space="0" w:color="auto"/>
                        <w:left w:val="none" w:sz="0" w:space="0" w:color="auto"/>
                        <w:bottom w:val="none" w:sz="0" w:space="0" w:color="auto"/>
                        <w:right w:val="none" w:sz="0" w:space="0" w:color="auto"/>
                      </w:divBdr>
                    </w:div>
                  </w:divsChild>
                </w:div>
                <w:div w:id="1391342585">
                  <w:marLeft w:val="0"/>
                  <w:marRight w:val="0"/>
                  <w:marTop w:val="0"/>
                  <w:marBottom w:val="0"/>
                  <w:divBdr>
                    <w:top w:val="none" w:sz="0" w:space="0" w:color="auto"/>
                    <w:left w:val="none" w:sz="0" w:space="0" w:color="auto"/>
                    <w:bottom w:val="none" w:sz="0" w:space="0" w:color="auto"/>
                    <w:right w:val="none" w:sz="0" w:space="0" w:color="auto"/>
                  </w:divBdr>
                  <w:divsChild>
                    <w:div w:id="1772119349">
                      <w:marLeft w:val="0"/>
                      <w:marRight w:val="0"/>
                      <w:marTop w:val="0"/>
                      <w:marBottom w:val="0"/>
                      <w:divBdr>
                        <w:top w:val="none" w:sz="0" w:space="0" w:color="auto"/>
                        <w:left w:val="none" w:sz="0" w:space="0" w:color="auto"/>
                        <w:bottom w:val="none" w:sz="0" w:space="0" w:color="auto"/>
                        <w:right w:val="none" w:sz="0" w:space="0" w:color="auto"/>
                      </w:divBdr>
                    </w:div>
                  </w:divsChild>
                </w:div>
                <w:div w:id="1086267939">
                  <w:marLeft w:val="0"/>
                  <w:marRight w:val="0"/>
                  <w:marTop w:val="0"/>
                  <w:marBottom w:val="0"/>
                  <w:divBdr>
                    <w:top w:val="none" w:sz="0" w:space="0" w:color="auto"/>
                    <w:left w:val="none" w:sz="0" w:space="0" w:color="auto"/>
                    <w:bottom w:val="none" w:sz="0" w:space="0" w:color="auto"/>
                    <w:right w:val="none" w:sz="0" w:space="0" w:color="auto"/>
                  </w:divBdr>
                  <w:divsChild>
                    <w:div w:id="1832520917">
                      <w:marLeft w:val="0"/>
                      <w:marRight w:val="0"/>
                      <w:marTop w:val="0"/>
                      <w:marBottom w:val="0"/>
                      <w:divBdr>
                        <w:top w:val="none" w:sz="0" w:space="0" w:color="auto"/>
                        <w:left w:val="none" w:sz="0" w:space="0" w:color="auto"/>
                        <w:bottom w:val="none" w:sz="0" w:space="0" w:color="auto"/>
                        <w:right w:val="none" w:sz="0" w:space="0" w:color="auto"/>
                      </w:divBdr>
                    </w:div>
                  </w:divsChild>
                </w:div>
                <w:div w:id="602110440">
                  <w:marLeft w:val="0"/>
                  <w:marRight w:val="0"/>
                  <w:marTop w:val="0"/>
                  <w:marBottom w:val="0"/>
                  <w:divBdr>
                    <w:top w:val="none" w:sz="0" w:space="0" w:color="auto"/>
                    <w:left w:val="none" w:sz="0" w:space="0" w:color="auto"/>
                    <w:bottom w:val="none" w:sz="0" w:space="0" w:color="auto"/>
                    <w:right w:val="none" w:sz="0" w:space="0" w:color="auto"/>
                  </w:divBdr>
                  <w:divsChild>
                    <w:div w:id="600995589">
                      <w:marLeft w:val="0"/>
                      <w:marRight w:val="0"/>
                      <w:marTop w:val="0"/>
                      <w:marBottom w:val="0"/>
                      <w:divBdr>
                        <w:top w:val="none" w:sz="0" w:space="0" w:color="auto"/>
                        <w:left w:val="none" w:sz="0" w:space="0" w:color="auto"/>
                        <w:bottom w:val="none" w:sz="0" w:space="0" w:color="auto"/>
                        <w:right w:val="none" w:sz="0" w:space="0" w:color="auto"/>
                      </w:divBdr>
                    </w:div>
                  </w:divsChild>
                </w:div>
                <w:div w:id="161971965">
                  <w:marLeft w:val="0"/>
                  <w:marRight w:val="0"/>
                  <w:marTop w:val="0"/>
                  <w:marBottom w:val="0"/>
                  <w:divBdr>
                    <w:top w:val="none" w:sz="0" w:space="0" w:color="auto"/>
                    <w:left w:val="none" w:sz="0" w:space="0" w:color="auto"/>
                    <w:bottom w:val="none" w:sz="0" w:space="0" w:color="auto"/>
                    <w:right w:val="none" w:sz="0" w:space="0" w:color="auto"/>
                  </w:divBdr>
                  <w:divsChild>
                    <w:div w:id="1687512148">
                      <w:marLeft w:val="0"/>
                      <w:marRight w:val="0"/>
                      <w:marTop w:val="0"/>
                      <w:marBottom w:val="0"/>
                      <w:divBdr>
                        <w:top w:val="none" w:sz="0" w:space="0" w:color="auto"/>
                        <w:left w:val="none" w:sz="0" w:space="0" w:color="auto"/>
                        <w:bottom w:val="none" w:sz="0" w:space="0" w:color="auto"/>
                        <w:right w:val="none" w:sz="0" w:space="0" w:color="auto"/>
                      </w:divBdr>
                    </w:div>
                  </w:divsChild>
                </w:div>
                <w:div w:id="1687945373">
                  <w:marLeft w:val="0"/>
                  <w:marRight w:val="0"/>
                  <w:marTop w:val="0"/>
                  <w:marBottom w:val="0"/>
                  <w:divBdr>
                    <w:top w:val="none" w:sz="0" w:space="0" w:color="auto"/>
                    <w:left w:val="none" w:sz="0" w:space="0" w:color="auto"/>
                    <w:bottom w:val="none" w:sz="0" w:space="0" w:color="auto"/>
                    <w:right w:val="none" w:sz="0" w:space="0" w:color="auto"/>
                  </w:divBdr>
                  <w:divsChild>
                    <w:div w:id="17433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618122">
      <w:bodyDiv w:val="1"/>
      <w:marLeft w:val="0"/>
      <w:marRight w:val="0"/>
      <w:marTop w:val="0"/>
      <w:marBottom w:val="0"/>
      <w:divBdr>
        <w:top w:val="none" w:sz="0" w:space="0" w:color="auto"/>
        <w:left w:val="none" w:sz="0" w:space="0" w:color="auto"/>
        <w:bottom w:val="none" w:sz="0" w:space="0" w:color="auto"/>
        <w:right w:val="none" w:sz="0" w:space="0" w:color="auto"/>
      </w:divBdr>
    </w:div>
    <w:div w:id="1601835559">
      <w:bodyDiv w:val="1"/>
      <w:marLeft w:val="0"/>
      <w:marRight w:val="0"/>
      <w:marTop w:val="0"/>
      <w:marBottom w:val="0"/>
      <w:divBdr>
        <w:top w:val="none" w:sz="0" w:space="0" w:color="auto"/>
        <w:left w:val="none" w:sz="0" w:space="0" w:color="auto"/>
        <w:bottom w:val="none" w:sz="0" w:space="0" w:color="auto"/>
        <w:right w:val="none" w:sz="0" w:space="0" w:color="auto"/>
      </w:divBdr>
      <w:divsChild>
        <w:div w:id="2034182259">
          <w:marLeft w:val="0"/>
          <w:marRight w:val="0"/>
          <w:marTop w:val="0"/>
          <w:marBottom w:val="0"/>
          <w:divBdr>
            <w:top w:val="none" w:sz="0" w:space="0" w:color="auto"/>
            <w:left w:val="none" w:sz="0" w:space="0" w:color="auto"/>
            <w:bottom w:val="none" w:sz="0" w:space="0" w:color="auto"/>
            <w:right w:val="none" w:sz="0" w:space="0" w:color="auto"/>
          </w:divBdr>
          <w:divsChild>
            <w:div w:id="432552043">
              <w:marLeft w:val="0"/>
              <w:marRight w:val="0"/>
              <w:marTop w:val="0"/>
              <w:marBottom w:val="0"/>
              <w:divBdr>
                <w:top w:val="none" w:sz="0" w:space="0" w:color="auto"/>
                <w:left w:val="none" w:sz="0" w:space="0" w:color="auto"/>
                <w:bottom w:val="none" w:sz="0" w:space="0" w:color="auto"/>
                <w:right w:val="none" w:sz="0" w:space="0" w:color="auto"/>
              </w:divBdr>
              <w:divsChild>
                <w:div w:id="1535843472">
                  <w:marLeft w:val="0"/>
                  <w:marRight w:val="0"/>
                  <w:marTop w:val="0"/>
                  <w:marBottom w:val="0"/>
                  <w:divBdr>
                    <w:top w:val="none" w:sz="0" w:space="0" w:color="auto"/>
                    <w:left w:val="none" w:sz="0" w:space="0" w:color="auto"/>
                    <w:bottom w:val="none" w:sz="0" w:space="0" w:color="auto"/>
                    <w:right w:val="none" w:sz="0" w:space="0" w:color="auto"/>
                  </w:divBdr>
                  <w:divsChild>
                    <w:div w:id="1926303677">
                      <w:marLeft w:val="0"/>
                      <w:marRight w:val="0"/>
                      <w:marTop w:val="0"/>
                      <w:marBottom w:val="0"/>
                      <w:divBdr>
                        <w:top w:val="none" w:sz="0" w:space="0" w:color="auto"/>
                        <w:left w:val="none" w:sz="0" w:space="0" w:color="auto"/>
                        <w:bottom w:val="none" w:sz="0" w:space="0" w:color="auto"/>
                        <w:right w:val="none" w:sz="0" w:space="0" w:color="auto"/>
                      </w:divBdr>
                    </w:div>
                  </w:divsChild>
                </w:div>
                <w:div w:id="290209579">
                  <w:marLeft w:val="0"/>
                  <w:marRight w:val="0"/>
                  <w:marTop w:val="0"/>
                  <w:marBottom w:val="0"/>
                  <w:divBdr>
                    <w:top w:val="none" w:sz="0" w:space="0" w:color="auto"/>
                    <w:left w:val="none" w:sz="0" w:space="0" w:color="auto"/>
                    <w:bottom w:val="none" w:sz="0" w:space="0" w:color="auto"/>
                    <w:right w:val="none" w:sz="0" w:space="0" w:color="auto"/>
                  </w:divBdr>
                  <w:divsChild>
                    <w:div w:id="1052853713">
                      <w:marLeft w:val="0"/>
                      <w:marRight w:val="0"/>
                      <w:marTop w:val="0"/>
                      <w:marBottom w:val="0"/>
                      <w:divBdr>
                        <w:top w:val="none" w:sz="0" w:space="0" w:color="auto"/>
                        <w:left w:val="none" w:sz="0" w:space="0" w:color="auto"/>
                        <w:bottom w:val="none" w:sz="0" w:space="0" w:color="auto"/>
                        <w:right w:val="none" w:sz="0" w:space="0" w:color="auto"/>
                      </w:divBdr>
                    </w:div>
                  </w:divsChild>
                </w:div>
                <w:div w:id="1019432017">
                  <w:marLeft w:val="0"/>
                  <w:marRight w:val="0"/>
                  <w:marTop w:val="0"/>
                  <w:marBottom w:val="0"/>
                  <w:divBdr>
                    <w:top w:val="none" w:sz="0" w:space="0" w:color="auto"/>
                    <w:left w:val="none" w:sz="0" w:space="0" w:color="auto"/>
                    <w:bottom w:val="none" w:sz="0" w:space="0" w:color="auto"/>
                    <w:right w:val="none" w:sz="0" w:space="0" w:color="auto"/>
                  </w:divBdr>
                  <w:divsChild>
                    <w:div w:id="1849252939">
                      <w:marLeft w:val="0"/>
                      <w:marRight w:val="0"/>
                      <w:marTop w:val="0"/>
                      <w:marBottom w:val="0"/>
                      <w:divBdr>
                        <w:top w:val="none" w:sz="0" w:space="0" w:color="auto"/>
                        <w:left w:val="none" w:sz="0" w:space="0" w:color="auto"/>
                        <w:bottom w:val="none" w:sz="0" w:space="0" w:color="auto"/>
                        <w:right w:val="none" w:sz="0" w:space="0" w:color="auto"/>
                      </w:divBdr>
                    </w:div>
                  </w:divsChild>
                </w:div>
                <w:div w:id="635642695">
                  <w:marLeft w:val="0"/>
                  <w:marRight w:val="0"/>
                  <w:marTop w:val="0"/>
                  <w:marBottom w:val="0"/>
                  <w:divBdr>
                    <w:top w:val="none" w:sz="0" w:space="0" w:color="auto"/>
                    <w:left w:val="none" w:sz="0" w:space="0" w:color="auto"/>
                    <w:bottom w:val="none" w:sz="0" w:space="0" w:color="auto"/>
                    <w:right w:val="none" w:sz="0" w:space="0" w:color="auto"/>
                  </w:divBdr>
                  <w:divsChild>
                    <w:div w:id="1877691615">
                      <w:marLeft w:val="0"/>
                      <w:marRight w:val="0"/>
                      <w:marTop w:val="0"/>
                      <w:marBottom w:val="0"/>
                      <w:divBdr>
                        <w:top w:val="none" w:sz="0" w:space="0" w:color="auto"/>
                        <w:left w:val="none" w:sz="0" w:space="0" w:color="auto"/>
                        <w:bottom w:val="none" w:sz="0" w:space="0" w:color="auto"/>
                        <w:right w:val="none" w:sz="0" w:space="0" w:color="auto"/>
                      </w:divBdr>
                    </w:div>
                  </w:divsChild>
                </w:div>
                <w:div w:id="478812475">
                  <w:marLeft w:val="0"/>
                  <w:marRight w:val="0"/>
                  <w:marTop w:val="0"/>
                  <w:marBottom w:val="0"/>
                  <w:divBdr>
                    <w:top w:val="none" w:sz="0" w:space="0" w:color="auto"/>
                    <w:left w:val="none" w:sz="0" w:space="0" w:color="auto"/>
                    <w:bottom w:val="none" w:sz="0" w:space="0" w:color="auto"/>
                    <w:right w:val="none" w:sz="0" w:space="0" w:color="auto"/>
                  </w:divBdr>
                  <w:divsChild>
                    <w:div w:id="1989508376">
                      <w:marLeft w:val="0"/>
                      <w:marRight w:val="0"/>
                      <w:marTop w:val="0"/>
                      <w:marBottom w:val="0"/>
                      <w:divBdr>
                        <w:top w:val="none" w:sz="0" w:space="0" w:color="auto"/>
                        <w:left w:val="none" w:sz="0" w:space="0" w:color="auto"/>
                        <w:bottom w:val="none" w:sz="0" w:space="0" w:color="auto"/>
                        <w:right w:val="none" w:sz="0" w:space="0" w:color="auto"/>
                      </w:divBdr>
                    </w:div>
                  </w:divsChild>
                </w:div>
                <w:div w:id="832725122">
                  <w:marLeft w:val="0"/>
                  <w:marRight w:val="0"/>
                  <w:marTop w:val="0"/>
                  <w:marBottom w:val="0"/>
                  <w:divBdr>
                    <w:top w:val="none" w:sz="0" w:space="0" w:color="auto"/>
                    <w:left w:val="none" w:sz="0" w:space="0" w:color="auto"/>
                    <w:bottom w:val="none" w:sz="0" w:space="0" w:color="auto"/>
                    <w:right w:val="none" w:sz="0" w:space="0" w:color="auto"/>
                  </w:divBdr>
                  <w:divsChild>
                    <w:div w:id="1838689501">
                      <w:marLeft w:val="0"/>
                      <w:marRight w:val="0"/>
                      <w:marTop w:val="0"/>
                      <w:marBottom w:val="0"/>
                      <w:divBdr>
                        <w:top w:val="none" w:sz="0" w:space="0" w:color="auto"/>
                        <w:left w:val="none" w:sz="0" w:space="0" w:color="auto"/>
                        <w:bottom w:val="none" w:sz="0" w:space="0" w:color="auto"/>
                        <w:right w:val="none" w:sz="0" w:space="0" w:color="auto"/>
                      </w:divBdr>
                    </w:div>
                  </w:divsChild>
                </w:div>
                <w:div w:id="1549489273">
                  <w:marLeft w:val="0"/>
                  <w:marRight w:val="0"/>
                  <w:marTop w:val="0"/>
                  <w:marBottom w:val="0"/>
                  <w:divBdr>
                    <w:top w:val="none" w:sz="0" w:space="0" w:color="auto"/>
                    <w:left w:val="none" w:sz="0" w:space="0" w:color="auto"/>
                    <w:bottom w:val="none" w:sz="0" w:space="0" w:color="auto"/>
                    <w:right w:val="none" w:sz="0" w:space="0" w:color="auto"/>
                  </w:divBdr>
                  <w:divsChild>
                    <w:div w:id="1903636162">
                      <w:marLeft w:val="0"/>
                      <w:marRight w:val="0"/>
                      <w:marTop w:val="0"/>
                      <w:marBottom w:val="0"/>
                      <w:divBdr>
                        <w:top w:val="none" w:sz="0" w:space="0" w:color="auto"/>
                        <w:left w:val="none" w:sz="0" w:space="0" w:color="auto"/>
                        <w:bottom w:val="none" w:sz="0" w:space="0" w:color="auto"/>
                        <w:right w:val="none" w:sz="0" w:space="0" w:color="auto"/>
                      </w:divBdr>
                    </w:div>
                  </w:divsChild>
                </w:div>
                <w:div w:id="279192810">
                  <w:marLeft w:val="0"/>
                  <w:marRight w:val="0"/>
                  <w:marTop w:val="0"/>
                  <w:marBottom w:val="0"/>
                  <w:divBdr>
                    <w:top w:val="none" w:sz="0" w:space="0" w:color="auto"/>
                    <w:left w:val="none" w:sz="0" w:space="0" w:color="auto"/>
                    <w:bottom w:val="none" w:sz="0" w:space="0" w:color="auto"/>
                    <w:right w:val="none" w:sz="0" w:space="0" w:color="auto"/>
                  </w:divBdr>
                  <w:divsChild>
                    <w:div w:id="1177039175">
                      <w:marLeft w:val="0"/>
                      <w:marRight w:val="0"/>
                      <w:marTop w:val="0"/>
                      <w:marBottom w:val="0"/>
                      <w:divBdr>
                        <w:top w:val="none" w:sz="0" w:space="0" w:color="auto"/>
                        <w:left w:val="none" w:sz="0" w:space="0" w:color="auto"/>
                        <w:bottom w:val="none" w:sz="0" w:space="0" w:color="auto"/>
                        <w:right w:val="none" w:sz="0" w:space="0" w:color="auto"/>
                      </w:divBdr>
                    </w:div>
                  </w:divsChild>
                </w:div>
                <w:div w:id="893393004">
                  <w:marLeft w:val="0"/>
                  <w:marRight w:val="0"/>
                  <w:marTop w:val="0"/>
                  <w:marBottom w:val="0"/>
                  <w:divBdr>
                    <w:top w:val="none" w:sz="0" w:space="0" w:color="auto"/>
                    <w:left w:val="none" w:sz="0" w:space="0" w:color="auto"/>
                    <w:bottom w:val="none" w:sz="0" w:space="0" w:color="auto"/>
                    <w:right w:val="none" w:sz="0" w:space="0" w:color="auto"/>
                  </w:divBdr>
                  <w:divsChild>
                    <w:div w:id="1944994311">
                      <w:marLeft w:val="0"/>
                      <w:marRight w:val="0"/>
                      <w:marTop w:val="0"/>
                      <w:marBottom w:val="0"/>
                      <w:divBdr>
                        <w:top w:val="none" w:sz="0" w:space="0" w:color="auto"/>
                        <w:left w:val="none" w:sz="0" w:space="0" w:color="auto"/>
                        <w:bottom w:val="none" w:sz="0" w:space="0" w:color="auto"/>
                        <w:right w:val="none" w:sz="0" w:space="0" w:color="auto"/>
                      </w:divBdr>
                    </w:div>
                  </w:divsChild>
                </w:div>
                <w:div w:id="872569858">
                  <w:marLeft w:val="0"/>
                  <w:marRight w:val="0"/>
                  <w:marTop w:val="0"/>
                  <w:marBottom w:val="0"/>
                  <w:divBdr>
                    <w:top w:val="none" w:sz="0" w:space="0" w:color="auto"/>
                    <w:left w:val="none" w:sz="0" w:space="0" w:color="auto"/>
                    <w:bottom w:val="none" w:sz="0" w:space="0" w:color="auto"/>
                    <w:right w:val="none" w:sz="0" w:space="0" w:color="auto"/>
                  </w:divBdr>
                  <w:divsChild>
                    <w:div w:id="1693066130">
                      <w:marLeft w:val="0"/>
                      <w:marRight w:val="0"/>
                      <w:marTop w:val="0"/>
                      <w:marBottom w:val="0"/>
                      <w:divBdr>
                        <w:top w:val="none" w:sz="0" w:space="0" w:color="auto"/>
                        <w:left w:val="none" w:sz="0" w:space="0" w:color="auto"/>
                        <w:bottom w:val="none" w:sz="0" w:space="0" w:color="auto"/>
                        <w:right w:val="none" w:sz="0" w:space="0" w:color="auto"/>
                      </w:divBdr>
                    </w:div>
                  </w:divsChild>
                </w:div>
                <w:div w:id="1979333407">
                  <w:marLeft w:val="0"/>
                  <w:marRight w:val="0"/>
                  <w:marTop w:val="0"/>
                  <w:marBottom w:val="0"/>
                  <w:divBdr>
                    <w:top w:val="none" w:sz="0" w:space="0" w:color="auto"/>
                    <w:left w:val="none" w:sz="0" w:space="0" w:color="auto"/>
                    <w:bottom w:val="none" w:sz="0" w:space="0" w:color="auto"/>
                    <w:right w:val="none" w:sz="0" w:space="0" w:color="auto"/>
                  </w:divBdr>
                  <w:divsChild>
                    <w:div w:id="1581674143">
                      <w:marLeft w:val="0"/>
                      <w:marRight w:val="0"/>
                      <w:marTop w:val="0"/>
                      <w:marBottom w:val="0"/>
                      <w:divBdr>
                        <w:top w:val="none" w:sz="0" w:space="0" w:color="auto"/>
                        <w:left w:val="none" w:sz="0" w:space="0" w:color="auto"/>
                        <w:bottom w:val="none" w:sz="0" w:space="0" w:color="auto"/>
                        <w:right w:val="none" w:sz="0" w:space="0" w:color="auto"/>
                      </w:divBdr>
                    </w:div>
                  </w:divsChild>
                </w:div>
                <w:div w:id="819273825">
                  <w:marLeft w:val="0"/>
                  <w:marRight w:val="0"/>
                  <w:marTop w:val="0"/>
                  <w:marBottom w:val="0"/>
                  <w:divBdr>
                    <w:top w:val="none" w:sz="0" w:space="0" w:color="auto"/>
                    <w:left w:val="none" w:sz="0" w:space="0" w:color="auto"/>
                    <w:bottom w:val="none" w:sz="0" w:space="0" w:color="auto"/>
                    <w:right w:val="none" w:sz="0" w:space="0" w:color="auto"/>
                  </w:divBdr>
                  <w:divsChild>
                    <w:div w:id="973212684">
                      <w:marLeft w:val="0"/>
                      <w:marRight w:val="0"/>
                      <w:marTop w:val="0"/>
                      <w:marBottom w:val="0"/>
                      <w:divBdr>
                        <w:top w:val="none" w:sz="0" w:space="0" w:color="auto"/>
                        <w:left w:val="none" w:sz="0" w:space="0" w:color="auto"/>
                        <w:bottom w:val="none" w:sz="0" w:space="0" w:color="auto"/>
                        <w:right w:val="none" w:sz="0" w:space="0" w:color="auto"/>
                      </w:divBdr>
                    </w:div>
                  </w:divsChild>
                </w:div>
                <w:div w:id="166019150">
                  <w:marLeft w:val="0"/>
                  <w:marRight w:val="0"/>
                  <w:marTop w:val="0"/>
                  <w:marBottom w:val="0"/>
                  <w:divBdr>
                    <w:top w:val="none" w:sz="0" w:space="0" w:color="auto"/>
                    <w:left w:val="none" w:sz="0" w:space="0" w:color="auto"/>
                    <w:bottom w:val="none" w:sz="0" w:space="0" w:color="auto"/>
                    <w:right w:val="none" w:sz="0" w:space="0" w:color="auto"/>
                  </w:divBdr>
                  <w:divsChild>
                    <w:div w:id="1022903568">
                      <w:marLeft w:val="0"/>
                      <w:marRight w:val="0"/>
                      <w:marTop w:val="0"/>
                      <w:marBottom w:val="0"/>
                      <w:divBdr>
                        <w:top w:val="none" w:sz="0" w:space="0" w:color="auto"/>
                        <w:left w:val="none" w:sz="0" w:space="0" w:color="auto"/>
                        <w:bottom w:val="none" w:sz="0" w:space="0" w:color="auto"/>
                        <w:right w:val="none" w:sz="0" w:space="0" w:color="auto"/>
                      </w:divBdr>
                    </w:div>
                  </w:divsChild>
                </w:div>
                <w:div w:id="1478493729">
                  <w:marLeft w:val="0"/>
                  <w:marRight w:val="0"/>
                  <w:marTop w:val="0"/>
                  <w:marBottom w:val="0"/>
                  <w:divBdr>
                    <w:top w:val="none" w:sz="0" w:space="0" w:color="auto"/>
                    <w:left w:val="none" w:sz="0" w:space="0" w:color="auto"/>
                    <w:bottom w:val="none" w:sz="0" w:space="0" w:color="auto"/>
                    <w:right w:val="none" w:sz="0" w:space="0" w:color="auto"/>
                  </w:divBdr>
                  <w:divsChild>
                    <w:div w:id="8063819">
                      <w:marLeft w:val="0"/>
                      <w:marRight w:val="0"/>
                      <w:marTop w:val="0"/>
                      <w:marBottom w:val="0"/>
                      <w:divBdr>
                        <w:top w:val="none" w:sz="0" w:space="0" w:color="auto"/>
                        <w:left w:val="none" w:sz="0" w:space="0" w:color="auto"/>
                        <w:bottom w:val="none" w:sz="0" w:space="0" w:color="auto"/>
                        <w:right w:val="none" w:sz="0" w:space="0" w:color="auto"/>
                      </w:divBdr>
                    </w:div>
                  </w:divsChild>
                </w:div>
                <w:div w:id="1185705938">
                  <w:marLeft w:val="0"/>
                  <w:marRight w:val="0"/>
                  <w:marTop w:val="0"/>
                  <w:marBottom w:val="0"/>
                  <w:divBdr>
                    <w:top w:val="none" w:sz="0" w:space="0" w:color="auto"/>
                    <w:left w:val="none" w:sz="0" w:space="0" w:color="auto"/>
                    <w:bottom w:val="none" w:sz="0" w:space="0" w:color="auto"/>
                    <w:right w:val="none" w:sz="0" w:space="0" w:color="auto"/>
                  </w:divBdr>
                  <w:divsChild>
                    <w:div w:id="489712676">
                      <w:marLeft w:val="0"/>
                      <w:marRight w:val="0"/>
                      <w:marTop w:val="0"/>
                      <w:marBottom w:val="0"/>
                      <w:divBdr>
                        <w:top w:val="none" w:sz="0" w:space="0" w:color="auto"/>
                        <w:left w:val="none" w:sz="0" w:space="0" w:color="auto"/>
                        <w:bottom w:val="none" w:sz="0" w:space="0" w:color="auto"/>
                        <w:right w:val="none" w:sz="0" w:space="0" w:color="auto"/>
                      </w:divBdr>
                    </w:div>
                  </w:divsChild>
                </w:div>
                <w:div w:id="460802813">
                  <w:marLeft w:val="0"/>
                  <w:marRight w:val="0"/>
                  <w:marTop w:val="0"/>
                  <w:marBottom w:val="0"/>
                  <w:divBdr>
                    <w:top w:val="none" w:sz="0" w:space="0" w:color="auto"/>
                    <w:left w:val="none" w:sz="0" w:space="0" w:color="auto"/>
                    <w:bottom w:val="none" w:sz="0" w:space="0" w:color="auto"/>
                    <w:right w:val="none" w:sz="0" w:space="0" w:color="auto"/>
                  </w:divBdr>
                  <w:divsChild>
                    <w:div w:id="1764497080">
                      <w:marLeft w:val="0"/>
                      <w:marRight w:val="0"/>
                      <w:marTop w:val="0"/>
                      <w:marBottom w:val="0"/>
                      <w:divBdr>
                        <w:top w:val="none" w:sz="0" w:space="0" w:color="auto"/>
                        <w:left w:val="none" w:sz="0" w:space="0" w:color="auto"/>
                        <w:bottom w:val="none" w:sz="0" w:space="0" w:color="auto"/>
                        <w:right w:val="none" w:sz="0" w:space="0" w:color="auto"/>
                      </w:divBdr>
                    </w:div>
                  </w:divsChild>
                </w:div>
                <w:div w:id="1958439335">
                  <w:marLeft w:val="0"/>
                  <w:marRight w:val="0"/>
                  <w:marTop w:val="0"/>
                  <w:marBottom w:val="0"/>
                  <w:divBdr>
                    <w:top w:val="none" w:sz="0" w:space="0" w:color="auto"/>
                    <w:left w:val="none" w:sz="0" w:space="0" w:color="auto"/>
                    <w:bottom w:val="none" w:sz="0" w:space="0" w:color="auto"/>
                    <w:right w:val="none" w:sz="0" w:space="0" w:color="auto"/>
                  </w:divBdr>
                  <w:divsChild>
                    <w:div w:id="1886597657">
                      <w:marLeft w:val="0"/>
                      <w:marRight w:val="0"/>
                      <w:marTop w:val="0"/>
                      <w:marBottom w:val="0"/>
                      <w:divBdr>
                        <w:top w:val="none" w:sz="0" w:space="0" w:color="auto"/>
                        <w:left w:val="none" w:sz="0" w:space="0" w:color="auto"/>
                        <w:bottom w:val="none" w:sz="0" w:space="0" w:color="auto"/>
                        <w:right w:val="none" w:sz="0" w:space="0" w:color="auto"/>
                      </w:divBdr>
                    </w:div>
                  </w:divsChild>
                </w:div>
                <w:div w:id="1701931124">
                  <w:marLeft w:val="0"/>
                  <w:marRight w:val="0"/>
                  <w:marTop w:val="0"/>
                  <w:marBottom w:val="0"/>
                  <w:divBdr>
                    <w:top w:val="none" w:sz="0" w:space="0" w:color="auto"/>
                    <w:left w:val="none" w:sz="0" w:space="0" w:color="auto"/>
                    <w:bottom w:val="none" w:sz="0" w:space="0" w:color="auto"/>
                    <w:right w:val="none" w:sz="0" w:space="0" w:color="auto"/>
                  </w:divBdr>
                  <w:divsChild>
                    <w:div w:id="1548492398">
                      <w:marLeft w:val="0"/>
                      <w:marRight w:val="0"/>
                      <w:marTop w:val="0"/>
                      <w:marBottom w:val="0"/>
                      <w:divBdr>
                        <w:top w:val="none" w:sz="0" w:space="0" w:color="auto"/>
                        <w:left w:val="none" w:sz="0" w:space="0" w:color="auto"/>
                        <w:bottom w:val="none" w:sz="0" w:space="0" w:color="auto"/>
                        <w:right w:val="none" w:sz="0" w:space="0" w:color="auto"/>
                      </w:divBdr>
                    </w:div>
                  </w:divsChild>
                </w:div>
                <w:div w:id="1181047734">
                  <w:marLeft w:val="0"/>
                  <w:marRight w:val="0"/>
                  <w:marTop w:val="0"/>
                  <w:marBottom w:val="0"/>
                  <w:divBdr>
                    <w:top w:val="none" w:sz="0" w:space="0" w:color="auto"/>
                    <w:left w:val="none" w:sz="0" w:space="0" w:color="auto"/>
                    <w:bottom w:val="none" w:sz="0" w:space="0" w:color="auto"/>
                    <w:right w:val="none" w:sz="0" w:space="0" w:color="auto"/>
                  </w:divBdr>
                  <w:divsChild>
                    <w:div w:id="1468545110">
                      <w:marLeft w:val="0"/>
                      <w:marRight w:val="0"/>
                      <w:marTop w:val="0"/>
                      <w:marBottom w:val="0"/>
                      <w:divBdr>
                        <w:top w:val="none" w:sz="0" w:space="0" w:color="auto"/>
                        <w:left w:val="none" w:sz="0" w:space="0" w:color="auto"/>
                        <w:bottom w:val="none" w:sz="0" w:space="0" w:color="auto"/>
                        <w:right w:val="none" w:sz="0" w:space="0" w:color="auto"/>
                      </w:divBdr>
                    </w:div>
                  </w:divsChild>
                </w:div>
                <w:div w:id="998311146">
                  <w:marLeft w:val="0"/>
                  <w:marRight w:val="0"/>
                  <w:marTop w:val="0"/>
                  <w:marBottom w:val="0"/>
                  <w:divBdr>
                    <w:top w:val="none" w:sz="0" w:space="0" w:color="auto"/>
                    <w:left w:val="none" w:sz="0" w:space="0" w:color="auto"/>
                    <w:bottom w:val="none" w:sz="0" w:space="0" w:color="auto"/>
                    <w:right w:val="none" w:sz="0" w:space="0" w:color="auto"/>
                  </w:divBdr>
                  <w:divsChild>
                    <w:div w:id="1831671194">
                      <w:marLeft w:val="0"/>
                      <w:marRight w:val="0"/>
                      <w:marTop w:val="0"/>
                      <w:marBottom w:val="0"/>
                      <w:divBdr>
                        <w:top w:val="none" w:sz="0" w:space="0" w:color="auto"/>
                        <w:left w:val="none" w:sz="0" w:space="0" w:color="auto"/>
                        <w:bottom w:val="none" w:sz="0" w:space="0" w:color="auto"/>
                        <w:right w:val="none" w:sz="0" w:space="0" w:color="auto"/>
                      </w:divBdr>
                    </w:div>
                  </w:divsChild>
                </w:div>
                <w:div w:id="1305085864">
                  <w:marLeft w:val="0"/>
                  <w:marRight w:val="0"/>
                  <w:marTop w:val="0"/>
                  <w:marBottom w:val="0"/>
                  <w:divBdr>
                    <w:top w:val="none" w:sz="0" w:space="0" w:color="auto"/>
                    <w:left w:val="none" w:sz="0" w:space="0" w:color="auto"/>
                    <w:bottom w:val="none" w:sz="0" w:space="0" w:color="auto"/>
                    <w:right w:val="none" w:sz="0" w:space="0" w:color="auto"/>
                  </w:divBdr>
                  <w:divsChild>
                    <w:div w:id="199784378">
                      <w:marLeft w:val="0"/>
                      <w:marRight w:val="0"/>
                      <w:marTop w:val="0"/>
                      <w:marBottom w:val="0"/>
                      <w:divBdr>
                        <w:top w:val="none" w:sz="0" w:space="0" w:color="auto"/>
                        <w:left w:val="none" w:sz="0" w:space="0" w:color="auto"/>
                        <w:bottom w:val="none" w:sz="0" w:space="0" w:color="auto"/>
                        <w:right w:val="none" w:sz="0" w:space="0" w:color="auto"/>
                      </w:divBdr>
                    </w:div>
                  </w:divsChild>
                </w:div>
                <w:div w:id="769663252">
                  <w:marLeft w:val="0"/>
                  <w:marRight w:val="0"/>
                  <w:marTop w:val="0"/>
                  <w:marBottom w:val="0"/>
                  <w:divBdr>
                    <w:top w:val="none" w:sz="0" w:space="0" w:color="auto"/>
                    <w:left w:val="none" w:sz="0" w:space="0" w:color="auto"/>
                    <w:bottom w:val="none" w:sz="0" w:space="0" w:color="auto"/>
                    <w:right w:val="none" w:sz="0" w:space="0" w:color="auto"/>
                  </w:divBdr>
                  <w:divsChild>
                    <w:div w:id="943732010">
                      <w:marLeft w:val="0"/>
                      <w:marRight w:val="0"/>
                      <w:marTop w:val="0"/>
                      <w:marBottom w:val="0"/>
                      <w:divBdr>
                        <w:top w:val="none" w:sz="0" w:space="0" w:color="auto"/>
                        <w:left w:val="none" w:sz="0" w:space="0" w:color="auto"/>
                        <w:bottom w:val="none" w:sz="0" w:space="0" w:color="auto"/>
                        <w:right w:val="none" w:sz="0" w:space="0" w:color="auto"/>
                      </w:divBdr>
                    </w:div>
                  </w:divsChild>
                </w:div>
                <w:div w:id="1621761833">
                  <w:marLeft w:val="0"/>
                  <w:marRight w:val="0"/>
                  <w:marTop w:val="0"/>
                  <w:marBottom w:val="0"/>
                  <w:divBdr>
                    <w:top w:val="none" w:sz="0" w:space="0" w:color="auto"/>
                    <w:left w:val="none" w:sz="0" w:space="0" w:color="auto"/>
                    <w:bottom w:val="none" w:sz="0" w:space="0" w:color="auto"/>
                    <w:right w:val="none" w:sz="0" w:space="0" w:color="auto"/>
                  </w:divBdr>
                  <w:divsChild>
                    <w:div w:id="2117485151">
                      <w:marLeft w:val="0"/>
                      <w:marRight w:val="0"/>
                      <w:marTop w:val="0"/>
                      <w:marBottom w:val="0"/>
                      <w:divBdr>
                        <w:top w:val="none" w:sz="0" w:space="0" w:color="auto"/>
                        <w:left w:val="none" w:sz="0" w:space="0" w:color="auto"/>
                        <w:bottom w:val="none" w:sz="0" w:space="0" w:color="auto"/>
                        <w:right w:val="none" w:sz="0" w:space="0" w:color="auto"/>
                      </w:divBdr>
                    </w:div>
                  </w:divsChild>
                </w:div>
                <w:div w:id="1393499630">
                  <w:marLeft w:val="0"/>
                  <w:marRight w:val="0"/>
                  <w:marTop w:val="0"/>
                  <w:marBottom w:val="0"/>
                  <w:divBdr>
                    <w:top w:val="none" w:sz="0" w:space="0" w:color="auto"/>
                    <w:left w:val="none" w:sz="0" w:space="0" w:color="auto"/>
                    <w:bottom w:val="none" w:sz="0" w:space="0" w:color="auto"/>
                    <w:right w:val="none" w:sz="0" w:space="0" w:color="auto"/>
                  </w:divBdr>
                  <w:divsChild>
                    <w:div w:id="20421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693377">
      <w:bodyDiv w:val="1"/>
      <w:marLeft w:val="0"/>
      <w:marRight w:val="0"/>
      <w:marTop w:val="0"/>
      <w:marBottom w:val="0"/>
      <w:divBdr>
        <w:top w:val="none" w:sz="0" w:space="0" w:color="auto"/>
        <w:left w:val="none" w:sz="0" w:space="0" w:color="auto"/>
        <w:bottom w:val="none" w:sz="0" w:space="0" w:color="auto"/>
        <w:right w:val="none" w:sz="0" w:space="0" w:color="auto"/>
      </w:divBdr>
    </w:div>
    <w:div w:id="1956865228">
      <w:bodyDiv w:val="1"/>
      <w:marLeft w:val="0"/>
      <w:marRight w:val="0"/>
      <w:marTop w:val="0"/>
      <w:marBottom w:val="0"/>
      <w:divBdr>
        <w:top w:val="none" w:sz="0" w:space="0" w:color="auto"/>
        <w:left w:val="none" w:sz="0" w:space="0" w:color="auto"/>
        <w:bottom w:val="none" w:sz="0" w:space="0" w:color="auto"/>
        <w:right w:val="none" w:sz="0" w:space="0" w:color="auto"/>
      </w:divBdr>
    </w:div>
    <w:div w:id="200828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2568</Words>
  <Characters>14641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clinicalrythm</dc:creator>
  <cp:keywords/>
  <dc:description/>
  <cp:lastModifiedBy>clinicalrythm</cp:lastModifiedBy>
  <cp:revision>7</cp:revision>
  <dcterms:created xsi:type="dcterms:W3CDTF">2026-09-04T11:06:00Z</dcterms:created>
  <dcterms:modified xsi:type="dcterms:W3CDTF">2026-09-04T14:34:00Z</dcterms:modified>
</cp:coreProperties>
</file>