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F21CC" w14:textId="77777777" w:rsidR="00A64AE0" w:rsidRPr="00A64AE0" w:rsidRDefault="00A64AE0" w:rsidP="00A64AE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64AE0">
        <w:rPr>
          <w:rFonts w:ascii="Times New Roman" w:eastAsia="Times New Roman" w:hAnsi="Times New Roman" w:cs="Times New Roman"/>
          <w:b/>
          <w:bCs/>
          <w:kern w:val="0"/>
          <w:sz w:val="36"/>
          <w:szCs w:val="36"/>
          <w14:ligatures w14:val="none"/>
        </w:rPr>
        <w:t>Analysis of Lead Content in Flint Tap Water Before and After Flushing</w:t>
      </w:r>
    </w:p>
    <w:p w14:paraId="5E5058B0" w14:textId="672C4914" w:rsidR="00A64AE0" w:rsidRPr="00A64AE0" w:rsidRDefault="00A64AE0" w:rsidP="00A64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4AE0">
        <w:rPr>
          <w:rFonts w:ascii="Times New Roman" w:eastAsia="Times New Roman" w:hAnsi="Times New Roman" w:cs="Times New Roman"/>
          <w:b/>
          <w:bCs/>
          <w:kern w:val="0"/>
          <w:sz w:val="27"/>
          <w:szCs w:val="27"/>
          <w14:ligatures w14:val="none"/>
        </w:rPr>
        <w:t>1. Abstract</w:t>
      </w:r>
    </w:p>
    <w:p w14:paraId="4B674003"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This report details the analysis of lead concentrations in tap water samples from Flint, Michigan, comparing levels measured before flushing ('first draw') and after flushing the tap for a period. Using the provided </w:t>
      </w:r>
      <w:r w:rsidRPr="00A64AE0">
        <w:rPr>
          <w:rFonts w:ascii="Courier New" w:eastAsia="Times New Roman" w:hAnsi="Courier New" w:cs="Courier New"/>
          <w:kern w:val="0"/>
          <w:sz w:val="20"/>
          <w:szCs w:val="20"/>
          <w14:ligatures w14:val="none"/>
        </w:rPr>
        <w:t>flint.csv</w:t>
      </w:r>
      <w:r w:rsidRPr="00A64AE0">
        <w:rPr>
          <w:rFonts w:ascii="Times New Roman" w:eastAsia="Times New Roman" w:hAnsi="Times New Roman" w:cs="Times New Roman"/>
          <w:kern w:val="0"/>
          <w14:ligatures w14:val="none"/>
        </w:rPr>
        <w:t xml:space="preserve"> dataset and Python libraries (pandas, matplotlib, seaborn, </w:t>
      </w:r>
      <w:proofErr w:type="spellStart"/>
      <w:r w:rsidRPr="00A64AE0">
        <w:rPr>
          <w:rFonts w:ascii="Times New Roman" w:eastAsia="Times New Roman" w:hAnsi="Times New Roman" w:cs="Times New Roman"/>
          <w:kern w:val="0"/>
          <w14:ligatures w14:val="none"/>
        </w:rPr>
        <w:t>scipy</w:t>
      </w:r>
      <w:proofErr w:type="spellEnd"/>
      <w:r w:rsidRPr="00A64AE0">
        <w:rPr>
          <w:rFonts w:ascii="Times New Roman" w:eastAsia="Times New Roman" w:hAnsi="Times New Roman" w:cs="Times New Roman"/>
          <w:kern w:val="0"/>
          <w14:ligatures w14:val="none"/>
        </w:rPr>
        <w:t xml:space="preserve">, </w:t>
      </w:r>
      <w:proofErr w:type="spellStart"/>
      <w:r w:rsidRPr="00A64AE0">
        <w:rPr>
          <w:rFonts w:ascii="Times New Roman" w:eastAsia="Times New Roman" w:hAnsi="Times New Roman" w:cs="Times New Roman"/>
          <w:kern w:val="0"/>
          <w14:ligatures w14:val="none"/>
        </w:rPr>
        <w:t>statsmodels</w:t>
      </w:r>
      <w:proofErr w:type="spellEnd"/>
      <w:r w:rsidRPr="00A64AE0">
        <w:rPr>
          <w:rFonts w:ascii="Times New Roman" w:eastAsia="Times New Roman" w:hAnsi="Times New Roman" w:cs="Times New Roman"/>
          <w:kern w:val="0"/>
          <w14:ligatures w14:val="none"/>
        </w:rPr>
        <w:t>), the analysis aimed to determine the effectiveness of flushing and understand the relationship between pre- and post-flush lead levels. Exploratory data analysis revealed highly variable and skewed lead concentrations with significant outliers. A paired t-test confirmed a statistically significant decrease in mean lead levels after flushing (approx. 7 ppb reduction, p &lt; 0.001). While a moderate positive correlation (r ≈ 0.55) and a significant linear regression model were found, the lead level before flushing explained only about 30% (R² ≈ 0.30) of the variance in post-flush levels. Recommendations include continuing flushing as a general mitigation practice, investigating high-outlier locations, and acknowledging the limitations of using pre-flush data alone to predict post-flush outcomes.</w:t>
      </w:r>
    </w:p>
    <w:p w14:paraId="530F9864" w14:textId="77777777" w:rsidR="00A64AE0" w:rsidRPr="00A64AE0" w:rsidRDefault="00A64AE0" w:rsidP="00A64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4AE0">
        <w:rPr>
          <w:rFonts w:ascii="Times New Roman" w:eastAsia="Times New Roman" w:hAnsi="Times New Roman" w:cs="Times New Roman"/>
          <w:b/>
          <w:bCs/>
          <w:kern w:val="0"/>
          <w:sz w:val="27"/>
          <w:szCs w:val="27"/>
          <w14:ligatures w14:val="none"/>
        </w:rPr>
        <w:t>2. Introduction</w:t>
      </w:r>
    </w:p>
    <w:p w14:paraId="18562459" w14:textId="77777777" w:rsidR="00A64AE0" w:rsidRPr="00A64AE0" w:rsidRDefault="00A64AE0" w:rsidP="00A64A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4AE0">
        <w:rPr>
          <w:rFonts w:ascii="Times New Roman" w:eastAsia="Times New Roman" w:hAnsi="Times New Roman" w:cs="Times New Roman"/>
          <w:b/>
          <w:bCs/>
          <w:kern w:val="0"/>
          <w14:ligatures w14:val="none"/>
        </w:rPr>
        <w:t>2.1. Problem Statement</w:t>
      </w:r>
    </w:p>
    <w:p w14:paraId="3BBD3303"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Lead contamination in drinking water poses significant public health risks. This analysis focuses on tap water samples from Flint, examining the lead content measured in the initial water drawn after stagnation ("before flushing") compared to water drawn after the tap has been run ("after flushing").   </w:t>
      </w:r>
    </w:p>
    <w:p w14:paraId="645ADB45" w14:textId="77777777" w:rsidR="00A64AE0" w:rsidRPr="00A64AE0" w:rsidRDefault="00A64AE0" w:rsidP="00A64A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4AE0">
        <w:rPr>
          <w:rFonts w:ascii="Times New Roman" w:eastAsia="Times New Roman" w:hAnsi="Times New Roman" w:cs="Times New Roman"/>
          <w:b/>
          <w:bCs/>
          <w:kern w:val="0"/>
          <w14:ligatures w14:val="none"/>
        </w:rPr>
        <w:t>2.2. Background</w:t>
      </w:r>
    </w:p>
    <w:p w14:paraId="0C9AD676"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Water sitting stagnant in plumbing, especially older systems with lead pipes or solder, can leach lead. The "first draw" sample (represented by </w:t>
      </w:r>
      <w:r w:rsidRPr="00A64AE0">
        <w:rPr>
          <w:rFonts w:ascii="Courier New" w:eastAsia="Times New Roman" w:hAnsi="Courier New" w:cs="Courier New"/>
          <w:kern w:val="0"/>
          <w:sz w:val="20"/>
          <w:szCs w:val="20"/>
          <w14:ligatures w14:val="none"/>
        </w:rPr>
        <w:t>pb_1</w:t>
      </w:r>
      <w:r w:rsidRPr="00A64AE0">
        <w:rPr>
          <w:rFonts w:ascii="Times New Roman" w:eastAsia="Times New Roman" w:hAnsi="Times New Roman" w:cs="Times New Roman"/>
          <w:kern w:val="0"/>
          <w14:ligatures w14:val="none"/>
        </w:rPr>
        <w:t xml:space="preserve"> in the data) typically represents the highest concentration from water sitting in immediate pipework. Flushing (running the tap for a period) clears this stagnant water, drawing water from the main supply. The "after flushing" sample (</w:t>
      </w:r>
      <w:r w:rsidRPr="00A64AE0">
        <w:rPr>
          <w:rFonts w:ascii="Courier New" w:eastAsia="Times New Roman" w:hAnsi="Courier New" w:cs="Courier New"/>
          <w:kern w:val="0"/>
          <w:sz w:val="20"/>
          <w:szCs w:val="20"/>
          <w14:ligatures w14:val="none"/>
        </w:rPr>
        <w:t>pb_3</w:t>
      </w:r>
      <w:r w:rsidRPr="00A64AE0">
        <w:rPr>
          <w:rFonts w:ascii="Times New Roman" w:eastAsia="Times New Roman" w:hAnsi="Times New Roman" w:cs="Times New Roman"/>
          <w:kern w:val="0"/>
          <w14:ligatures w14:val="none"/>
        </w:rPr>
        <w:t xml:space="preserve"> in the data) aims to measure lead levels after this initial purge.   </w:t>
      </w:r>
    </w:p>
    <w:p w14:paraId="2B223207" w14:textId="77777777" w:rsidR="00A64AE0" w:rsidRPr="00A64AE0" w:rsidRDefault="00A64AE0" w:rsidP="00A64A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4AE0">
        <w:rPr>
          <w:rFonts w:ascii="Times New Roman" w:eastAsia="Times New Roman" w:hAnsi="Times New Roman" w:cs="Times New Roman"/>
          <w:b/>
          <w:bCs/>
          <w:kern w:val="0"/>
          <w14:ligatures w14:val="none"/>
        </w:rPr>
        <w:t>2.3. Objectives</w:t>
      </w:r>
    </w:p>
    <w:p w14:paraId="59E6031E"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The primary objectives of this analysis were:   </w:t>
      </w:r>
    </w:p>
    <w:p w14:paraId="68128829" w14:textId="77777777" w:rsidR="00A64AE0" w:rsidRPr="00A64AE0" w:rsidRDefault="00A64AE0" w:rsidP="00A64A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To compare lead concentrations before and after flushing to understand the impact of flushing on lead levels.   </w:t>
      </w:r>
    </w:p>
    <w:p w14:paraId="29FE8D2C" w14:textId="77777777" w:rsidR="00A64AE0" w:rsidRPr="00A64AE0" w:rsidRDefault="00A64AE0" w:rsidP="00A64A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To investigate the relationship between pre-flush and post-flush lead concentrations.</w:t>
      </w:r>
    </w:p>
    <w:p w14:paraId="257AA9A0" w14:textId="77777777" w:rsidR="00A64AE0" w:rsidRPr="00A64AE0" w:rsidRDefault="00A64AE0" w:rsidP="00A64A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To identify data characteristics like distribution shape and outliers.</w:t>
      </w:r>
    </w:p>
    <w:p w14:paraId="6DCA3464" w14:textId="77777777" w:rsidR="00A64AE0" w:rsidRPr="00A64AE0" w:rsidRDefault="00A64AE0" w:rsidP="00A64AE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To provide interpretations of the findings and potential recommendations based on the analysis.   </w:t>
      </w:r>
    </w:p>
    <w:p w14:paraId="0148D54C" w14:textId="77777777" w:rsidR="00A64AE0" w:rsidRPr="00A64AE0" w:rsidRDefault="00A64AE0" w:rsidP="00A64A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4AE0">
        <w:rPr>
          <w:rFonts w:ascii="Times New Roman" w:eastAsia="Times New Roman" w:hAnsi="Times New Roman" w:cs="Times New Roman"/>
          <w:b/>
          <w:bCs/>
          <w:kern w:val="0"/>
          <w14:ligatures w14:val="none"/>
        </w:rPr>
        <w:lastRenderedPageBreak/>
        <w:t>2.4. Data Source</w:t>
      </w:r>
    </w:p>
    <w:p w14:paraId="622B668D"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The analysis utilized the </w:t>
      </w:r>
      <w:r w:rsidRPr="00A64AE0">
        <w:rPr>
          <w:rFonts w:ascii="Courier New" w:eastAsia="Times New Roman" w:hAnsi="Courier New" w:cs="Courier New"/>
          <w:kern w:val="0"/>
          <w:sz w:val="20"/>
          <w:szCs w:val="20"/>
          <w14:ligatures w14:val="none"/>
        </w:rPr>
        <w:t>flint.csv</w:t>
      </w:r>
      <w:r w:rsidRPr="00A64AE0">
        <w:rPr>
          <w:rFonts w:ascii="Times New Roman" w:eastAsia="Times New Roman" w:hAnsi="Times New Roman" w:cs="Times New Roman"/>
          <w:kern w:val="0"/>
          <w14:ligatures w14:val="none"/>
        </w:rPr>
        <w:t xml:space="preserve"> dataset, containing sample IDs, location information (zip, ward), and lead measurements (pb_1, pb_2, pb_3). For this analysis, </w:t>
      </w:r>
      <w:r w:rsidRPr="00A64AE0">
        <w:rPr>
          <w:rFonts w:ascii="Courier New" w:eastAsia="Times New Roman" w:hAnsi="Courier New" w:cs="Courier New"/>
          <w:kern w:val="0"/>
          <w:sz w:val="20"/>
          <w:szCs w:val="20"/>
          <w14:ligatures w14:val="none"/>
        </w:rPr>
        <w:t>pb_1</w:t>
      </w:r>
      <w:r w:rsidRPr="00A64AE0">
        <w:rPr>
          <w:rFonts w:ascii="Times New Roman" w:eastAsia="Times New Roman" w:hAnsi="Times New Roman" w:cs="Times New Roman"/>
          <w:kern w:val="0"/>
          <w14:ligatures w14:val="none"/>
        </w:rPr>
        <w:t xml:space="preserve"> was interpreted as '</w:t>
      </w:r>
      <w:proofErr w:type="spellStart"/>
      <w:r w:rsidRPr="00A64AE0">
        <w:rPr>
          <w:rFonts w:ascii="Times New Roman" w:eastAsia="Times New Roman" w:hAnsi="Times New Roman" w:cs="Times New Roman"/>
          <w:kern w:val="0"/>
          <w14:ligatures w14:val="none"/>
        </w:rPr>
        <w:t>Lead_Before_Flushing</w:t>
      </w:r>
      <w:proofErr w:type="spellEnd"/>
      <w:r w:rsidRPr="00A64AE0">
        <w:rPr>
          <w:rFonts w:ascii="Times New Roman" w:eastAsia="Times New Roman" w:hAnsi="Times New Roman" w:cs="Times New Roman"/>
          <w:kern w:val="0"/>
          <w14:ligatures w14:val="none"/>
        </w:rPr>
        <w:t xml:space="preserve">' and </w:t>
      </w:r>
      <w:r w:rsidRPr="00A64AE0">
        <w:rPr>
          <w:rFonts w:ascii="Courier New" w:eastAsia="Times New Roman" w:hAnsi="Courier New" w:cs="Courier New"/>
          <w:kern w:val="0"/>
          <w:sz w:val="20"/>
          <w:szCs w:val="20"/>
          <w14:ligatures w14:val="none"/>
        </w:rPr>
        <w:t>pb_3</w:t>
      </w:r>
      <w:r w:rsidRPr="00A64AE0">
        <w:rPr>
          <w:rFonts w:ascii="Times New Roman" w:eastAsia="Times New Roman" w:hAnsi="Times New Roman" w:cs="Times New Roman"/>
          <w:kern w:val="0"/>
          <w14:ligatures w14:val="none"/>
        </w:rPr>
        <w:t xml:space="preserve"> as '</w:t>
      </w:r>
      <w:proofErr w:type="spellStart"/>
      <w:r w:rsidRPr="00A64AE0">
        <w:rPr>
          <w:rFonts w:ascii="Times New Roman" w:eastAsia="Times New Roman" w:hAnsi="Times New Roman" w:cs="Times New Roman"/>
          <w:kern w:val="0"/>
          <w14:ligatures w14:val="none"/>
        </w:rPr>
        <w:t>Lead_After_Flushing</w:t>
      </w:r>
      <w:proofErr w:type="spellEnd"/>
      <w:r w:rsidRPr="00A64AE0">
        <w:rPr>
          <w:rFonts w:ascii="Times New Roman" w:eastAsia="Times New Roman" w:hAnsi="Times New Roman" w:cs="Times New Roman"/>
          <w:kern w:val="0"/>
          <w14:ligatures w14:val="none"/>
        </w:rPr>
        <w:t xml:space="preserve">'.   </w:t>
      </w:r>
    </w:p>
    <w:p w14:paraId="360A13EE" w14:textId="77777777" w:rsidR="00A64AE0" w:rsidRPr="00A64AE0" w:rsidRDefault="00A64AE0" w:rsidP="00A64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4AE0">
        <w:rPr>
          <w:rFonts w:ascii="Times New Roman" w:eastAsia="Times New Roman" w:hAnsi="Times New Roman" w:cs="Times New Roman"/>
          <w:b/>
          <w:bCs/>
          <w:kern w:val="0"/>
          <w:sz w:val="27"/>
          <w:szCs w:val="27"/>
          <w14:ligatures w14:val="none"/>
        </w:rPr>
        <w:t>3. Methodology</w:t>
      </w:r>
    </w:p>
    <w:p w14:paraId="3BAB5532"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The analysis was conducted using Python with the following libraries: pandas for data manipulation, matplotlib and seaborn for visualization, </w:t>
      </w:r>
      <w:proofErr w:type="spellStart"/>
      <w:proofErr w:type="gramStart"/>
      <w:r w:rsidRPr="00A64AE0">
        <w:rPr>
          <w:rFonts w:ascii="Times New Roman" w:eastAsia="Times New Roman" w:hAnsi="Times New Roman" w:cs="Times New Roman"/>
          <w:kern w:val="0"/>
          <w14:ligatures w14:val="none"/>
        </w:rPr>
        <w:t>scipy.stats</w:t>
      </w:r>
      <w:proofErr w:type="spellEnd"/>
      <w:proofErr w:type="gramEnd"/>
      <w:r w:rsidRPr="00A64AE0">
        <w:rPr>
          <w:rFonts w:ascii="Times New Roman" w:eastAsia="Times New Roman" w:hAnsi="Times New Roman" w:cs="Times New Roman"/>
          <w:kern w:val="0"/>
          <w14:ligatures w14:val="none"/>
        </w:rPr>
        <w:t xml:space="preserve"> for statistical tests, and </w:t>
      </w:r>
      <w:proofErr w:type="spellStart"/>
      <w:r w:rsidRPr="00A64AE0">
        <w:rPr>
          <w:rFonts w:ascii="Times New Roman" w:eastAsia="Times New Roman" w:hAnsi="Times New Roman" w:cs="Times New Roman"/>
          <w:kern w:val="0"/>
          <w14:ligatures w14:val="none"/>
        </w:rPr>
        <w:t>statsmodels</w:t>
      </w:r>
      <w:proofErr w:type="spellEnd"/>
      <w:r w:rsidRPr="00A64AE0">
        <w:rPr>
          <w:rFonts w:ascii="Times New Roman" w:eastAsia="Times New Roman" w:hAnsi="Times New Roman" w:cs="Times New Roman"/>
          <w:kern w:val="0"/>
          <w14:ligatures w14:val="none"/>
        </w:rPr>
        <w:t xml:space="preserve"> for regression analysis.</w:t>
      </w:r>
    </w:p>
    <w:p w14:paraId="36F040CC"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Key steps included:</w:t>
      </w:r>
    </w:p>
    <w:p w14:paraId="39F29F96" w14:textId="77777777" w:rsidR="00A64AE0" w:rsidRPr="00A64AE0" w:rsidRDefault="00A64AE0" w:rsidP="00A64A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Data Loading and Preparation:</w:t>
      </w:r>
      <w:r w:rsidRPr="00A64AE0">
        <w:rPr>
          <w:rFonts w:ascii="Times New Roman" w:eastAsia="Times New Roman" w:hAnsi="Times New Roman" w:cs="Times New Roman"/>
          <w:kern w:val="0"/>
          <w14:ligatures w14:val="none"/>
        </w:rPr>
        <w:t xml:space="preserve"> Loading the </w:t>
      </w:r>
      <w:r w:rsidRPr="00A64AE0">
        <w:rPr>
          <w:rFonts w:ascii="Courier New" w:eastAsia="Times New Roman" w:hAnsi="Courier New" w:cs="Courier New"/>
          <w:kern w:val="0"/>
          <w:sz w:val="20"/>
          <w:szCs w:val="20"/>
          <w14:ligatures w14:val="none"/>
        </w:rPr>
        <w:t>flint.csv</w:t>
      </w:r>
      <w:r w:rsidRPr="00A64AE0">
        <w:rPr>
          <w:rFonts w:ascii="Times New Roman" w:eastAsia="Times New Roman" w:hAnsi="Times New Roman" w:cs="Times New Roman"/>
          <w:kern w:val="0"/>
          <w14:ligatures w14:val="none"/>
        </w:rPr>
        <w:t xml:space="preserve"> dataset, inspecting its structure, checking for duplicates and null values, and renaming relevant columns (</w:t>
      </w:r>
      <w:r w:rsidRPr="00A64AE0">
        <w:rPr>
          <w:rFonts w:ascii="Courier New" w:eastAsia="Times New Roman" w:hAnsi="Courier New" w:cs="Courier New"/>
          <w:kern w:val="0"/>
          <w:sz w:val="20"/>
          <w:szCs w:val="20"/>
          <w14:ligatures w14:val="none"/>
        </w:rPr>
        <w:t>pb_1</w:t>
      </w:r>
      <w:r w:rsidRPr="00A64AE0">
        <w:rPr>
          <w:rFonts w:ascii="Times New Roman" w:eastAsia="Times New Roman" w:hAnsi="Times New Roman" w:cs="Times New Roman"/>
          <w:kern w:val="0"/>
          <w14:ligatures w14:val="none"/>
        </w:rPr>
        <w:t xml:space="preserve">, </w:t>
      </w:r>
      <w:r w:rsidRPr="00A64AE0">
        <w:rPr>
          <w:rFonts w:ascii="Courier New" w:eastAsia="Times New Roman" w:hAnsi="Courier New" w:cs="Courier New"/>
          <w:kern w:val="0"/>
          <w:sz w:val="20"/>
          <w:szCs w:val="20"/>
          <w14:ligatures w14:val="none"/>
        </w:rPr>
        <w:t>pb_3</w:t>
      </w:r>
      <w:r w:rsidRPr="00A64AE0">
        <w:rPr>
          <w:rFonts w:ascii="Times New Roman" w:eastAsia="Times New Roman" w:hAnsi="Times New Roman" w:cs="Times New Roman"/>
          <w:kern w:val="0"/>
          <w14:ligatures w14:val="none"/>
        </w:rPr>
        <w:t xml:space="preserve">). Rows with missing values in the lead columns were excluded from comparative analysis.   </w:t>
      </w:r>
    </w:p>
    <w:p w14:paraId="2BE1104A" w14:textId="77777777" w:rsidR="00A64AE0" w:rsidRPr="00A64AE0" w:rsidRDefault="00A64AE0" w:rsidP="00A64A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Exploratory Data Analysis (EDA):</w:t>
      </w:r>
      <w:r w:rsidRPr="00A64AE0">
        <w:rPr>
          <w:rFonts w:ascii="Times New Roman" w:eastAsia="Times New Roman" w:hAnsi="Times New Roman" w:cs="Times New Roman"/>
          <w:kern w:val="0"/>
          <w14:ligatures w14:val="none"/>
        </w:rPr>
        <w:t xml:space="preserve"> Calculating descriptive statistics. Visualizing data distributions using histograms and assessing normality with QQ-plots. Calculating and visualizing the Pearson correlation coefficient.   </w:t>
      </w:r>
    </w:p>
    <w:p w14:paraId="743AB5B4" w14:textId="77777777" w:rsidR="00A64AE0" w:rsidRPr="00A64AE0" w:rsidRDefault="00A64AE0" w:rsidP="00A64A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Statistical Testing:</w:t>
      </w:r>
      <w:r w:rsidRPr="00A64AE0">
        <w:rPr>
          <w:rFonts w:ascii="Times New Roman" w:eastAsia="Times New Roman" w:hAnsi="Times New Roman" w:cs="Times New Roman"/>
          <w:kern w:val="0"/>
          <w14:ligatures w14:val="none"/>
        </w:rPr>
        <w:t xml:space="preserve"> Performing a paired t-test to determine if the mean difference between pre- and post-flush lead levels is statistically significant.   </w:t>
      </w:r>
    </w:p>
    <w:p w14:paraId="0B59BDE5" w14:textId="77777777" w:rsidR="00A64AE0" w:rsidRPr="00A64AE0" w:rsidRDefault="00A64AE0" w:rsidP="00A64A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Data Visualization:</w:t>
      </w:r>
      <w:r w:rsidRPr="00A64AE0">
        <w:rPr>
          <w:rFonts w:ascii="Times New Roman" w:eastAsia="Times New Roman" w:hAnsi="Times New Roman" w:cs="Times New Roman"/>
          <w:kern w:val="0"/>
          <w14:ligatures w14:val="none"/>
        </w:rPr>
        <w:t xml:space="preserve"> Creating box plots and scatter plots to compare distributions and visualize relationships.</w:t>
      </w:r>
    </w:p>
    <w:p w14:paraId="0CD6A547" w14:textId="77777777" w:rsidR="00A64AE0" w:rsidRPr="00A64AE0" w:rsidRDefault="00A64AE0" w:rsidP="00A64AE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Advanced Analysis:</w:t>
      </w:r>
      <w:r w:rsidRPr="00A64AE0">
        <w:rPr>
          <w:rFonts w:ascii="Times New Roman" w:eastAsia="Times New Roman" w:hAnsi="Times New Roman" w:cs="Times New Roman"/>
          <w:kern w:val="0"/>
          <w14:ligatures w14:val="none"/>
        </w:rPr>
        <w:t xml:space="preserve"> Identifying potential outliers using the Interquartile Range (IQR) method and discussing their potential impact. Performing Ordinary Least Squares (OLS) linear regression.   </w:t>
      </w:r>
    </w:p>
    <w:p w14:paraId="218F5948" w14:textId="77777777" w:rsidR="00A64AE0" w:rsidRPr="00A64AE0" w:rsidRDefault="00A64AE0" w:rsidP="00A64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4AE0">
        <w:rPr>
          <w:rFonts w:ascii="Times New Roman" w:eastAsia="Times New Roman" w:hAnsi="Times New Roman" w:cs="Times New Roman"/>
          <w:b/>
          <w:bCs/>
          <w:kern w:val="0"/>
          <w:sz w:val="27"/>
          <w:szCs w:val="27"/>
          <w14:ligatures w14:val="none"/>
        </w:rPr>
        <w:t>4. Results and Discussion</w:t>
      </w:r>
    </w:p>
    <w:p w14:paraId="1360D362" w14:textId="77777777" w:rsidR="00A64AE0" w:rsidRPr="00A64AE0" w:rsidRDefault="00A64AE0" w:rsidP="00A64A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4AE0">
        <w:rPr>
          <w:rFonts w:ascii="Times New Roman" w:eastAsia="Times New Roman" w:hAnsi="Times New Roman" w:cs="Times New Roman"/>
          <w:b/>
          <w:bCs/>
          <w:kern w:val="0"/>
          <w14:ligatures w14:val="none"/>
        </w:rPr>
        <w:t>4.1. Data Quality</w:t>
      </w:r>
    </w:p>
    <w:p w14:paraId="049A213C"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The dataset contained 271 samples. Initial checks found no duplicate rows and no missing values in the </w:t>
      </w:r>
      <w:r w:rsidRPr="00A64AE0">
        <w:rPr>
          <w:rFonts w:ascii="Courier New" w:eastAsia="Times New Roman" w:hAnsi="Courier New" w:cs="Courier New"/>
          <w:kern w:val="0"/>
          <w:sz w:val="20"/>
          <w:szCs w:val="20"/>
          <w14:ligatures w14:val="none"/>
        </w:rPr>
        <w:t>pb_1</w:t>
      </w:r>
      <w:r w:rsidRPr="00A64AE0">
        <w:rPr>
          <w:rFonts w:ascii="Times New Roman" w:eastAsia="Times New Roman" w:hAnsi="Times New Roman" w:cs="Times New Roman"/>
          <w:kern w:val="0"/>
          <w14:ligatures w14:val="none"/>
        </w:rPr>
        <w:t xml:space="preserve"> or </w:t>
      </w:r>
      <w:r w:rsidRPr="00A64AE0">
        <w:rPr>
          <w:rFonts w:ascii="Courier New" w:eastAsia="Times New Roman" w:hAnsi="Courier New" w:cs="Courier New"/>
          <w:kern w:val="0"/>
          <w:sz w:val="20"/>
          <w:szCs w:val="20"/>
          <w14:ligatures w14:val="none"/>
        </w:rPr>
        <w:t>pb_3</w:t>
      </w:r>
      <w:r w:rsidRPr="00A64AE0">
        <w:rPr>
          <w:rFonts w:ascii="Times New Roman" w:eastAsia="Times New Roman" w:hAnsi="Times New Roman" w:cs="Times New Roman"/>
          <w:kern w:val="0"/>
          <w14:ligatures w14:val="none"/>
        </w:rPr>
        <w:t xml:space="preserve"> columns used for the primary analysis. Therefore, all 271 samples were included.   </w:t>
      </w:r>
    </w:p>
    <w:p w14:paraId="27F9AAFA" w14:textId="77777777" w:rsidR="00A64AE0" w:rsidRPr="00A64AE0" w:rsidRDefault="00A64AE0" w:rsidP="00A64A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4AE0">
        <w:rPr>
          <w:rFonts w:ascii="Times New Roman" w:eastAsia="Times New Roman" w:hAnsi="Times New Roman" w:cs="Times New Roman"/>
          <w:b/>
          <w:bCs/>
          <w:kern w:val="0"/>
          <w14:ligatures w14:val="none"/>
        </w:rPr>
        <w:t>4.2. Exploratory Data Analysis</w:t>
      </w:r>
    </w:p>
    <w:p w14:paraId="30210ACB" w14:textId="77777777" w:rsidR="00A64AE0" w:rsidRPr="00A64AE0" w:rsidRDefault="00A64AE0" w:rsidP="00A64A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Summary Statistics:</w:t>
      </w:r>
      <w:r w:rsidRPr="00A64AE0">
        <w:rPr>
          <w:rFonts w:ascii="Times New Roman" w:eastAsia="Times New Roman" w:hAnsi="Times New Roman" w:cs="Times New Roman"/>
          <w:kern w:val="0"/>
          <w14:ligatures w14:val="none"/>
        </w:rPr>
        <w:t xml:space="preserve"> The mean lead concentration before flushing was 10.65 ppb, significantly higher than the median of 3.52 ppb. After flushing, the mean dropped to 3.66 ppb, still higher than the median of 0.83 ppb. The large difference between mean and median, along with high standard deviations (21.56 ppb before, 10.54 ppb after) and high maximum values (158 ppb before, 94.52 ppb after), strongly suggest right-skewed distributions and the presence of high outliers.   </w:t>
      </w:r>
    </w:p>
    <w:p w14:paraId="7EA7DCA4" w14:textId="77777777" w:rsidR="00A64AE0" w:rsidRPr="00A64AE0" w:rsidRDefault="00A64AE0" w:rsidP="00A64A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lastRenderedPageBreak/>
        <w:t>Distributions:</w:t>
      </w:r>
      <w:r w:rsidRPr="00A64AE0">
        <w:rPr>
          <w:rFonts w:ascii="Times New Roman" w:eastAsia="Times New Roman" w:hAnsi="Times New Roman" w:cs="Times New Roman"/>
          <w:kern w:val="0"/>
          <w14:ligatures w14:val="none"/>
        </w:rPr>
        <w:t xml:space="preserve"> Histograms confirmed that both pre- and post-flush lead levels are heavily right-skewed, with most values concentrated at the lower end but a long tail of higher values.</w:t>
      </w:r>
    </w:p>
    <w:p w14:paraId="08C88A0D"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78216227">
          <v:rect id="_x0000_i1036" alt="" style="width:431.95pt;height:.05pt;mso-width-percent:0;mso-height-percent:0;mso-width-percent:0;mso-height-percent:0" o:hrpct="923" o:hralign="center" o:hrstd="t" o:hr="t" fillcolor="#a0a0a0" stroked="f"/>
        </w:pict>
      </w:r>
    </w:p>
    <w:p w14:paraId="1064BB9D" w14:textId="5F963956" w:rsidR="00A64AE0" w:rsidRPr="00A64AE0" w:rsidRDefault="00A64AE0" w:rsidP="00A64AE0">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2A0C20A" wp14:editId="03837037">
            <wp:extent cx="5943600" cy="2462530"/>
            <wp:effectExtent l="0" t="0" r="0" b="1270"/>
            <wp:docPr id="1182385726" name="Picture 1" descr="A graph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85726" name="Picture 1" descr="A graph of two peopl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62530"/>
                    </a:xfrm>
                    <a:prstGeom prst="rect">
                      <a:avLst/>
                    </a:prstGeom>
                  </pic:spPr>
                </pic:pic>
              </a:graphicData>
            </a:graphic>
          </wp:inline>
        </w:drawing>
      </w:r>
    </w:p>
    <w:p w14:paraId="037E33EE"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33BF62B6">
          <v:rect id="_x0000_i1035" alt="" style="width:431.95pt;height:.05pt;mso-width-percent:0;mso-height-percent:0;mso-width-percent:0;mso-height-percent:0" o:hrpct="923" o:hralign="center" o:hrstd="t" o:hr="t" fillcolor="#a0a0a0" stroked="f"/>
        </w:pict>
      </w:r>
    </w:p>
    <w:p w14:paraId="1B9AE64A" w14:textId="77777777" w:rsidR="00A64AE0" w:rsidRPr="00A64AE0" w:rsidRDefault="00A64AE0" w:rsidP="00A64AE0">
      <w:pPr>
        <w:spacing w:before="100" w:beforeAutospacing="1" w:after="100" w:afterAutospacing="1" w:line="240" w:lineRule="auto"/>
        <w:ind w:left="720"/>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QQ-plots showed significant deviation from the diagonal line, further indicating the data is not normally distributed.</w:t>
      </w:r>
    </w:p>
    <w:p w14:paraId="20815A89"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503AB336">
          <v:rect id="_x0000_i1034" alt="" style="width:431.95pt;height:.05pt;mso-width-percent:0;mso-height-percent:0;mso-width-percent:0;mso-height-percent:0" o:hrpct="923" o:hralign="center" o:hrstd="t" o:hr="t" fillcolor="#a0a0a0" stroked="f"/>
        </w:pict>
      </w:r>
    </w:p>
    <w:p w14:paraId="1D7AEF58" w14:textId="0F9B8DC8" w:rsidR="00A64AE0" w:rsidRPr="00A64AE0" w:rsidRDefault="00A64AE0" w:rsidP="00A64AE0">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D9ADDB6" wp14:editId="6E8871D2">
            <wp:extent cx="5943600" cy="2396490"/>
            <wp:effectExtent l="0" t="0" r="0" b="3810"/>
            <wp:docPr id="2121445109" name="Picture 2" descr="A graph of 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45109" name="Picture 2" descr="A graph of a graph of a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96490"/>
                    </a:xfrm>
                    <a:prstGeom prst="rect">
                      <a:avLst/>
                    </a:prstGeom>
                  </pic:spPr>
                </pic:pic>
              </a:graphicData>
            </a:graphic>
          </wp:inline>
        </w:drawing>
      </w:r>
    </w:p>
    <w:p w14:paraId="103CD7F1"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76FA0950">
          <v:rect id="_x0000_i1033" alt="" style="width:431.95pt;height:.05pt;mso-width-percent:0;mso-height-percent:0;mso-width-percent:0;mso-height-percent:0" o:hrpct="923" o:hralign="center" o:hrstd="t" o:hr="t" fillcolor="#a0a0a0" stroked="f"/>
        </w:pict>
      </w:r>
    </w:p>
    <w:p w14:paraId="0934EB48" w14:textId="77777777" w:rsidR="00A64AE0" w:rsidRPr="00A64AE0" w:rsidRDefault="00A64AE0" w:rsidP="00A64A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Correlation:</w:t>
      </w:r>
      <w:r w:rsidRPr="00A64AE0">
        <w:rPr>
          <w:rFonts w:ascii="Times New Roman" w:eastAsia="Times New Roman" w:hAnsi="Times New Roman" w:cs="Times New Roman"/>
          <w:kern w:val="0"/>
          <w14:ligatures w14:val="none"/>
        </w:rPr>
        <w:t xml:space="preserve"> The Pearson correlation coefficient between '</w:t>
      </w:r>
      <w:proofErr w:type="spellStart"/>
      <w:r w:rsidRPr="00A64AE0">
        <w:rPr>
          <w:rFonts w:ascii="Times New Roman" w:eastAsia="Times New Roman" w:hAnsi="Times New Roman" w:cs="Times New Roman"/>
          <w:kern w:val="0"/>
          <w14:ligatures w14:val="none"/>
        </w:rPr>
        <w:t>Lead_Before_Flushing</w:t>
      </w:r>
      <w:proofErr w:type="spellEnd"/>
      <w:r w:rsidRPr="00A64AE0">
        <w:rPr>
          <w:rFonts w:ascii="Times New Roman" w:eastAsia="Times New Roman" w:hAnsi="Times New Roman" w:cs="Times New Roman"/>
          <w:kern w:val="0"/>
          <w14:ligatures w14:val="none"/>
        </w:rPr>
        <w:t>' and '</w:t>
      </w:r>
      <w:proofErr w:type="spellStart"/>
      <w:r w:rsidRPr="00A64AE0">
        <w:rPr>
          <w:rFonts w:ascii="Times New Roman" w:eastAsia="Times New Roman" w:hAnsi="Times New Roman" w:cs="Times New Roman"/>
          <w:kern w:val="0"/>
          <w14:ligatures w14:val="none"/>
        </w:rPr>
        <w:t>Lead_After_Flushing</w:t>
      </w:r>
      <w:proofErr w:type="spellEnd"/>
      <w:r w:rsidRPr="00A64AE0">
        <w:rPr>
          <w:rFonts w:ascii="Times New Roman" w:eastAsia="Times New Roman" w:hAnsi="Times New Roman" w:cs="Times New Roman"/>
          <w:kern w:val="0"/>
          <w14:ligatures w14:val="none"/>
        </w:rPr>
        <w:t xml:space="preserve">' was calculated as 0.55. This indicates a moderate positive linear </w:t>
      </w:r>
      <w:r w:rsidRPr="00A64AE0">
        <w:rPr>
          <w:rFonts w:ascii="Times New Roman" w:eastAsia="Times New Roman" w:hAnsi="Times New Roman" w:cs="Times New Roman"/>
          <w:kern w:val="0"/>
          <w14:ligatures w14:val="none"/>
        </w:rPr>
        <w:lastRenderedPageBreak/>
        <w:t xml:space="preserve">relationship: higher pre-flush levels tend to be associated with higher post-flush levels, but the association is not perfect. The correlation matrix heatmap visually confirmed this moderate positive relationship.   </w:t>
      </w:r>
    </w:p>
    <w:p w14:paraId="4E32DB82"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71443513">
          <v:rect id="_x0000_i1032" alt="" style="width:431.95pt;height:.05pt;mso-width-percent:0;mso-height-percent:0;mso-width-percent:0;mso-height-percent:0" o:hrpct="923" o:hralign="center" o:hrstd="t" o:hr="t" fillcolor="#a0a0a0" stroked="f"/>
        </w:pict>
      </w:r>
    </w:p>
    <w:p w14:paraId="101BE677" w14:textId="545B35E6" w:rsidR="00A64AE0" w:rsidRPr="00A64AE0" w:rsidRDefault="00A64AE0" w:rsidP="00A64AE0">
      <w:pPr>
        <w:spacing w:before="100" w:beforeAutospacing="1" w:after="100" w:afterAutospacing="1" w:line="240" w:lineRule="auto"/>
        <w:ind w:left="720"/>
        <w:jc w:val="center"/>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drawing>
          <wp:inline distT="0" distB="0" distL="0" distR="0" wp14:anchorId="4B8224DB" wp14:editId="368B6A1E">
            <wp:extent cx="4000500" cy="2921000"/>
            <wp:effectExtent l="0" t="0" r="0" b="0"/>
            <wp:docPr id="847327469" name="Picture 3" descr="A red and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27469" name="Picture 3" descr="A red and blue squares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000500" cy="2921000"/>
                    </a:xfrm>
                    <a:prstGeom prst="rect">
                      <a:avLst/>
                    </a:prstGeom>
                  </pic:spPr>
                </pic:pic>
              </a:graphicData>
            </a:graphic>
          </wp:inline>
        </w:drawing>
      </w:r>
    </w:p>
    <w:p w14:paraId="19652DB6"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60B51336">
          <v:rect id="_x0000_i1031" alt="" style="width:431.95pt;height:.05pt;mso-width-percent:0;mso-height-percent:0;mso-width-percent:0;mso-height-percent:0" o:hrpct="923" o:hralign="center" o:hrstd="t" o:hr="t" fillcolor="#a0a0a0" stroked="f"/>
        </w:pict>
      </w:r>
    </w:p>
    <w:p w14:paraId="599767B9" w14:textId="77777777" w:rsidR="00A64AE0" w:rsidRPr="00A64AE0" w:rsidRDefault="00A64AE0" w:rsidP="00A64AE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Outliers:</w:t>
      </w:r>
      <w:r w:rsidRPr="00A64AE0">
        <w:rPr>
          <w:rFonts w:ascii="Times New Roman" w:eastAsia="Times New Roman" w:hAnsi="Times New Roman" w:cs="Times New Roman"/>
          <w:kern w:val="0"/>
          <w14:ligatures w14:val="none"/>
        </w:rPr>
        <w:t xml:space="preserve"> Using the 1.5*IQR method, 33 potential outliers were identified in the '</w:t>
      </w:r>
      <w:proofErr w:type="spellStart"/>
      <w:r w:rsidRPr="00A64AE0">
        <w:rPr>
          <w:rFonts w:ascii="Times New Roman" w:eastAsia="Times New Roman" w:hAnsi="Times New Roman" w:cs="Times New Roman"/>
          <w:kern w:val="0"/>
          <w14:ligatures w14:val="none"/>
        </w:rPr>
        <w:t>Lead_Before_Flushing</w:t>
      </w:r>
      <w:proofErr w:type="spellEnd"/>
      <w:r w:rsidRPr="00A64AE0">
        <w:rPr>
          <w:rFonts w:ascii="Times New Roman" w:eastAsia="Times New Roman" w:hAnsi="Times New Roman" w:cs="Times New Roman"/>
          <w:kern w:val="0"/>
          <w14:ligatures w14:val="none"/>
        </w:rPr>
        <w:t>' data (values &gt; 20.26 ppb) and 30 potential outliers in the '</w:t>
      </w:r>
      <w:proofErr w:type="spellStart"/>
      <w:r w:rsidRPr="00A64AE0">
        <w:rPr>
          <w:rFonts w:ascii="Times New Roman" w:eastAsia="Times New Roman" w:hAnsi="Times New Roman" w:cs="Times New Roman"/>
          <w:kern w:val="0"/>
          <w14:ligatures w14:val="none"/>
        </w:rPr>
        <w:t>Lead_After_Flushing</w:t>
      </w:r>
      <w:proofErr w:type="spellEnd"/>
      <w:r w:rsidRPr="00A64AE0">
        <w:rPr>
          <w:rFonts w:ascii="Times New Roman" w:eastAsia="Times New Roman" w:hAnsi="Times New Roman" w:cs="Times New Roman"/>
          <w:kern w:val="0"/>
          <w14:ligatures w14:val="none"/>
        </w:rPr>
        <w:t xml:space="preserve">' data (values &gt; 6.39 ppb). These high values likely inflate the mean values and standard deviations and could disproportionately influence correlation and regression analyses.   </w:t>
      </w:r>
    </w:p>
    <w:p w14:paraId="2072FE6C" w14:textId="77777777" w:rsidR="00A64AE0" w:rsidRPr="00A64AE0" w:rsidRDefault="00A64AE0" w:rsidP="00A64A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4AE0">
        <w:rPr>
          <w:rFonts w:ascii="Times New Roman" w:eastAsia="Times New Roman" w:hAnsi="Times New Roman" w:cs="Times New Roman"/>
          <w:b/>
          <w:bCs/>
          <w:kern w:val="0"/>
          <w14:ligatures w14:val="none"/>
        </w:rPr>
        <w:t>4.3. Paired T-Test</w:t>
      </w:r>
    </w:p>
    <w:p w14:paraId="76974362"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A paired t-test was conducted to compare the means of the paired lead measurements (before vs. after) for each sample location.   </w:t>
      </w:r>
    </w:p>
    <w:p w14:paraId="2400F1C0" w14:textId="77777777" w:rsidR="00A64AE0" w:rsidRPr="00A64AE0" w:rsidRDefault="00A64AE0" w:rsidP="00A64A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Result:</w:t>
      </w:r>
      <w:r w:rsidRPr="00A64AE0">
        <w:rPr>
          <w:rFonts w:ascii="Times New Roman" w:eastAsia="Times New Roman" w:hAnsi="Times New Roman" w:cs="Times New Roman"/>
          <w:kern w:val="0"/>
          <w14:ligatures w14:val="none"/>
        </w:rPr>
        <w:t xml:space="preserve"> The test yielded a t-statistic of 6.37 and a p-value extremely close to zero (7.89e-10).   </w:t>
      </w:r>
    </w:p>
    <w:p w14:paraId="534722D9" w14:textId="77777777" w:rsidR="00A64AE0" w:rsidRPr="00A64AE0" w:rsidRDefault="00A64AE0" w:rsidP="00A64AE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Interpretation:</w:t>
      </w:r>
      <w:r w:rsidRPr="00A64AE0">
        <w:rPr>
          <w:rFonts w:ascii="Times New Roman" w:eastAsia="Times New Roman" w:hAnsi="Times New Roman" w:cs="Times New Roman"/>
          <w:kern w:val="0"/>
          <w14:ligatures w14:val="none"/>
        </w:rPr>
        <w:t xml:space="preserve"> Since the p-value is far below the conventional significance level of 0.05, we reject the null hypothesis. There is a statistically significant difference between mean lead concentrations before and after flushing. The mean difference was calculated as 6.99 ppb (10.65 ppb - 3.66 ppb), indicating that, on average, flushing significantly </w:t>
      </w:r>
      <w:r w:rsidRPr="00A64AE0">
        <w:rPr>
          <w:rFonts w:ascii="Times New Roman" w:eastAsia="Times New Roman" w:hAnsi="Times New Roman" w:cs="Times New Roman"/>
          <w:i/>
          <w:iCs/>
          <w:kern w:val="0"/>
          <w14:ligatures w14:val="none"/>
        </w:rPr>
        <w:t>decreases</w:t>
      </w:r>
      <w:r w:rsidRPr="00A64AE0">
        <w:rPr>
          <w:rFonts w:ascii="Times New Roman" w:eastAsia="Times New Roman" w:hAnsi="Times New Roman" w:cs="Times New Roman"/>
          <w:kern w:val="0"/>
          <w14:ligatures w14:val="none"/>
        </w:rPr>
        <w:t xml:space="preserve"> lead levels.   </w:t>
      </w:r>
    </w:p>
    <w:p w14:paraId="6B10BF56" w14:textId="77777777" w:rsidR="00A64AE0" w:rsidRPr="00A64AE0" w:rsidRDefault="00A64AE0" w:rsidP="00A64A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4AE0">
        <w:rPr>
          <w:rFonts w:ascii="Times New Roman" w:eastAsia="Times New Roman" w:hAnsi="Times New Roman" w:cs="Times New Roman"/>
          <w:b/>
          <w:bCs/>
          <w:kern w:val="0"/>
          <w14:ligatures w14:val="none"/>
        </w:rPr>
        <w:t>4.4. Data Visualization Insights</w:t>
      </w:r>
    </w:p>
    <w:p w14:paraId="7C8944A5" w14:textId="77777777" w:rsidR="00A64AE0" w:rsidRPr="00A64AE0" w:rsidRDefault="00A64AE0" w:rsidP="00A64A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lastRenderedPageBreak/>
        <w:t>Box Plots:</w:t>
      </w:r>
      <w:r w:rsidRPr="00A64AE0">
        <w:rPr>
          <w:rFonts w:ascii="Times New Roman" w:eastAsia="Times New Roman" w:hAnsi="Times New Roman" w:cs="Times New Roman"/>
          <w:kern w:val="0"/>
          <w14:ligatures w14:val="none"/>
        </w:rPr>
        <w:t xml:space="preserve"> The side-by-side box plots visually supported the t-test results [Image 4]. The median (center line of the box) for 'After Flushing' was substantially lower than for 'Before Flushing' [Image 4]. The interquartile range (length of the box) was also smaller after flushing [Image 4]. Both plots clearly displayed numerous data points beyond the whiskers, corresponding to the outliers identified earlier.</w:t>
      </w:r>
    </w:p>
    <w:p w14:paraId="391B5844"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1DAEDB75">
          <v:rect id="_x0000_i1030" alt="" style="width:431.95pt;height:.05pt;mso-width-percent:0;mso-height-percent:0;mso-width-percent:0;mso-height-percent:0" o:hrpct="923" o:hralign="center" o:hrstd="t" o:hr="t" fillcolor="#a0a0a0" stroked="f"/>
        </w:pict>
      </w:r>
    </w:p>
    <w:p w14:paraId="6915F8F3" w14:textId="474D0290"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0C15A1C" wp14:editId="1DFE7EA3">
            <wp:extent cx="5943600" cy="4131310"/>
            <wp:effectExtent l="0" t="0" r="0" b="0"/>
            <wp:docPr id="1308070102" name="Picture 4"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70102" name="Picture 4" descr="A comparison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131310"/>
                    </a:xfrm>
                    <a:prstGeom prst="rect">
                      <a:avLst/>
                    </a:prstGeom>
                  </pic:spPr>
                </pic:pic>
              </a:graphicData>
            </a:graphic>
          </wp:inline>
        </w:drawing>
      </w:r>
    </w:p>
    <w:p w14:paraId="0AFC70BA"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5825CD00">
          <v:rect id="_x0000_i1029" alt="" style="width:431.95pt;height:.05pt;mso-width-percent:0;mso-height-percent:0;mso-width-percent:0;mso-height-percent:0" o:hrpct="923" o:hralign="center" o:hrstd="t" o:hr="t" fillcolor="#a0a0a0" stroked="f"/>
        </w:pict>
      </w:r>
    </w:p>
    <w:p w14:paraId="117D3902" w14:textId="564D4CCE" w:rsidR="00A64AE0" w:rsidRPr="00A64AE0" w:rsidRDefault="00A64AE0" w:rsidP="00A64AE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Scatter Plot:</w:t>
      </w:r>
      <w:r w:rsidRPr="00A64AE0">
        <w:rPr>
          <w:rFonts w:ascii="Times New Roman" w:eastAsia="Times New Roman" w:hAnsi="Times New Roman" w:cs="Times New Roman"/>
          <w:kern w:val="0"/>
          <w14:ligatures w14:val="none"/>
        </w:rPr>
        <w:t xml:space="preserve"> The scatter plot of 'After Flushing' vs. 'Before Flushing' showed a general positive trend, consistent with the correlation coefficient. Most points fell below the 'Before = After' reference line, visually demonstrating that flushing typically resulted in lower lead levels. However, considerable scatter around any potential trend line indicated that the relationship is not tightly linear and other factors influence the post-flush level. Several points with high pre-flush levels still showed relatively high post-flush levels.</w:t>
      </w:r>
    </w:p>
    <w:p w14:paraId="0C00C65D"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3D366D5D">
          <v:rect id="_x0000_i1028" alt="" style="width:431.95pt;height:.05pt;mso-width-percent:0;mso-height-percent:0;mso-width-percent:0;mso-height-percent:0" o:hrpct="923" o:hralign="center" o:hrstd="t" o:hr="t" fillcolor="#a0a0a0" stroked="f"/>
        </w:pict>
      </w:r>
    </w:p>
    <w:p w14:paraId="14C69FF3" w14:textId="6C9FE037" w:rsidR="00A64AE0" w:rsidRPr="00A64AE0" w:rsidRDefault="00A64AE0" w:rsidP="00A64AE0">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4408B5E" wp14:editId="056AC8A4">
            <wp:extent cx="5803900" cy="4330700"/>
            <wp:effectExtent l="0" t="0" r="0" b="0"/>
            <wp:docPr id="1445176389" name="Picture 5"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76389" name="Picture 5" descr="A graph with a red line and blue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03900" cy="4330700"/>
                    </a:xfrm>
                    <a:prstGeom prst="rect">
                      <a:avLst/>
                    </a:prstGeom>
                  </pic:spPr>
                </pic:pic>
              </a:graphicData>
            </a:graphic>
          </wp:inline>
        </w:drawing>
      </w:r>
    </w:p>
    <w:p w14:paraId="22F2EFAA"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6C0E65FE">
          <v:rect id="_x0000_i1027" alt="" style="width:431.95pt;height:.05pt;mso-width-percent:0;mso-height-percent:0;mso-width-percent:0;mso-height-percent:0" o:hrpct="923" o:hralign="center" o:hrstd="t" o:hr="t" fillcolor="#a0a0a0" stroked="f"/>
        </w:pict>
      </w:r>
    </w:p>
    <w:p w14:paraId="5CE1240C" w14:textId="77777777" w:rsidR="00A64AE0" w:rsidRPr="00A64AE0" w:rsidRDefault="00A64AE0" w:rsidP="00A64AE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64AE0">
        <w:rPr>
          <w:rFonts w:ascii="Times New Roman" w:eastAsia="Times New Roman" w:hAnsi="Times New Roman" w:cs="Times New Roman"/>
          <w:b/>
          <w:bCs/>
          <w:kern w:val="0"/>
          <w14:ligatures w14:val="none"/>
        </w:rPr>
        <w:t>4.5. Linear Regression Analysis</w:t>
      </w:r>
    </w:p>
    <w:p w14:paraId="4430D1A7"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An OLS linear regression was performed to model '</w:t>
      </w:r>
      <w:proofErr w:type="spellStart"/>
      <w:r w:rsidRPr="00A64AE0">
        <w:rPr>
          <w:rFonts w:ascii="Times New Roman" w:eastAsia="Times New Roman" w:hAnsi="Times New Roman" w:cs="Times New Roman"/>
          <w:kern w:val="0"/>
          <w14:ligatures w14:val="none"/>
        </w:rPr>
        <w:t>Lead_After_Flushing</w:t>
      </w:r>
      <w:proofErr w:type="spellEnd"/>
      <w:r w:rsidRPr="00A64AE0">
        <w:rPr>
          <w:rFonts w:ascii="Times New Roman" w:eastAsia="Times New Roman" w:hAnsi="Times New Roman" w:cs="Times New Roman"/>
          <w:kern w:val="0"/>
          <w14:ligatures w14:val="none"/>
        </w:rPr>
        <w:t>' as a function of '</w:t>
      </w:r>
      <w:proofErr w:type="spellStart"/>
      <w:r w:rsidRPr="00A64AE0">
        <w:rPr>
          <w:rFonts w:ascii="Times New Roman" w:eastAsia="Times New Roman" w:hAnsi="Times New Roman" w:cs="Times New Roman"/>
          <w:kern w:val="0"/>
          <w14:ligatures w14:val="none"/>
        </w:rPr>
        <w:t>Lead_Before_Flushing</w:t>
      </w:r>
      <w:proofErr w:type="spellEnd"/>
      <w:r w:rsidRPr="00A64AE0">
        <w:rPr>
          <w:rFonts w:ascii="Times New Roman" w:eastAsia="Times New Roman" w:hAnsi="Times New Roman" w:cs="Times New Roman"/>
          <w:kern w:val="0"/>
          <w14:ligatures w14:val="none"/>
        </w:rPr>
        <w:t xml:space="preserve">'.   </w:t>
      </w:r>
    </w:p>
    <w:p w14:paraId="1FE7BFB9" w14:textId="77777777" w:rsidR="00A64AE0" w:rsidRPr="00A64AE0" w:rsidRDefault="00A64AE0" w:rsidP="00A64A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Model Fit:</w:t>
      </w:r>
      <w:r w:rsidRPr="00A64AE0">
        <w:rPr>
          <w:rFonts w:ascii="Times New Roman" w:eastAsia="Times New Roman" w:hAnsi="Times New Roman" w:cs="Times New Roman"/>
          <w:kern w:val="0"/>
          <w14:ligatures w14:val="none"/>
        </w:rPr>
        <w:t xml:space="preserve"> The overall model was statistically significant (Prob(F-statistic) = 5.98e-23, far less than 0.05).   </w:t>
      </w:r>
    </w:p>
    <w:p w14:paraId="18B2DDB2" w14:textId="77777777" w:rsidR="00A64AE0" w:rsidRPr="00A64AE0" w:rsidRDefault="00A64AE0" w:rsidP="00A64A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Coefficients:</w:t>
      </w:r>
      <w:r w:rsidRPr="00A64AE0">
        <w:rPr>
          <w:rFonts w:ascii="Times New Roman" w:eastAsia="Times New Roman" w:hAnsi="Times New Roman" w:cs="Times New Roman"/>
          <w:kern w:val="0"/>
          <w14:ligatures w14:val="none"/>
        </w:rPr>
        <w:t xml:space="preserve"> The fitted model equation was approximately: $</w:t>
      </w:r>
      <w:r w:rsidRPr="00A64AE0">
        <w:rPr>
          <w:rFonts w:ascii="Courier New" w:eastAsia="Times New Roman" w:hAnsi="Courier New" w:cs="Courier New"/>
          <w:kern w:val="0"/>
          <w:sz w:val="20"/>
          <w:szCs w:val="20"/>
          <w14:ligatures w14:val="none"/>
        </w:rPr>
        <w:t>Lead\_After\_Flushing = 0.7919 + 0.2695 \times Lead\_Before\_Flushing</w:t>
      </w:r>
      <w:r w:rsidRPr="00A64AE0">
        <w:rPr>
          <w:rFonts w:ascii="Times New Roman" w:eastAsia="Times New Roman" w:hAnsi="Times New Roman" w:cs="Times New Roman"/>
          <w:kern w:val="0"/>
          <w14:ligatures w14:val="none"/>
        </w:rPr>
        <w:t xml:space="preserve">$ The intercept (0.7919) was not statistically significant (P&gt;|t| = 0.186). The slope (0.2695) was highly significant (P&gt;|t| = 0.000), indicating that for each 1 ppb increase in lead </w:t>
      </w:r>
      <w:r w:rsidRPr="00A64AE0">
        <w:rPr>
          <w:rFonts w:ascii="Times New Roman" w:eastAsia="Times New Roman" w:hAnsi="Times New Roman" w:cs="Times New Roman"/>
          <w:i/>
          <w:iCs/>
          <w:kern w:val="0"/>
          <w14:ligatures w14:val="none"/>
        </w:rPr>
        <w:t>before</w:t>
      </w:r>
      <w:r w:rsidRPr="00A64AE0">
        <w:rPr>
          <w:rFonts w:ascii="Times New Roman" w:eastAsia="Times New Roman" w:hAnsi="Times New Roman" w:cs="Times New Roman"/>
          <w:kern w:val="0"/>
          <w14:ligatures w14:val="none"/>
        </w:rPr>
        <w:t xml:space="preserve"> flushing, the lead level </w:t>
      </w:r>
      <w:r w:rsidRPr="00A64AE0">
        <w:rPr>
          <w:rFonts w:ascii="Times New Roman" w:eastAsia="Times New Roman" w:hAnsi="Times New Roman" w:cs="Times New Roman"/>
          <w:i/>
          <w:iCs/>
          <w:kern w:val="0"/>
          <w14:ligatures w14:val="none"/>
        </w:rPr>
        <w:t>after</w:t>
      </w:r>
      <w:r w:rsidRPr="00A64AE0">
        <w:rPr>
          <w:rFonts w:ascii="Times New Roman" w:eastAsia="Times New Roman" w:hAnsi="Times New Roman" w:cs="Times New Roman"/>
          <w:kern w:val="0"/>
          <w14:ligatures w14:val="none"/>
        </w:rPr>
        <w:t xml:space="preserve"> flushing increases by about 0.27 ppb, on average.   </w:t>
      </w:r>
    </w:p>
    <w:p w14:paraId="20EFC610" w14:textId="77777777" w:rsidR="00A64AE0" w:rsidRPr="00A64AE0" w:rsidRDefault="00A64AE0" w:rsidP="00A64AE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Evaluation:</w:t>
      </w:r>
      <w:r w:rsidRPr="00A64AE0">
        <w:rPr>
          <w:rFonts w:ascii="Times New Roman" w:eastAsia="Times New Roman" w:hAnsi="Times New Roman" w:cs="Times New Roman"/>
          <w:kern w:val="0"/>
          <w14:ligatures w14:val="none"/>
        </w:rPr>
        <w:t xml:space="preserve"> The R-squared value was 0.304. This means that only about 30.4% of the variability in post-flush lead concentrations can be explained by the pre-flush concentrations in this linear model. While statistically significant, this low R-squared confirms that the pre-flush level is only a moderate predictor of the post-flush level. The scatter plot with the regression line visually confirmed this – the line captures a general trend, but many points lie far from it. Tests within the OLS summary (Omnibus, Jarque-</w:t>
      </w:r>
      <w:r w:rsidRPr="00A64AE0">
        <w:rPr>
          <w:rFonts w:ascii="Times New Roman" w:eastAsia="Times New Roman" w:hAnsi="Times New Roman" w:cs="Times New Roman"/>
          <w:kern w:val="0"/>
          <w14:ligatures w14:val="none"/>
        </w:rPr>
        <w:lastRenderedPageBreak/>
        <w:t xml:space="preserve">Bera) also suggested that the model's residuals are not normally distributed, likely due to the underlying skewness and outliers in the data.   </w:t>
      </w:r>
    </w:p>
    <w:p w14:paraId="298E29D5"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7F6BBFF9">
          <v:rect id="_x0000_i1026" alt="" style="width:431.95pt;height:.05pt;mso-width-percent:0;mso-height-percent:0;mso-width-percent:0;mso-height-percent:0" o:hrpct="923" o:hralign="center" o:hrstd="t" o:hr="t" fillcolor="#a0a0a0" stroked="f"/>
        </w:pict>
      </w:r>
    </w:p>
    <w:p w14:paraId="4DE797EF" w14:textId="5E0C1A90" w:rsidR="00A64AE0" w:rsidRPr="00A64AE0" w:rsidRDefault="00A64AE0" w:rsidP="00A64AE0">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1E62207" wp14:editId="0E86A246">
            <wp:extent cx="5626100" cy="4343400"/>
            <wp:effectExtent l="0" t="0" r="0" b="0"/>
            <wp:docPr id="684400797" name="Picture 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00797" name="Picture 6" descr="A graph with a red li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26100" cy="4343400"/>
                    </a:xfrm>
                    <a:prstGeom prst="rect">
                      <a:avLst/>
                    </a:prstGeom>
                  </pic:spPr>
                </pic:pic>
              </a:graphicData>
            </a:graphic>
          </wp:inline>
        </w:drawing>
      </w:r>
    </w:p>
    <w:p w14:paraId="48BC9792" w14:textId="77777777" w:rsidR="00A64AE0" w:rsidRPr="00A64AE0" w:rsidRDefault="009E4E4D" w:rsidP="00A64AE0">
      <w:pPr>
        <w:spacing w:after="0" w:line="240" w:lineRule="auto"/>
        <w:ind w:left="720"/>
        <w:rPr>
          <w:rFonts w:ascii="Times New Roman" w:eastAsia="Times New Roman" w:hAnsi="Times New Roman" w:cs="Times New Roman"/>
          <w:kern w:val="0"/>
          <w14:ligatures w14:val="none"/>
        </w:rPr>
      </w:pPr>
      <w:r w:rsidRPr="009E4E4D">
        <w:rPr>
          <w:rFonts w:ascii="Times New Roman" w:eastAsia="Times New Roman" w:hAnsi="Times New Roman" w:cs="Times New Roman"/>
          <w:noProof/>
          <w:kern w:val="0"/>
        </w:rPr>
        <w:pict w14:anchorId="63B0B9A7">
          <v:rect id="_x0000_i1025" alt="" style="width:431.95pt;height:.05pt;mso-width-percent:0;mso-height-percent:0;mso-width-percent:0;mso-height-percent:0" o:hrpct="923" o:hralign="center" o:hrstd="t" o:hr="t" fillcolor="#a0a0a0" stroked="f"/>
        </w:pict>
      </w:r>
    </w:p>
    <w:p w14:paraId="060F9D86" w14:textId="77777777" w:rsidR="00A64AE0" w:rsidRPr="00A64AE0" w:rsidRDefault="00A64AE0" w:rsidP="00A64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4AE0">
        <w:rPr>
          <w:rFonts w:ascii="Times New Roman" w:eastAsia="Times New Roman" w:hAnsi="Times New Roman" w:cs="Times New Roman"/>
          <w:b/>
          <w:bCs/>
          <w:kern w:val="0"/>
          <w:sz w:val="27"/>
          <w:szCs w:val="27"/>
          <w14:ligatures w14:val="none"/>
        </w:rPr>
        <w:t>5. Recommendations</w:t>
      </w:r>
    </w:p>
    <w:p w14:paraId="201ADD39"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Based solely on this analysis of the provided data:</w:t>
      </w:r>
    </w:p>
    <w:p w14:paraId="41A58862" w14:textId="77777777" w:rsidR="00A64AE0" w:rsidRPr="00A64AE0" w:rsidRDefault="00A64AE0" w:rsidP="00A64A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Continue Flushing:</w:t>
      </w:r>
      <w:r w:rsidRPr="00A64AE0">
        <w:rPr>
          <w:rFonts w:ascii="Times New Roman" w:eastAsia="Times New Roman" w:hAnsi="Times New Roman" w:cs="Times New Roman"/>
          <w:kern w:val="0"/>
          <w14:ligatures w14:val="none"/>
        </w:rPr>
        <w:t xml:space="preserve"> Given the statistically significant average reduction in lead levels shown by the t-test and visualizations, flushing taps before using water for consumption should continue to be recommended as a general practice to reduce potential lead exposure from stagnant water in plumbing.   </w:t>
      </w:r>
    </w:p>
    <w:p w14:paraId="066DE5AE" w14:textId="77777777" w:rsidR="00A64AE0" w:rsidRPr="00A64AE0" w:rsidRDefault="00A64AE0" w:rsidP="00A64A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Investigate High-Risk Locations:</w:t>
      </w:r>
      <w:r w:rsidRPr="00A64AE0">
        <w:rPr>
          <w:rFonts w:ascii="Times New Roman" w:eastAsia="Times New Roman" w:hAnsi="Times New Roman" w:cs="Times New Roman"/>
          <w:kern w:val="0"/>
          <w14:ligatures w14:val="none"/>
        </w:rPr>
        <w:t xml:space="preserve"> The analysis identified numerous samples with very high lead levels (outliers), even after flushing. These specific locations warrant further investigation (e.g., checking pipe materials, service line status) as standard flushing may not be sufficiently protective.   </w:t>
      </w:r>
    </w:p>
    <w:p w14:paraId="41110207" w14:textId="77777777" w:rsidR="00A64AE0" w:rsidRPr="00A64AE0" w:rsidRDefault="00A64AE0" w:rsidP="00A64A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lastRenderedPageBreak/>
        <w:t>Acknowledge Predictive Limitations:</w:t>
      </w:r>
      <w:r w:rsidRPr="00A64AE0">
        <w:rPr>
          <w:rFonts w:ascii="Times New Roman" w:eastAsia="Times New Roman" w:hAnsi="Times New Roman" w:cs="Times New Roman"/>
          <w:kern w:val="0"/>
          <w14:ligatures w14:val="none"/>
        </w:rPr>
        <w:t xml:space="preserve"> While pre-flush levels have a statistically significant relationship with post-flush levels, the low R-squared (≈30%) indicates that using the first-draw level alone is not a reliable method for predicting the lead level after flushing. Public health guidance should reflect that other factors are major contributors.   </w:t>
      </w:r>
    </w:p>
    <w:p w14:paraId="44879AC3" w14:textId="77777777" w:rsidR="00A64AE0" w:rsidRPr="00A64AE0" w:rsidRDefault="00A64AE0" w:rsidP="00A64AE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b/>
          <w:bCs/>
          <w:kern w:val="0"/>
          <w14:ligatures w14:val="none"/>
        </w:rPr>
        <w:t>Consider Advanced Analytical Approaches (Optional):</w:t>
      </w:r>
      <w:r w:rsidRPr="00A64AE0">
        <w:rPr>
          <w:rFonts w:ascii="Times New Roman" w:eastAsia="Times New Roman" w:hAnsi="Times New Roman" w:cs="Times New Roman"/>
          <w:kern w:val="0"/>
          <w14:ligatures w14:val="none"/>
        </w:rPr>
        <w:t xml:space="preserve"> For future or more in-depth research on this dataset, exploring data transformations (like logarithmic) to handle skewness or employing non-parametric statistical methods might provide additional insights, especially given the potential violation of assumptions in standard linear regression due to outliers.   </w:t>
      </w:r>
    </w:p>
    <w:p w14:paraId="21490AFA" w14:textId="77777777" w:rsidR="00A64AE0" w:rsidRPr="00A64AE0" w:rsidRDefault="00A64AE0" w:rsidP="00A64A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64AE0">
        <w:rPr>
          <w:rFonts w:ascii="Times New Roman" w:eastAsia="Times New Roman" w:hAnsi="Times New Roman" w:cs="Times New Roman"/>
          <w:b/>
          <w:bCs/>
          <w:kern w:val="0"/>
          <w:sz w:val="27"/>
          <w:szCs w:val="27"/>
          <w14:ligatures w14:val="none"/>
        </w:rPr>
        <w:t>6. Conclusion</w:t>
      </w:r>
    </w:p>
    <w:p w14:paraId="0A36CE06" w14:textId="77777777" w:rsidR="00A64AE0" w:rsidRPr="00A64AE0" w:rsidRDefault="00A64AE0" w:rsidP="00A64AE0">
      <w:pPr>
        <w:spacing w:before="100" w:beforeAutospacing="1" w:after="100" w:afterAutospacing="1" w:line="240" w:lineRule="auto"/>
        <w:rPr>
          <w:rFonts w:ascii="Times New Roman" w:eastAsia="Times New Roman" w:hAnsi="Times New Roman" w:cs="Times New Roman"/>
          <w:kern w:val="0"/>
          <w14:ligatures w14:val="none"/>
        </w:rPr>
      </w:pPr>
      <w:r w:rsidRPr="00A64AE0">
        <w:rPr>
          <w:rFonts w:ascii="Times New Roman" w:eastAsia="Times New Roman" w:hAnsi="Times New Roman" w:cs="Times New Roman"/>
          <w:kern w:val="0"/>
          <w14:ligatures w14:val="none"/>
        </w:rPr>
        <w:t xml:space="preserve">This analysis successfully utilized Python tools to explore the Flint water sampling data. The findings clearly demonstrate that flushing taps leads to a </w:t>
      </w:r>
      <w:r w:rsidRPr="00A64AE0">
        <w:rPr>
          <w:rFonts w:ascii="Times New Roman" w:eastAsia="Times New Roman" w:hAnsi="Times New Roman" w:cs="Times New Roman"/>
          <w:b/>
          <w:bCs/>
          <w:kern w:val="0"/>
          <w14:ligatures w14:val="none"/>
        </w:rPr>
        <w:t>statistically significant reduction</w:t>
      </w:r>
      <w:r w:rsidRPr="00A64AE0">
        <w:rPr>
          <w:rFonts w:ascii="Times New Roman" w:eastAsia="Times New Roman" w:hAnsi="Times New Roman" w:cs="Times New Roman"/>
          <w:kern w:val="0"/>
          <w14:ligatures w14:val="none"/>
        </w:rPr>
        <w:t xml:space="preserve"> in lead concentrations on average. However, the analysis also revealed </w:t>
      </w:r>
      <w:r w:rsidRPr="00A64AE0">
        <w:rPr>
          <w:rFonts w:ascii="Times New Roman" w:eastAsia="Times New Roman" w:hAnsi="Times New Roman" w:cs="Times New Roman"/>
          <w:b/>
          <w:bCs/>
          <w:kern w:val="0"/>
          <w14:ligatures w14:val="none"/>
        </w:rPr>
        <w:t>substantial variability</w:t>
      </w:r>
      <w:r w:rsidRPr="00A64AE0">
        <w:rPr>
          <w:rFonts w:ascii="Times New Roman" w:eastAsia="Times New Roman" w:hAnsi="Times New Roman" w:cs="Times New Roman"/>
          <w:kern w:val="0"/>
          <w14:ligatures w14:val="none"/>
        </w:rPr>
        <w:t xml:space="preserve"> in lead levels and the presence of </w:t>
      </w:r>
      <w:r w:rsidRPr="00A64AE0">
        <w:rPr>
          <w:rFonts w:ascii="Times New Roman" w:eastAsia="Times New Roman" w:hAnsi="Times New Roman" w:cs="Times New Roman"/>
          <w:b/>
          <w:bCs/>
          <w:kern w:val="0"/>
          <w14:ligatures w14:val="none"/>
        </w:rPr>
        <w:t>concerningly high outliers</w:t>
      </w:r>
      <w:r w:rsidRPr="00A64AE0">
        <w:rPr>
          <w:rFonts w:ascii="Times New Roman" w:eastAsia="Times New Roman" w:hAnsi="Times New Roman" w:cs="Times New Roman"/>
          <w:kern w:val="0"/>
          <w14:ligatures w14:val="none"/>
        </w:rPr>
        <w:t xml:space="preserve"> both before and, crucially, sometimes even after flushing. While a moderate positive relationship exists between pre- and post-flush levels, the former is a </w:t>
      </w:r>
      <w:r w:rsidRPr="00A64AE0">
        <w:rPr>
          <w:rFonts w:ascii="Times New Roman" w:eastAsia="Times New Roman" w:hAnsi="Times New Roman" w:cs="Times New Roman"/>
          <w:b/>
          <w:bCs/>
          <w:kern w:val="0"/>
          <w14:ligatures w14:val="none"/>
        </w:rPr>
        <w:t>relatively weak predictor</w:t>
      </w:r>
      <w:r w:rsidRPr="00A64AE0">
        <w:rPr>
          <w:rFonts w:ascii="Times New Roman" w:eastAsia="Times New Roman" w:hAnsi="Times New Roman" w:cs="Times New Roman"/>
          <w:kern w:val="0"/>
          <w14:ligatures w14:val="none"/>
        </w:rPr>
        <w:t xml:space="preserve"> of the latter (explaining only ~30% of the variance). This underscores that factors beyond the immediate plumbing likely contribute significantly to post-flush lead levels. Overall, the analysis supports flushing as a beneficial practice but highlights the complex nature of lead contamination and the need for attention to high-risk locations where flushing alone may be insufficient.   </w:t>
      </w:r>
    </w:p>
    <w:p w14:paraId="6D72B01A" w14:textId="77777777" w:rsidR="00D464A1" w:rsidRDefault="00D464A1"/>
    <w:sectPr w:rsidR="00D464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0E0B"/>
    <w:multiLevelType w:val="multilevel"/>
    <w:tmpl w:val="B8D6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306139"/>
    <w:multiLevelType w:val="multilevel"/>
    <w:tmpl w:val="427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147B4"/>
    <w:multiLevelType w:val="multilevel"/>
    <w:tmpl w:val="FAD8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A118C"/>
    <w:multiLevelType w:val="multilevel"/>
    <w:tmpl w:val="D65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35AC8"/>
    <w:multiLevelType w:val="multilevel"/>
    <w:tmpl w:val="C5C6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D6211"/>
    <w:multiLevelType w:val="multilevel"/>
    <w:tmpl w:val="CB22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10845"/>
    <w:multiLevelType w:val="multilevel"/>
    <w:tmpl w:val="F4A6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835883">
    <w:abstractNumId w:val="2"/>
  </w:num>
  <w:num w:numId="2" w16cid:durableId="475269722">
    <w:abstractNumId w:val="6"/>
  </w:num>
  <w:num w:numId="3" w16cid:durableId="367687723">
    <w:abstractNumId w:val="4"/>
  </w:num>
  <w:num w:numId="4" w16cid:durableId="397755038">
    <w:abstractNumId w:val="3"/>
  </w:num>
  <w:num w:numId="5" w16cid:durableId="539637054">
    <w:abstractNumId w:val="5"/>
  </w:num>
  <w:num w:numId="6" w16cid:durableId="1334381471">
    <w:abstractNumId w:val="1"/>
  </w:num>
  <w:num w:numId="7" w16cid:durableId="113640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AE0"/>
    <w:rsid w:val="001247D8"/>
    <w:rsid w:val="009912AA"/>
    <w:rsid w:val="009E4E4D"/>
    <w:rsid w:val="009F1548"/>
    <w:rsid w:val="00A64AE0"/>
    <w:rsid w:val="00D464A1"/>
    <w:rsid w:val="00DF08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A791"/>
  <w15:chartTrackingRefBased/>
  <w15:docId w15:val="{10088F81-1E43-104F-BFE7-182E3549E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4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4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4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AE0"/>
    <w:rPr>
      <w:rFonts w:eastAsiaTheme="majorEastAsia" w:cstheme="majorBidi"/>
      <w:color w:val="272727" w:themeColor="text1" w:themeTint="D8"/>
    </w:rPr>
  </w:style>
  <w:style w:type="paragraph" w:styleId="Title">
    <w:name w:val="Title"/>
    <w:basedOn w:val="Normal"/>
    <w:next w:val="Normal"/>
    <w:link w:val="TitleChar"/>
    <w:uiPriority w:val="10"/>
    <w:qFormat/>
    <w:rsid w:val="00A64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AE0"/>
    <w:pPr>
      <w:spacing w:before="160"/>
      <w:jc w:val="center"/>
    </w:pPr>
    <w:rPr>
      <w:i/>
      <w:iCs/>
      <w:color w:val="404040" w:themeColor="text1" w:themeTint="BF"/>
    </w:rPr>
  </w:style>
  <w:style w:type="character" w:customStyle="1" w:styleId="QuoteChar">
    <w:name w:val="Quote Char"/>
    <w:basedOn w:val="DefaultParagraphFont"/>
    <w:link w:val="Quote"/>
    <w:uiPriority w:val="29"/>
    <w:rsid w:val="00A64AE0"/>
    <w:rPr>
      <w:i/>
      <w:iCs/>
      <w:color w:val="404040" w:themeColor="text1" w:themeTint="BF"/>
    </w:rPr>
  </w:style>
  <w:style w:type="paragraph" w:styleId="ListParagraph">
    <w:name w:val="List Paragraph"/>
    <w:basedOn w:val="Normal"/>
    <w:uiPriority w:val="34"/>
    <w:qFormat/>
    <w:rsid w:val="00A64AE0"/>
    <w:pPr>
      <w:ind w:left="720"/>
      <w:contextualSpacing/>
    </w:pPr>
  </w:style>
  <w:style w:type="character" w:styleId="IntenseEmphasis">
    <w:name w:val="Intense Emphasis"/>
    <w:basedOn w:val="DefaultParagraphFont"/>
    <w:uiPriority w:val="21"/>
    <w:qFormat/>
    <w:rsid w:val="00A64AE0"/>
    <w:rPr>
      <w:i/>
      <w:iCs/>
      <w:color w:val="0F4761" w:themeColor="accent1" w:themeShade="BF"/>
    </w:rPr>
  </w:style>
  <w:style w:type="paragraph" w:styleId="IntenseQuote">
    <w:name w:val="Intense Quote"/>
    <w:basedOn w:val="Normal"/>
    <w:next w:val="Normal"/>
    <w:link w:val="IntenseQuoteChar"/>
    <w:uiPriority w:val="30"/>
    <w:qFormat/>
    <w:rsid w:val="00A64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AE0"/>
    <w:rPr>
      <w:i/>
      <w:iCs/>
      <w:color w:val="0F4761" w:themeColor="accent1" w:themeShade="BF"/>
    </w:rPr>
  </w:style>
  <w:style w:type="character" w:styleId="IntenseReference">
    <w:name w:val="Intense Reference"/>
    <w:basedOn w:val="DefaultParagraphFont"/>
    <w:uiPriority w:val="32"/>
    <w:qFormat/>
    <w:rsid w:val="00A64AE0"/>
    <w:rPr>
      <w:b/>
      <w:bCs/>
      <w:smallCaps/>
      <w:color w:val="0F4761" w:themeColor="accent1" w:themeShade="BF"/>
      <w:spacing w:val="5"/>
    </w:rPr>
  </w:style>
  <w:style w:type="character" w:styleId="Strong">
    <w:name w:val="Strong"/>
    <w:basedOn w:val="DefaultParagraphFont"/>
    <w:uiPriority w:val="22"/>
    <w:qFormat/>
    <w:rsid w:val="00A64AE0"/>
    <w:rPr>
      <w:b/>
      <w:bCs/>
    </w:rPr>
  </w:style>
  <w:style w:type="paragraph" w:styleId="NormalWeb">
    <w:name w:val="Normal (Web)"/>
    <w:basedOn w:val="Normal"/>
    <w:uiPriority w:val="99"/>
    <w:semiHidden/>
    <w:unhideWhenUsed/>
    <w:rsid w:val="00A64A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64AE0"/>
    <w:rPr>
      <w:rFonts w:ascii="Courier New" w:eastAsia="Times New Roman" w:hAnsi="Courier New" w:cs="Courier New"/>
      <w:sz w:val="20"/>
      <w:szCs w:val="20"/>
    </w:rPr>
  </w:style>
  <w:style w:type="character" w:customStyle="1" w:styleId="button-container">
    <w:name w:val="button-container"/>
    <w:basedOn w:val="DefaultParagraphFont"/>
    <w:rsid w:val="00A64AE0"/>
  </w:style>
  <w:style w:type="character" w:styleId="Emphasis">
    <w:name w:val="Emphasis"/>
    <w:basedOn w:val="DefaultParagraphFont"/>
    <w:uiPriority w:val="20"/>
    <w:qFormat/>
    <w:rsid w:val="00A64A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3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1646</Words>
  <Characters>9387</Characters>
  <Application>Microsoft Office Word</Application>
  <DocSecurity>0</DocSecurity>
  <Lines>78</Lines>
  <Paragraphs>22</Paragraphs>
  <ScaleCrop>false</ScaleCrop>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Clinoy Cleetus</dc:creator>
  <cp:keywords/>
  <dc:description/>
  <cp:lastModifiedBy>Clinoy Cleetus</cp:lastModifiedBy>
  <cp:revision>1</cp:revision>
  <dcterms:created xsi:type="dcterms:W3CDTF">2025-04-29T22:27:00Z</dcterms:created>
  <dcterms:modified xsi:type="dcterms:W3CDTF">2025-04-29T22:36:00Z</dcterms:modified>
</cp:coreProperties>
</file>