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CA1" w:rsidRDefault="00260CA1" w:rsidP="00705865">
      <w:pPr>
        <w:pStyle w:val="Title"/>
        <w:widowControl/>
        <w:rPr>
          <w:sz w:val="44"/>
        </w:rPr>
      </w:pPr>
    </w:p>
    <w:p w:rsidR="00000000" w:rsidRPr="00F412F1" w:rsidRDefault="00622B4B" w:rsidP="00705865">
      <w:pPr>
        <w:pStyle w:val="Title"/>
        <w:widowControl/>
        <w:rPr>
          <w:sz w:val="44"/>
        </w:rPr>
      </w:pPr>
      <w:r w:rsidRPr="00F412F1">
        <w:rPr>
          <w:sz w:val="44"/>
        </w:rPr>
        <w:t>Decomposing Factor Returns</w:t>
      </w:r>
      <w:r w:rsidR="00705865" w:rsidRPr="00F412F1">
        <w:rPr>
          <w:rStyle w:val="FootnoteReference"/>
          <w:sz w:val="44"/>
        </w:rPr>
        <w:footnoteReference w:id="1"/>
      </w:r>
    </w:p>
    <w:p w:rsidR="00000000" w:rsidRPr="00F412F1" w:rsidRDefault="00622B4B">
      <w:pPr>
        <w:pStyle w:val="Title"/>
        <w:widowControl/>
      </w:pPr>
    </w:p>
    <w:p w:rsidR="00000000" w:rsidRPr="00F412F1" w:rsidRDefault="00622B4B">
      <w:pPr>
        <w:pStyle w:val="author"/>
        <w:widowControl/>
        <w:ind w:firstLine="360"/>
        <w:rPr>
          <w:sz w:val="32"/>
        </w:rPr>
      </w:pPr>
      <w:r w:rsidRPr="00F412F1">
        <w:t xml:space="preserve"> </w:t>
      </w:r>
      <w:r w:rsidRPr="00F412F1">
        <w:rPr>
          <w:sz w:val="32"/>
        </w:rPr>
        <w:t>Andrea L. Eisfeldt,</w:t>
      </w:r>
      <w:r w:rsidRPr="00F412F1">
        <w:rPr>
          <w:rStyle w:val="FootnoteReference"/>
          <w:sz w:val="32"/>
        </w:rPr>
        <w:footnoteReference w:id="2"/>
      </w:r>
      <w:r w:rsidRPr="00F412F1">
        <w:rPr>
          <w:sz w:val="32"/>
        </w:rPr>
        <w:t xml:space="preserve"> Tarun</w:t>
      </w:r>
      <w:r w:rsidRPr="00F412F1">
        <w:rPr>
          <w:sz w:val="32"/>
        </w:rPr>
        <w:t xml:space="preserve"> Gupta,</w:t>
      </w:r>
      <w:r w:rsidRPr="00F412F1">
        <w:rPr>
          <w:rStyle w:val="FootnoteReference"/>
          <w:sz w:val="32"/>
        </w:rPr>
        <w:footnoteReference w:id="3"/>
      </w:r>
    </w:p>
    <w:p w:rsidR="00000000" w:rsidRPr="00F412F1" w:rsidRDefault="00705865">
      <w:pPr>
        <w:pStyle w:val="author"/>
        <w:widowControl/>
        <w:ind w:firstLine="360"/>
        <w:rPr>
          <w:sz w:val="32"/>
        </w:rPr>
      </w:pPr>
      <w:r w:rsidRPr="00F412F1">
        <w:rPr>
          <w:sz w:val="32"/>
        </w:rPr>
        <w:t>January 25, 2017</w:t>
      </w:r>
    </w:p>
    <w:p w:rsidR="00F412F1" w:rsidRPr="00F412F1" w:rsidRDefault="00F412F1" w:rsidP="00F412F1">
      <w:pPr>
        <w:rPr>
          <w:sz w:val="28"/>
        </w:rPr>
      </w:pPr>
    </w:p>
    <w:p w:rsidR="00F412F1" w:rsidRPr="00F412F1" w:rsidRDefault="00F412F1" w:rsidP="00F412F1">
      <w:pPr>
        <w:rPr>
          <w:sz w:val="28"/>
        </w:rPr>
      </w:pPr>
    </w:p>
    <w:p w:rsidR="00705865" w:rsidRPr="00F412F1" w:rsidRDefault="00705865" w:rsidP="00705865"/>
    <w:p w:rsidR="00000000" w:rsidRPr="00F412F1" w:rsidRDefault="00622B4B">
      <w:pPr>
        <w:pStyle w:val="abstracttitle"/>
        <w:widowControl/>
        <w:ind w:firstLine="360"/>
      </w:pPr>
      <w:r w:rsidRPr="00F412F1">
        <w:t>Abstract</w:t>
      </w:r>
    </w:p>
    <w:p w:rsidR="00F412F1" w:rsidRPr="00F412F1" w:rsidRDefault="00F412F1" w:rsidP="00F412F1">
      <w:pPr>
        <w:pStyle w:val="abstract"/>
        <w:rPr>
          <w:sz w:val="28"/>
        </w:rPr>
      </w:pPr>
    </w:p>
    <w:p w:rsidR="00705865" w:rsidRPr="00F412F1" w:rsidRDefault="00705865" w:rsidP="00705865">
      <w:pPr>
        <w:pStyle w:val="abstract"/>
      </w:pPr>
    </w:p>
    <w:p w:rsidR="00000000" w:rsidRPr="00F412F1" w:rsidRDefault="00622B4B" w:rsidP="00F412F1">
      <w:pPr>
        <w:ind w:left="720" w:right="760" w:firstLine="360"/>
      </w:pPr>
      <w:r w:rsidRPr="00F412F1">
        <w:t xml:space="preserve">  We present a simple, exact, decomposition of factor-based equity portfolio returns into their compositional, valuation, and fundamental components. Our decomposition distinguishes betw</w:t>
      </w:r>
      <w:r w:rsidRPr="00F412F1">
        <w:t>een returns from changes in portfolio weights, or rebalancing across stocks (composition returns), by valuation changes or increases in market relative to book values (valuation returns), or by changes in firm fundamentals measured by book asset values (fu</w:t>
      </w:r>
      <w:r w:rsidRPr="00F412F1">
        <w:t xml:space="preserve">ndamental returns). We show how the contribution of each component varies across factor portfolios, and across strategy implementations with different rebalancing and holding periods. </w:t>
      </w:r>
    </w:p>
    <w:p w:rsidR="00000000" w:rsidRPr="00260CA1" w:rsidRDefault="00622B4B" w:rsidP="00260CA1">
      <w:pPr>
        <w:pStyle w:val="Heading1"/>
      </w:pPr>
      <w:r w:rsidRPr="00F412F1">
        <w:rPr>
          <w:noProof w:val="0"/>
        </w:rPr>
        <w:br w:type="page"/>
      </w:r>
      <w:r w:rsidR="00705865" w:rsidRPr="00260CA1">
        <w:lastRenderedPageBreak/>
        <w:t>Introduction</w:t>
      </w:r>
    </w:p>
    <w:p w:rsidR="00000000" w:rsidRPr="00F412F1" w:rsidRDefault="00622B4B" w:rsidP="00705865">
      <w:pPr>
        <w:pStyle w:val="List"/>
        <w:numPr>
          <w:ilvl w:val="0"/>
          <w:numId w:val="2"/>
        </w:numPr>
        <w:spacing w:before="50" w:line="360" w:lineRule="auto"/>
        <w:rPr>
          <w:sz w:val="24"/>
          <w:szCs w:val="24"/>
        </w:rPr>
      </w:pPr>
      <w:r w:rsidRPr="00F412F1">
        <w:rPr>
          <w:sz w:val="24"/>
          <w:szCs w:val="24"/>
        </w:rPr>
        <w:t>D</w:t>
      </w:r>
      <w:r w:rsidRPr="00F412F1">
        <w:rPr>
          <w:sz w:val="24"/>
          <w:szCs w:val="24"/>
        </w:rPr>
        <w:t xml:space="preserve">efine decomposition </w:t>
      </w:r>
    </w:p>
    <w:p w:rsidR="00000000" w:rsidRPr="00F412F1" w:rsidRDefault="00622B4B" w:rsidP="00705865">
      <w:pPr>
        <w:pStyle w:val="List"/>
        <w:numPr>
          <w:ilvl w:val="0"/>
          <w:numId w:val="2"/>
        </w:numPr>
        <w:spacing w:before="50" w:line="360" w:lineRule="auto"/>
        <w:rPr>
          <w:sz w:val="24"/>
          <w:szCs w:val="24"/>
        </w:rPr>
      </w:pPr>
      <w:r w:rsidRPr="00F412F1">
        <w:rPr>
          <w:sz w:val="24"/>
          <w:szCs w:val="24"/>
        </w:rPr>
        <w:t xml:space="preserve">Why we care: </w:t>
      </w:r>
    </w:p>
    <w:p w:rsidR="00000000" w:rsidRPr="00F412F1" w:rsidRDefault="00622B4B" w:rsidP="003458F7">
      <w:pPr>
        <w:pStyle w:val="List"/>
        <w:numPr>
          <w:ilvl w:val="1"/>
          <w:numId w:val="3"/>
        </w:numPr>
        <w:spacing w:before="50" w:line="360" w:lineRule="auto"/>
        <w:ind w:left="1350" w:hanging="270"/>
        <w:jc w:val="both"/>
        <w:rPr>
          <w:sz w:val="24"/>
          <w:szCs w:val="24"/>
        </w:rPr>
      </w:pPr>
      <w:r w:rsidRPr="00F412F1">
        <w:rPr>
          <w:sz w:val="24"/>
          <w:szCs w:val="24"/>
        </w:rPr>
        <w:t>Decomposit</w:t>
      </w:r>
      <w:r w:rsidRPr="00F412F1">
        <w:rPr>
          <w:sz w:val="24"/>
          <w:szCs w:val="24"/>
        </w:rPr>
        <w:t>ion can help to understand how much of factor returns are driven by stocks within the factor portfolios becoming more or less expensive relative to their fundamentals, vs. the stocks themselves changing (either the actual name of the stock or the size of t</w:t>
      </w:r>
      <w:r w:rsidRPr="00F412F1">
        <w:rPr>
          <w:sz w:val="24"/>
          <w:szCs w:val="24"/>
        </w:rPr>
        <w:t xml:space="preserve">he fundamental assets of the stock) </w:t>
      </w:r>
    </w:p>
    <w:p w:rsidR="00000000" w:rsidRPr="00F412F1" w:rsidRDefault="00622B4B" w:rsidP="003458F7">
      <w:pPr>
        <w:pStyle w:val="List"/>
        <w:numPr>
          <w:ilvl w:val="1"/>
          <w:numId w:val="3"/>
        </w:numPr>
        <w:spacing w:before="50" w:line="360" w:lineRule="auto"/>
        <w:ind w:left="1350" w:hanging="270"/>
        <w:jc w:val="both"/>
        <w:rPr>
          <w:sz w:val="24"/>
          <w:szCs w:val="24"/>
        </w:rPr>
      </w:pPr>
      <w:r w:rsidRPr="00F412F1">
        <w:rPr>
          <w:sz w:val="24"/>
          <w:szCs w:val="24"/>
        </w:rPr>
        <w:t xml:space="preserve">Where returns come from matters for how important expert implementation is </w:t>
      </w:r>
    </w:p>
    <w:p w:rsidR="00000000" w:rsidRPr="00F412F1" w:rsidRDefault="00622B4B" w:rsidP="003458F7">
      <w:pPr>
        <w:pStyle w:val="List"/>
        <w:numPr>
          <w:ilvl w:val="1"/>
          <w:numId w:val="3"/>
        </w:numPr>
        <w:spacing w:before="50" w:line="360" w:lineRule="auto"/>
        <w:ind w:left="1350" w:hanging="270"/>
        <w:jc w:val="both"/>
        <w:rPr>
          <w:sz w:val="24"/>
          <w:szCs w:val="24"/>
        </w:rPr>
      </w:pPr>
      <w:r w:rsidRPr="00F412F1">
        <w:rPr>
          <w:sz w:val="24"/>
          <w:szCs w:val="24"/>
        </w:rPr>
        <w:t xml:space="preserve">The decomposition likely has implications for the costs and/or benefits of potential factor timing </w:t>
      </w:r>
    </w:p>
    <w:p w:rsidR="00000000" w:rsidRPr="00F412F1" w:rsidRDefault="00622B4B" w:rsidP="00705865">
      <w:pPr>
        <w:pStyle w:val="List"/>
        <w:numPr>
          <w:ilvl w:val="0"/>
          <w:numId w:val="2"/>
        </w:numPr>
        <w:spacing w:before="50" w:line="360" w:lineRule="auto"/>
        <w:rPr>
          <w:sz w:val="24"/>
          <w:szCs w:val="24"/>
        </w:rPr>
      </w:pPr>
      <w:r w:rsidRPr="00F412F1">
        <w:rPr>
          <w:sz w:val="24"/>
          <w:szCs w:val="24"/>
        </w:rPr>
        <w:t xml:space="preserve">Simple example </w:t>
      </w:r>
    </w:p>
    <w:p w:rsidR="00000000" w:rsidRPr="00F412F1" w:rsidRDefault="00622B4B" w:rsidP="00705865">
      <w:pPr>
        <w:pStyle w:val="List"/>
        <w:numPr>
          <w:ilvl w:val="0"/>
          <w:numId w:val="2"/>
        </w:numPr>
        <w:spacing w:before="50" w:line="360" w:lineRule="auto"/>
        <w:rPr>
          <w:sz w:val="24"/>
          <w:szCs w:val="24"/>
        </w:rPr>
      </w:pPr>
      <w:r w:rsidRPr="00F412F1">
        <w:rPr>
          <w:sz w:val="24"/>
          <w:szCs w:val="24"/>
        </w:rPr>
        <w:t xml:space="preserve">Comparative statics across return horizon and rebalancing frequency </w:t>
      </w:r>
    </w:p>
    <w:p w:rsidR="00000000" w:rsidRPr="00F412F1" w:rsidRDefault="00622B4B" w:rsidP="00260CA1">
      <w:pPr>
        <w:pStyle w:val="Heading1"/>
      </w:pPr>
      <w:r w:rsidRPr="00F412F1">
        <w:t>Decomposition</w:t>
      </w:r>
    </w:p>
    <w:p w:rsidR="00000000" w:rsidRPr="00F412F1" w:rsidRDefault="00622B4B">
      <w:pPr>
        <w:spacing w:before="60" w:line="360" w:lineRule="auto"/>
      </w:pPr>
      <w:r w:rsidRPr="00F412F1">
        <w:t>C</w:t>
      </w:r>
      <w:r w:rsidRPr="00F412F1">
        <w:t>onsider the returns from capital gains to a factor-based, or style-based portfolio that is formed at</w:t>
      </w:r>
      <w:r w:rsidR="003458F7" w:rsidRPr="00F412F1">
        <w:t>:</w:t>
      </w:r>
    </w:p>
    <w:p w:rsidR="00441F02" w:rsidRPr="00F412F1" w:rsidRDefault="00441F02">
      <w:pPr>
        <w:spacing w:before="60" w:line="360" w:lineRule="auto"/>
      </w:pPr>
      <m:oMathPara>
        <m:oMath>
          <m:m>
            <m:mPr>
              <m:mcs>
                <m:mc>
                  <m:mcPr>
                    <m:count m:val="5"/>
                    <m:mcJc m:val="center"/>
                  </m:mcPr>
                </m:mc>
              </m:mcs>
              <m:ctrlPr>
                <w:rPr>
                  <w:rFonts w:ascii="Cambria Math" w:hAnsi="Cambria Math"/>
                </w:rPr>
              </m:ctrlPr>
            </m:mPr>
            <m:mr>
              <m:e>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p"/>
                              </m:rPr>
                              <w:rPr>
                                <w:rFonts w:ascii="Cambria Math" w:hAnsi="Cambria Math"/>
                              </w:rPr>
                              <m:t>1+Ret-Div</m:t>
                            </m:r>
                          </m:e>
                        </m:d>
                      </m:e>
                    </m:groupChr>
                  </m:e>
                  <m:lim>
                    <m:sSub>
                      <m:sSubPr>
                        <m:ctrlPr>
                          <w:rPr>
                            <w:rFonts w:ascii="Cambria Math" w:hAnsi="Cambria Math"/>
                          </w:rPr>
                        </m:ctrlPr>
                      </m:sSubPr>
                      <m:e>
                        <m:r>
                          <m:rPr>
                            <m:sty m:val="p"/>
                          </m:rPr>
                          <w:rPr>
                            <w:rFonts w:ascii="Cambria Math" w:hAnsi="Cambria Math"/>
                          </w:rPr>
                          <m:t>r</m:t>
                        </m:r>
                      </m:e>
                      <m:sub>
                        <m:r>
                          <m:rPr>
                            <m:sty m:val="p"/>
                          </m:rPr>
                          <w:rPr>
                            <w:rFonts w:ascii="Cambria Math" w:hAnsi="Cambria Math"/>
                          </w:rPr>
                          <m:t>total</m:t>
                        </m:r>
                      </m:sub>
                    </m:sSub>
                  </m:lim>
                </m:limLow>
              </m:e>
              <m:e>
                <m:r>
                  <m:rPr>
                    <m:sty m:val="p"/>
                  </m:rPr>
                  <w:rPr>
                    <w:rFonts w:ascii="Cambria Math" w:hAnsi="Cambria Math"/>
                  </w:rPr>
                  <m:t>=</m:t>
                </m:r>
              </m:e>
              <m:e>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capital gains return</m:t>
                    </m:r>
                  </m:lim>
                </m:limUpp>
              </m:e>
              <m:e>
                <m:ctrlPr>
                  <w:rPr>
                    <w:rFonts w:ascii="Cambria Math" w:eastAsia="Cambria Math" w:hAnsi="Cambria Math" w:cs="Cambria Math"/>
                  </w:rPr>
                </m:ctrlPr>
              </m:e>
              <m:e>
                <m:ctrlPr>
                  <w:rPr>
                    <w:rFonts w:ascii="Cambria Math" w:eastAsia="Cambria Math" w:hAnsi="Cambria Math" w:cs="Cambria Math"/>
                  </w:rPr>
                </m:ctrlPr>
              </m:e>
            </m:mr>
            <m:mr>
              <m:e/>
              <m:e>
                <m:r>
                  <m:rPr>
                    <m:sty m:val="p"/>
                  </m:rPr>
                  <w:rPr>
                    <w:rFonts w:ascii="Cambria Math" w:hAnsi="Cambria Math"/>
                  </w:rPr>
                  <m:t>=</m:t>
                </m:r>
              </m:e>
              <m:e>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Δ valuation, original portfolio</m:t>
                    </m:r>
                  </m:lim>
                </m:limLow>
                <m:ctrlPr>
                  <w:rPr>
                    <w:rFonts w:ascii="Cambria Math" w:eastAsia="Cambria Math" w:hAnsi="Cambria Math" w:cs="Cambria Math"/>
                  </w:rPr>
                </m:ctrlPr>
              </m:e>
              <m:e>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capital gains return</m:t>
                    </m:r>
                  </m:lim>
                </m:limUpp>
                <m:ctrlPr>
                  <w:rPr>
                    <w:rFonts w:ascii="Cambria Math" w:eastAsia="Cambria Math" w:hAnsi="Cambria Math" w:cs="Cambria Math"/>
                  </w:rPr>
                </m:ctrlPr>
              </m:e>
              <m:e>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Δ Fundamentals</m:t>
                    </m:r>
                  </m:lim>
                </m:limLow>
              </m:e>
            </m:mr>
          </m:m>
        </m:oMath>
      </m:oMathPara>
    </w:p>
    <w:p w:rsidR="00F412F1" w:rsidRPr="00F412F1" w:rsidRDefault="00622B4B" w:rsidP="00F412F1">
      <w:pPr>
        <w:spacing w:after="240" w:line="360" w:lineRule="auto"/>
        <w:ind w:firstLine="360"/>
        <w:rPr>
          <w:b/>
          <w:bCs/>
        </w:rPr>
      </w:pPr>
      <w:r w:rsidRPr="00F412F1">
        <w:t>Where now we have a “VCF</w:t>
      </w:r>
      <w:r w:rsidRPr="00F412F1">
        <w:t>" decomposition between valuation changes, composition changes, and fundamental changes.</w:t>
      </w:r>
    </w:p>
    <w:p w:rsidR="00000000" w:rsidRPr="00F412F1" w:rsidRDefault="00F412F1" w:rsidP="00F412F1">
      <w:pPr>
        <w:spacing w:line="360" w:lineRule="auto"/>
      </w:pPr>
      <w:r w:rsidRPr="00F412F1">
        <w:rPr>
          <w:rStyle w:val="Heading2Char"/>
          <w:i w:val="0"/>
        </w:rPr>
        <w:t>Implementation</w:t>
      </w:r>
      <w:r w:rsidRPr="00F412F1">
        <w:rPr>
          <w:b/>
          <w:bCs/>
        </w:rPr>
        <w:t xml:space="preserve"> </w:t>
      </w:r>
      <w:r w:rsidRPr="00F412F1">
        <w:rPr>
          <w:b/>
          <w:bCs/>
        </w:rPr>
        <w:tab/>
      </w:r>
      <w:r w:rsidR="00622B4B" w:rsidRPr="00F412F1">
        <w:t>The strategy must be “self-financing”. That is, upon rebalancing, no money must flow into or out of the portfolio. Assume that the portfolio is rebalanc</w:t>
      </w:r>
      <w:r w:rsidR="00622B4B" w:rsidRPr="00F412F1">
        <w:t xml:space="preserve">ed monthly, for example, so that the time interval </w:t>
      </w:r>
      <m:oMath>
        <m:r>
          <w:rPr>
            <w:rFonts w:ascii="Cambria Math" w:hAnsi="Cambria Math"/>
          </w:rPr>
          <m:t>t</m:t>
        </m:r>
      </m:oMath>
      <w:r w:rsidR="00622B4B" w:rsidRPr="00F412F1">
        <w:t xml:space="preserve"> to </w:t>
      </w:r>
      <m:oMath>
        <m:r>
          <w:rPr>
            <w:rFonts w:ascii="Cambria Math" w:hAnsi="Cambria Math"/>
          </w:rPr>
          <m:t>t</m:t>
        </m:r>
        <m:r>
          <w:rPr>
            <w:rFonts w:ascii="Cambria Math" w:hAnsi="Cambria Math"/>
          </w:rPr>
          <m:t>+1</m:t>
        </m:r>
      </m:oMath>
      <w:r w:rsidR="00441F02" w:rsidRPr="00F412F1">
        <w:t xml:space="preserve"> </w:t>
      </w:r>
      <w:r w:rsidR="00622B4B" w:rsidRPr="00F412F1">
        <w:t xml:space="preserve">is one month. To be concrete, define portfolio shares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0,1</m:t>
            </m:r>
          </m:e>
        </m:d>
      </m:oMath>
      <w:r w:rsidR="00622B4B" w:rsidRPr="00F412F1">
        <w:t xml:space="preserve"> for each </w:t>
      </w:r>
      <w:r w:rsidR="00441F02" w:rsidRPr="00F412F1">
        <w:t xml:space="preserve">stock </w:t>
      </w:r>
      <m:oMath>
        <m:r>
          <m:rPr>
            <m:sty m:val="p"/>
          </m:rPr>
          <w:rPr>
            <w:rFonts w:ascii="Cambria Math" w:hAnsi="Cambria Math"/>
          </w:rPr>
          <m:t xml:space="preserve">i∈ </m:t>
        </m:r>
        <m:d>
          <m:dPr>
            <m:begChr m:val="{"/>
            <m:endChr m:val="}"/>
            <m:ctrlPr>
              <w:rPr>
                <w:rFonts w:ascii="Cambria Math" w:hAnsi="Cambria Math"/>
              </w:rPr>
            </m:ctrlPr>
          </m:dPr>
          <m:e>
            <m:r>
              <m:rPr>
                <m:sty m:val="p"/>
              </m:rPr>
              <w:rPr>
                <w:rFonts w:ascii="Cambria Math" w:hAnsi="Cambria Math"/>
              </w:rPr>
              <m:t>1, 2, ... n</m:t>
            </m:r>
          </m:e>
        </m:d>
      </m:oMath>
      <w:r w:rsidR="00622B4B" w:rsidRPr="00F412F1">
        <w:t xml:space="preserve"> and </w:t>
      </w:r>
      <m:oMath>
        <m:r>
          <m:rPr>
            <m:sty m:val="p"/>
          </m:rPr>
          <w:rPr>
            <w:rFonts w:ascii="Cambria Math" w:hAnsi="Cambria Math"/>
          </w:rPr>
          <m:t>∀t</m:t>
        </m:r>
      </m:oMath>
      <w:r w:rsidR="00622B4B" w:rsidRPr="00F412F1">
        <w:t xml:space="preserve">. Next, define the scale of the portfolio </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m:t>
        </m:r>
      </m:oMath>
      <w:r w:rsidRPr="00F412F1">
        <w:t xml:space="preserve">. </w:t>
      </w:r>
      <w:r w:rsidRPr="00F412F1">
        <w:lastRenderedPageBreak/>
        <w:t xml:space="preserve">Taking optimal shares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00622B4B" w:rsidRPr="00F412F1">
        <w:t xml:space="preserve"> as given at each date from the</w:t>
      </w:r>
      <w:r w:rsidRPr="00F412F1">
        <w:t xml:space="preserve"> portfolio optimization, then, </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622B4B" w:rsidRPr="00F412F1">
        <w:t xml:space="preserve"> scales the portfolio value up or down in order to ensure that it is self-financing. Implemented weights are then </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 i,t</m:t>
        </m:r>
      </m:oMath>
      <w:r w:rsidRPr="00F412F1">
        <w:t>.</w:t>
      </w:r>
      <w:r w:rsidR="00622B4B" w:rsidRPr="00F412F1">
        <w:t xml:space="preserve"> </w:t>
      </w:r>
    </w:p>
    <w:p w:rsidR="00000000" w:rsidRPr="00F412F1" w:rsidRDefault="00622B4B">
      <w:pPr>
        <w:pStyle w:val="Heading5"/>
        <w:widowControl/>
        <w:spacing w:before="120" w:line="360" w:lineRule="auto"/>
      </w:pPr>
      <w:r w:rsidRPr="00F412F1">
        <w:t>E</w:t>
      </w:r>
      <w:r w:rsidRPr="00F412F1">
        <w:t>xample:</w:t>
      </w:r>
    </w:p>
    <w:p w:rsidR="00000000" w:rsidRPr="00F412F1" w:rsidRDefault="00622B4B">
      <w:pPr>
        <w:pStyle w:val="List"/>
        <w:spacing w:before="50" w:line="360" w:lineRule="auto"/>
        <w:ind w:left="600" w:hanging="300"/>
        <w:rPr>
          <w:sz w:val="24"/>
          <w:szCs w:val="24"/>
        </w:rPr>
      </w:pPr>
      <w:r w:rsidRPr="00F412F1">
        <w:rPr>
          <w:sz w:val="24"/>
          <w:szCs w:val="24"/>
        </w:rPr>
        <w:t>•</w:t>
      </w:r>
      <w:r w:rsidRPr="00F412F1">
        <w:rPr>
          <w:sz w:val="24"/>
          <w:szCs w:val="24"/>
        </w:rPr>
        <w:tab/>
      </w:r>
      <w:r w:rsidRPr="00F412F1">
        <w:rPr>
          <w:i/>
          <w:iCs/>
          <w:sz w:val="24"/>
          <w:szCs w:val="24"/>
        </w:rPr>
        <w:t>time 0</w:t>
      </w:r>
      <w:r w:rsidRPr="00F412F1">
        <w:rPr>
          <w:sz w:val="24"/>
          <w:szCs w:val="24"/>
        </w:rPr>
        <w:t xml:space="preserve"> </w:t>
      </w:r>
    </w:p>
    <w:p w:rsidR="00000000" w:rsidRPr="00F412F1" w:rsidRDefault="00622B4B">
      <w:pPr>
        <w:pStyle w:val="List"/>
        <w:spacing w:before="50" w:line="360" w:lineRule="auto"/>
        <w:ind w:left="600" w:hanging="300"/>
        <w:rPr>
          <w:sz w:val="24"/>
          <w:szCs w:val="24"/>
        </w:rPr>
      </w:pPr>
      <w:r w:rsidRPr="00F412F1">
        <w:rPr>
          <w:sz w:val="24"/>
          <w:szCs w:val="24"/>
        </w:rPr>
        <w:tab/>
        <w:t xml:space="preserve">initiate portfolio by paying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nary>
      </m:oMath>
      <w:r w:rsidR="00260CA1">
        <w:rPr>
          <w:sz w:val="24"/>
          <w:szCs w:val="24"/>
        </w:rPr>
        <w:t xml:space="preserve">.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oMath>
      <w:r w:rsidR="00260CA1">
        <w:rPr>
          <w:sz w:val="24"/>
          <w:szCs w:val="24"/>
        </w:rPr>
        <w:t xml:space="preserve"> by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nary>
        <m:r>
          <w:rPr>
            <w:rFonts w:ascii="Cambria Math" w:hAnsi="Cambria Math"/>
            <w:sz w:val="24"/>
            <w:szCs w:val="24"/>
          </w:rPr>
          <m:t>=</m:t>
        </m:r>
        <m:r>
          <w:rPr>
            <w:rFonts w:ascii="Cambria Math" w:hAnsi="Cambria Math"/>
            <w:sz w:val="24"/>
            <w:szCs w:val="24"/>
          </w:rPr>
          <m:t>$1000</m:t>
        </m:r>
      </m:oMath>
      <w:r w:rsidR="00260CA1">
        <w:rPr>
          <w:sz w:val="24"/>
          <w:szCs w:val="24"/>
        </w:rPr>
        <w:t>.</w:t>
      </w:r>
      <w:r w:rsidRPr="00F412F1">
        <w:rPr>
          <w:sz w:val="24"/>
          <w:szCs w:val="24"/>
        </w:rPr>
        <w:t xml:space="preserve"> </w:t>
      </w:r>
    </w:p>
    <w:p w:rsidR="00000000" w:rsidRPr="00F412F1" w:rsidRDefault="00622B4B">
      <w:pPr>
        <w:pStyle w:val="List"/>
        <w:spacing w:before="50" w:line="360" w:lineRule="auto"/>
        <w:ind w:left="600" w:hanging="300"/>
        <w:rPr>
          <w:sz w:val="24"/>
          <w:szCs w:val="24"/>
        </w:rPr>
      </w:pPr>
      <w:r w:rsidRPr="00F412F1">
        <w:rPr>
          <w:sz w:val="24"/>
          <w:szCs w:val="24"/>
        </w:rPr>
        <w:t>•</w:t>
      </w:r>
      <w:r w:rsidRPr="00F412F1">
        <w:rPr>
          <w:sz w:val="24"/>
          <w:szCs w:val="24"/>
        </w:rPr>
        <w:tab/>
      </w:r>
      <w:r w:rsidRPr="00F412F1">
        <w:rPr>
          <w:i/>
          <w:iCs/>
          <w:sz w:val="24"/>
          <w:szCs w:val="24"/>
        </w:rPr>
        <w:t>time 1</w:t>
      </w:r>
      <w:r w:rsidRPr="00F412F1">
        <w:rPr>
          <w:sz w:val="24"/>
          <w:szCs w:val="24"/>
        </w:rPr>
        <w:t xml:space="preserve"> </w:t>
      </w:r>
    </w:p>
    <w:p w:rsidR="00000000" w:rsidRPr="00F412F1" w:rsidRDefault="00622B4B">
      <w:pPr>
        <w:pStyle w:val="List"/>
        <w:spacing w:before="50" w:line="360" w:lineRule="auto"/>
        <w:ind w:left="600" w:hanging="300"/>
        <w:rPr>
          <w:sz w:val="24"/>
          <w:szCs w:val="24"/>
        </w:rPr>
      </w:pPr>
      <w:r w:rsidRPr="00F412F1">
        <w:rPr>
          <w:sz w:val="24"/>
          <w:szCs w:val="24"/>
        </w:rPr>
        <w:tab/>
      </w:r>
      <w:r w:rsidRPr="00F412F1">
        <w:rPr>
          <w:sz w:val="24"/>
          <w:szCs w:val="24"/>
        </w:rPr>
        <w:t>rece</w:t>
      </w:r>
      <w:r w:rsidR="00260CA1">
        <w:rPr>
          <w:sz w:val="24"/>
          <w:szCs w:val="24"/>
        </w:rPr>
        <w:t xml:space="preserve">ive value of initial portfolio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oMath>
    </w:p>
    <w:p w:rsidR="00000000" w:rsidRPr="00F412F1" w:rsidRDefault="00260CA1">
      <w:pPr>
        <w:pStyle w:val="List"/>
        <w:spacing w:before="50" w:line="360" w:lineRule="auto"/>
        <w:ind w:left="600" w:hanging="300"/>
        <w:rPr>
          <w:sz w:val="24"/>
          <w:szCs w:val="24"/>
        </w:rPr>
      </w:pPr>
      <w:r>
        <w:rPr>
          <w:sz w:val="24"/>
          <w:szCs w:val="24"/>
        </w:rPr>
        <w:tab/>
        <w:t xml:space="preserve">pay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r>
              <w:rPr>
                <w:rFonts w:ascii="Cambria Math" w:hAnsi="Cambria Math"/>
                <w:sz w:val="24"/>
                <w:szCs w:val="24"/>
              </w:rPr>
              <m:t>+1</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oMath>
    </w:p>
    <w:p w:rsidR="00000000" w:rsidRPr="00F412F1" w:rsidRDefault="00622B4B">
      <w:pPr>
        <w:pStyle w:val="List"/>
        <w:spacing w:before="50" w:line="360" w:lineRule="auto"/>
        <w:ind w:left="600" w:hanging="300"/>
        <w:rPr>
          <w:sz w:val="24"/>
          <w:szCs w:val="24"/>
        </w:rPr>
      </w:pPr>
      <w:r w:rsidRPr="00F412F1">
        <w:rPr>
          <w:sz w:val="24"/>
          <w:szCs w:val="24"/>
        </w:rPr>
        <w:tab/>
        <w:t>self-finan</w:t>
      </w:r>
      <w:r w:rsidRPr="00F412F1">
        <w:rPr>
          <w:sz w:val="24"/>
          <w:szCs w:val="24"/>
        </w:rPr>
        <w:t xml:space="preserve">cing requires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r>
              <w:rPr>
                <w:rFonts w:ascii="Cambria Math" w:hAnsi="Cambria Math"/>
                <w:sz w:val="24"/>
                <w:szCs w:val="24"/>
              </w:rPr>
              <m:t>+1</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r>
          <w:rPr>
            <w:rFonts w:ascii="Cambria Math" w:hAnsi="Cambria Math"/>
            <w:sz w:val="24"/>
            <w:szCs w:val="24"/>
          </w:rPr>
          <m:t>=0</m:t>
        </m:r>
      </m:oMath>
      <w:r w:rsidR="003E62ED">
        <w:rPr>
          <w:sz w:val="24"/>
          <w:szCs w:val="24"/>
        </w:rPr>
        <w:t>.</w:t>
      </w:r>
    </w:p>
    <w:p w:rsidR="00000000" w:rsidRPr="00F412F1" w:rsidRDefault="00622B4B">
      <w:pPr>
        <w:pStyle w:val="List"/>
        <w:spacing w:before="50" w:line="360" w:lineRule="auto"/>
        <w:ind w:left="600" w:hanging="300"/>
        <w:rPr>
          <w:sz w:val="24"/>
          <w:szCs w:val="24"/>
        </w:rPr>
      </w:pPr>
      <w:r w:rsidRPr="00F412F1">
        <w:rPr>
          <w:sz w:val="24"/>
          <w:szCs w:val="24"/>
        </w:rPr>
        <w:tab/>
      </w:r>
      <w:r w:rsidRPr="00F412F1">
        <w:rPr>
          <w:sz w:val="24"/>
          <w:szCs w:val="24"/>
        </w:rPr>
        <w:t xml:space="preserve">Taking optimal weights and market prices as given we have the implied ratio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t+1</m:t>
                </m:r>
              </m:sub>
            </m:sSub>
          </m:num>
          <m:den>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3E62ED">
        <w:rPr>
          <w:sz w:val="24"/>
          <w:szCs w:val="24"/>
        </w:rPr>
        <w:t>.</w:t>
      </w:r>
    </w:p>
    <w:p w:rsidR="00000000" w:rsidRDefault="00622B4B">
      <w:pPr>
        <w:spacing w:before="60" w:line="360" w:lineRule="auto"/>
      </w:pPr>
      <w:r w:rsidRPr="00F412F1">
        <w:t xml:space="preserve">Returns can be equivalently viewed as: </w:t>
      </w:r>
    </w:p>
    <w:p w:rsidR="00000000" w:rsidRPr="003E62ED" w:rsidRDefault="003E62ED" w:rsidP="003E62ED">
      <w:pPr>
        <w:spacing w:before="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r>
                        <w:rPr>
                          <w:rFonts w:ascii="Cambria Math" w:hAnsi="Cambria Math"/>
                        </w:rPr>
                        <m:t>+1</m:t>
                      </m:r>
                    </m:sub>
                  </m:sSub>
                </m:e>
              </m:nary>
            </m:num>
            <m:den>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sub>
                  </m:sSub>
                </m:e>
              </m:nary>
              <m:r>
                <w:rPr>
                  <w:rFonts w:ascii="Cambria Math" w:hAnsi="Cambria Math"/>
                </w:rPr>
                <m:t xml:space="preserve"> </m:t>
              </m:r>
            </m:den>
          </m:f>
        </m:oMath>
      </m:oMathPara>
    </w:p>
    <w:p w:rsidR="003E62ED" w:rsidRDefault="003E62ED" w:rsidP="003E62ED">
      <w:pPr>
        <w:spacing w:before="60" w:line="360" w:lineRule="auto"/>
      </w:pPr>
      <w:r>
        <w:t>Or</w:t>
      </w:r>
    </w:p>
    <w:p w:rsidR="003E62ED" w:rsidRPr="00F412F1" w:rsidRDefault="003E62ED" w:rsidP="003E62ED">
      <w:pPr>
        <w:spacing w:before="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r>
                    <w:rPr>
                      <w:rFonts w:ascii="Cambria Math" w:hAnsi="Cambria Math"/>
                    </w:rPr>
                    <m:t>+1</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r>
                        <w:rPr>
                          <w:rFonts w:ascii="Cambria Math" w:hAnsi="Cambria Math"/>
                        </w:rPr>
                        <m:t>+1</m:t>
                      </m:r>
                    </m:sub>
                  </m:sSub>
                </m:e>
              </m:nary>
            </m:num>
            <m:den>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sub>
                  </m:sSub>
                </m:e>
              </m:nary>
              <m:r>
                <w:rPr>
                  <w:rFonts w:ascii="Cambria Math" w:hAnsi="Cambria Math"/>
                </w:rPr>
                <m:t xml:space="preserve"> </m:t>
              </m:r>
            </m:den>
          </m:f>
        </m:oMath>
      </m:oMathPara>
    </w:p>
    <w:p w:rsidR="003E62ED" w:rsidRPr="00F412F1" w:rsidRDefault="003E62ED" w:rsidP="003E62ED">
      <w:pPr>
        <w:spacing w:before="60" w:line="360" w:lineRule="auto"/>
      </w:pPr>
    </w:p>
    <w:p w:rsidR="00000000" w:rsidRPr="00F412F1" w:rsidRDefault="00622B4B">
      <w:pPr>
        <w:spacing w:line="360" w:lineRule="auto"/>
        <w:ind w:firstLine="360"/>
      </w:pPr>
      <w:r w:rsidRPr="00F412F1">
        <w:t>since the scaling factor will ensure that the numerators are equated, as self-financing requires.</w:t>
      </w:r>
    </w:p>
    <w:p w:rsidR="00622B4B" w:rsidRPr="00F412F1" w:rsidRDefault="00622B4B">
      <w:pPr>
        <w:spacing w:line="360" w:lineRule="auto"/>
      </w:pPr>
      <w:r w:rsidRPr="00F412F1">
        <w:rPr>
          <w:i/>
          <w:iCs/>
        </w:rPr>
        <w:t>Note:</w:t>
      </w:r>
      <w:r w:rsidRPr="00F412F1">
        <w:t xml:space="preserve"> This implies that, using the casual notation above,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Pr="00F412F1">
        <w:t xml:space="preserve"> </w:t>
      </w:r>
      <w:r w:rsidRPr="00F412F1">
        <w:t xml:space="preserve">from item (2)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003E62ED" w:rsidRPr="00F412F1">
        <w:t xml:space="preserve"> </w:t>
      </w:r>
      <w:r w:rsidRPr="00F412F1">
        <w:t>can be equivalent representations of the same portfolio r</w:t>
      </w:r>
      <w:r w:rsidRPr="00F412F1">
        <w:t xml:space="preserve">eturn, as long as weights and scaling factors are implemented appropriately as described. Thus, we are free to </w:t>
      </w:r>
      <w:bookmarkStart w:id="0" w:name="_GoBack"/>
      <w:bookmarkEnd w:id="0"/>
      <w:r w:rsidRPr="00F412F1">
        <w:t>use the decomposition in (3), along wi</w:t>
      </w:r>
      <w:r w:rsidR="003E62ED">
        <w:t xml:space="preserve">th the appropriate sequence of </w:t>
      </w:r>
      <m:oMath>
        <m:r>
          <m:rPr>
            <m:sty m:val="p"/>
          </m:rPr>
          <w:rPr>
            <w:rFonts w:ascii="Cambria Math" w:hAnsi="Cambria Math"/>
          </w:rPr>
          <m:t>γ's</m:t>
        </m:r>
      </m:oMath>
      <w:r w:rsidRPr="003E62ED">
        <w:t>.</w:t>
      </w:r>
    </w:p>
    <w:sectPr w:rsidR="00622B4B" w:rsidRPr="00F412F1" w:rsidSect="003458F7">
      <w:footerReference w:type="default" r:id="rId8"/>
      <w:footnotePr>
        <w:numFmt w:val="chicago"/>
      </w:footnotePr>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B4B" w:rsidRDefault="00622B4B">
      <w:r>
        <w:separator/>
      </w:r>
    </w:p>
  </w:endnote>
  <w:endnote w:type="continuationSeparator" w:id="0">
    <w:p w:rsidR="00622B4B" w:rsidRDefault="0062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B4B">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B4B" w:rsidRDefault="00622B4B">
      <w:r>
        <w:separator/>
      </w:r>
    </w:p>
  </w:footnote>
  <w:footnote w:type="continuationSeparator" w:id="0">
    <w:p w:rsidR="00622B4B" w:rsidRDefault="00622B4B">
      <w:r>
        <w:continuationSeparator/>
      </w:r>
    </w:p>
  </w:footnote>
  <w:footnote w:id="1">
    <w:p w:rsidR="00705865" w:rsidRPr="00705865" w:rsidRDefault="00705865" w:rsidP="00705865">
      <w:pPr>
        <w:pStyle w:val="FootnoteText"/>
        <w:widowControl/>
        <w:ind w:left="90" w:firstLine="360"/>
        <w:rPr>
          <w:sz w:val="20"/>
        </w:rPr>
      </w:pPr>
      <w:r>
        <w:rPr>
          <w:rStyle w:val="FootnoteReference"/>
        </w:rPr>
        <w:footnoteRef/>
      </w:r>
      <w:r w:rsidRPr="00705865">
        <w:rPr>
          <w:rStyle w:val="FootnoteReference"/>
        </w:rPr>
        <w:t xml:space="preserve"> </w:t>
      </w:r>
      <w:r w:rsidRPr="00705865">
        <w:rPr>
          <w:sz w:val="20"/>
        </w:rPr>
        <w:t>We would like to thank Ronen Israel and Tobias Moskowitz for helpful comments and suggestions.</w:t>
      </w:r>
    </w:p>
  </w:footnote>
  <w:footnote w:id="2">
    <w:p w:rsidR="00000000" w:rsidRPr="00705865" w:rsidRDefault="00622B4B" w:rsidP="00705865">
      <w:pPr>
        <w:pStyle w:val="FootnoteText"/>
        <w:widowControl/>
        <w:ind w:left="90" w:firstLine="360"/>
        <w:rPr>
          <w:sz w:val="20"/>
        </w:rPr>
      </w:pPr>
      <w:r w:rsidRPr="00705865">
        <w:rPr>
          <w:rStyle w:val="FootnoteReference"/>
          <w:sz w:val="20"/>
        </w:rPr>
        <w:footnoteRef/>
      </w:r>
      <w:r w:rsidRPr="00705865">
        <w:rPr>
          <w:sz w:val="20"/>
        </w:rPr>
        <w:t xml:space="preserve"> Anderson School of Management, University of California, Los Angeles, NBER, and AQR, e-mail: </w:t>
      </w:r>
      <w:r w:rsidRPr="00705865">
        <w:rPr>
          <w:rFonts w:ascii="Courier New" w:hAnsi="Courier New" w:cs="Courier New"/>
          <w:sz w:val="20"/>
        </w:rPr>
        <w:t>andrea.eisfeldt@anderson.ucla.edu</w:t>
      </w:r>
    </w:p>
  </w:footnote>
  <w:footnote w:id="3">
    <w:p w:rsidR="00000000" w:rsidRDefault="00622B4B" w:rsidP="00705865">
      <w:pPr>
        <w:pStyle w:val="FootnoteText"/>
        <w:widowControl/>
        <w:ind w:left="90" w:firstLine="360"/>
      </w:pPr>
      <w:r w:rsidRPr="00705865">
        <w:rPr>
          <w:rStyle w:val="FootnoteReference"/>
          <w:sz w:val="20"/>
        </w:rPr>
        <w:footnoteRef/>
      </w:r>
      <w:r w:rsidRPr="00705865">
        <w:rPr>
          <w:sz w:val="20"/>
        </w:rPr>
        <w:t xml:space="preserve"> AQR, e-mail: </w:t>
      </w:r>
      <w:r w:rsidRPr="00705865">
        <w:rPr>
          <w:rFonts w:ascii="Courier New" w:hAnsi="Courier New" w:cs="Courier New"/>
          <w:sz w:val="20"/>
        </w:rPr>
        <w:t>tarun.gupta@aqr.com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EFA"/>
    <w:multiLevelType w:val="hybridMultilevel"/>
    <w:tmpl w:val="769816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700AE"/>
    <w:multiLevelType w:val="hybridMultilevel"/>
    <w:tmpl w:val="6826F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F7C6C"/>
    <w:multiLevelType w:val="hybridMultilevel"/>
    <w:tmpl w:val="3AC612A6"/>
    <w:lvl w:ilvl="0" w:tplc="EB4425F0">
      <w:start w:val="1"/>
      <w:numFmt w:val="decimal"/>
      <w:pStyle w:val="Heading1"/>
      <w:lvlText w:val="%1     "/>
      <w:lvlJc w:val="left"/>
      <w:pPr>
        <w:ind w:left="720" w:hanging="360"/>
      </w:pPr>
      <w:rPr>
        <w:rFonts w:hint="default"/>
      </w:rPr>
    </w:lvl>
    <w:lvl w:ilvl="1" w:tplc="654A525C">
      <w:start w:val="1"/>
      <w:numFmt w:val="decimal"/>
      <w:lvlText w:val="%2."/>
      <w:lvlJc w:val="left"/>
      <w:pPr>
        <w:ind w:left="1440" w:hanging="360"/>
      </w:pPr>
      <w:rPr>
        <w:rFonts w:hint="default"/>
      </w:rPr>
    </w:lvl>
    <w:lvl w:ilvl="2" w:tplc="66CABE1E">
      <w:start w:val="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65"/>
    <w:rsid w:val="00260CA1"/>
    <w:rsid w:val="003458F7"/>
    <w:rsid w:val="003E62ED"/>
    <w:rsid w:val="00441F02"/>
    <w:rsid w:val="00622B4B"/>
    <w:rsid w:val="00705865"/>
    <w:rsid w:val="00A84B07"/>
    <w:rsid w:val="00DE30EE"/>
    <w:rsid w:val="00F4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9EDE9E"/>
  <w14:defaultImageDpi w14:val="0"/>
  <w15:docId w15:val="{10C2B2A9-AE87-4351-B7E0-D22D987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autoRedefine/>
    <w:uiPriority w:val="99"/>
    <w:qFormat/>
    <w:rsid w:val="00260CA1"/>
    <w:pPr>
      <w:keepNext/>
      <w:widowControl w:val="0"/>
      <w:numPr>
        <w:numId w:val="1"/>
      </w:numPr>
      <w:spacing w:before="240" w:after="120"/>
      <w:ind w:hanging="720"/>
      <w:jc w:val="left"/>
      <w:outlineLvl w:val="0"/>
    </w:pPr>
    <w:rPr>
      <w:b/>
      <w:bCs/>
      <w:sz w:val="36"/>
      <w:szCs w:val="40"/>
    </w:rPr>
  </w:style>
  <w:style w:type="paragraph" w:styleId="Heading2">
    <w:name w:val="heading 2"/>
    <w:basedOn w:val="Normal"/>
    <w:next w:val="Normal"/>
    <w:link w:val="Heading2Char"/>
    <w:autoRedefine/>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9"/>
    <w:rsid w:val="00260CA1"/>
    <w:rPr>
      <w:rFonts w:ascii="Times New Roman" w:hAnsi="Times New Roman" w:cs="Times New Roman"/>
      <w:b/>
      <w:bCs/>
      <w:noProof/>
      <w:sz w:val="36"/>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PlaceholderText">
    <w:name w:val="Placeholder Text"/>
    <w:basedOn w:val="DefaultParagraphFont"/>
    <w:uiPriority w:val="99"/>
    <w:semiHidden/>
    <w:rsid w:val="003458F7"/>
    <w:rPr>
      <w:color w:val="808080"/>
    </w:rPr>
  </w:style>
  <w:style w:type="character" w:styleId="Strong">
    <w:name w:val="Strong"/>
    <w:basedOn w:val="DefaultParagraphFont"/>
    <w:uiPriority w:val="22"/>
    <w:qFormat/>
    <w:rsid w:val="00F4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0DC7D-1EFC-444F-A685-84AAA09F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Original file was Decomposing_Factor_Returns.tex</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Decomposing_Factor_Returns.tex</dc:title>
  <dc:subject/>
  <dc:creator>Clinton Tepper</dc:creator>
  <cp:keywords/>
  <dc:description>Created using latex2rtf 2.3.16 r1254 (released May 12 2017) on Wed Jul 19 12:50:50 2017</dc:description>
  <cp:lastModifiedBy>Clinton Tepper</cp:lastModifiedBy>
  <cp:revision>2</cp:revision>
  <dcterms:created xsi:type="dcterms:W3CDTF">2017-07-19T20:55:00Z</dcterms:created>
  <dcterms:modified xsi:type="dcterms:W3CDTF">2017-07-19T20:55:00Z</dcterms:modified>
</cp:coreProperties>
</file>