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4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Almere  ·  +31 6 27517972  ·  Clinton.herring@remoteconsulting.eu</w:t>
      </w:r>
    </w:p>
    <w:p>
      <w:pPr>
        <w:spacing w:after="32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https://www.remoteconsulting.eu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Dear hiring team,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am applying for the Retail Technology IT Architect role at Rituals.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already know this landscape from the supplier side. As Principal Architect at CGI I worked on the store technology estate that supports Rituals and similar retail — Meraki networking, POS and payment terminals, multi-site rollout, and handover into support. I understand how CGI’s call-centre model works with the stores, and I have worked with Veducon. I was involved with the team that moved POS off Cowhills onto the NewBlack stack: iPads on the floor, with a Mac in the back room running the POS environment. I know where Jamf sits in that Apple-centred store pattern; I am not positioning myself as a Jamf specialist, but I understand how device management, POS, and networking have to fit together for a supportable store.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use Jira and Confluence every day for documentation and task management. When CGI rolled ServiceNow out to stores as the incident-management service I was involved at the edge of that programme and completed CGI’s ServiceNow training — I am not claiming ServiceNow implementation ownership, but I know how that model sits next to store operations.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After CGI I continued as a sole proprietor under contract with CGI as Principal Architect for Suitsupply until 2024. Since November 2024 I have been a platform engineer at Just Eat Takeaway. That platform work, including AI-assisted ways of spotting and fixing operational issues, is how I would help Rituals move from reactive firefighting toward the proactive and predictive technology management described in the role.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am based in Almere, close to Amsterdam, with a residence permit (arbeid vrij toegestaan, TWV niet vereist), and I am used to owning architecture across engineers, suppliers, and retail stakeholders.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I would welcome the conversation with Renée and the team.</w:t>
      </w:r>
    </w:p>
    <w:p>
      <w:pPr>
        <w:spacing w:after="20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Kind regards,</w:t>
      </w:r>
    </w:p>
    <w:p>
      <w:pPr>
        <w:spacing w:after="40" w:line="276"/>
      </w:pPr>
      <w:r>
        <w:rPr>
          <w:b/>
          <w:bCs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+31 6 27517972</w:t>
      </w:r>
    </w:p>
    <w:p>
      <w:pPr>
        <w:spacing w:after="160" w:line="276"/>
      </w:pPr>
      <w:r>
        <w:rPr>
          <w:b w:val="false"/>
          <w:bCs w:val="false"/>
          <w:color w:val="1A2332"/>
          <w:sz w:val="22"/>
          <w:szCs w:val="22"/>
          <w:rFonts w:ascii="Calibri" w:cs="Calibri" w:eastAsia="Calibri" w:hAnsi="Calibri"/>
        </w:rPr>
        <w:t xml:space="preserve">Clinton.herring@remoteconsulting.eu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2026-10-05T12:44:51.824Z</dcterms:created>
  <dcterms:modified xsi:type="dcterms:W3CDTF">2026-10-05T12:44:51.824Z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